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40"/>
      </w:tblGrid>
      <w:tr>
        <w:tc>
          <w:tcPr>
            <w:tcW w:type="pct" w:w="100%"/>
            <w:tcBorders>
              <w:top w:val="none" w:color="FFFFFF" w:sz="0"/>
              <w:left w:val="none" w:color="FFFFFF" w:sz="0"/>
              <w:bottom w:val="none" w:color="FFFFFF" w:sz="0"/>
              <w:right w:val="none" w:color="FFFFFF" w:sz="0"/>
            </w:tcBorders>
            <w:shd w:fill="0D2D4F" w:val="clear"/>
            <w:tcMar>
              <w:top w:type="dxa" w:w="220"/>
              <w:left w:type="dxa" w:w="200"/>
              <w:bottom w:type="dxa" w:w="200"/>
              <w:right w:type="dxa" w:w="200"/>
            </w:tcMar>
          </w:tcPr>
          <w:p>
            <w:pPr>
              <w:spacing w:after="60"/>
              <w:jc w:val="center"/>
            </w:pPr>
            <w:r>
              <w:rPr>
                <w:rFonts w:ascii="Georgia" w:cs="Georgia" w:eastAsia="Georgia" w:hAnsi="Georgia"/>
                <w:b/>
                <w:bCs/>
                <w:color w:val="FFFFFF"/>
                <w:sz w:val="28"/>
                <w:szCs w:val="28"/>
              </w:rPr>
              <w:t xml:space="preserve">The Human-AI Partnership Framework</w:t>
            </w:r>
          </w:p>
          <w:p>
            <w:pPr>
              <w:jc w:val="center"/>
            </w:pPr>
            <w:r>
              <w:rPr>
                <w:i/>
                <w:iCs/>
                <w:color w:val="9FC2EE"/>
                <w:sz w:val="16"/>
                <w:szCs w:val="16"/>
              </w:rPr>
              <w:t xml:space="preserve">Where human judgment belongs</w:t>
            </w:r>
          </w:p>
        </w:tc>
      </w:tr>
    </w:tbl>
    <w:p>
      <w:pPr>
        <w:spacing w:after="40" w:before="220"/>
      </w:pPr>
      <w:r>
        <w:rPr>
          <w:rFonts w:ascii="Georgia" w:cs="Georgia" w:eastAsia="Georgia" w:hAnsi="Georgia"/>
          <w:b/>
          <w:bCs/>
          <w:color w:val="0D2D4F"/>
          <w:sz w:val="30"/>
          <w:szCs w:val="30"/>
        </w:rPr>
        <w:t xml:space="preserve">Risk-to-Resilience</w:t>
      </w:r>
    </w:p>
    <w:p>
      <w:pPr>
        <w:spacing w:after="200"/>
      </w:pPr>
      <w:r>
        <w:rPr>
          <w:i/>
          <w:iCs/>
          <w:color w:val="888888"/>
          <w:sz w:val="17"/>
          <w:szCs w:val="17"/>
        </w:rPr>
        <w:t xml:space="preserve">PCF 8.3 — Security, compliance, continuity &amp; identity — RACI Assignment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346"/>
        <w:gridCol w:w="3347"/>
        <w:gridCol w:w="3347"/>
      </w:tblGrid>
      <w:tr>
        <w:tc>
          <w:tcPr>
            <w:tcW w:type="pct" w:w="33.33%"/>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L3 PROCESSES</w:t>
            </w:r>
          </w:p>
          <w:p>
            <w:r>
              <w:rPr>
                <w:b/>
                <w:bCs/>
                <w:color w:val="1B4F8A"/>
                <w:sz w:val="22"/>
                <w:szCs w:val="22"/>
              </w:rPr>
              <w:t xml:space="preserve">8</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L4 ACTIVITIES</w:t>
            </w:r>
          </w:p>
          <w:p>
            <w:r>
              <w:rPr>
                <w:b/>
                <w:bCs/>
                <w:color w:val="1B4F8A"/>
                <w:sz w:val="22"/>
                <w:szCs w:val="22"/>
              </w:rPr>
              <w:t xml:space="preserve">53</w:t>
            </w:r>
          </w:p>
        </w:tc>
        <w:tc>
          <w:tcPr>
            <w:tcW w:type="pct" w:w="33.34%"/>
            <w:tcBorders>
              <w:top w:val="single" w:color="7AAED6" w:sz="2"/>
              <w:left w:val="single" w:color="7AAED6" w:sz="2"/>
              <w:bottom w:val="single" w:color="7AAED6" w:sz="2"/>
              <w:right w:val="single" w:color="7AAED6" w:sz="2"/>
            </w:tcBorders>
            <w:shd w:fill="FAFBFD" w:val="clear"/>
            <w:tcMar>
              <w:top w:type="dxa" w:w="120"/>
              <w:left w:type="dxa" w:w="140"/>
              <w:bottom w:type="dxa" w:w="120"/>
              <w:right w:type="dxa" w:w="100"/>
            </w:tcMar>
          </w:tcPr>
          <w:p>
            <w:pPr>
              <w:spacing w:after="40"/>
            </w:pPr>
            <w:r>
              <w:rPr>
                <w:color w:val="888888"/>
                <w:sz w:val="13"/>
                <w:szCs w:val="13"/>
              </w:rPr>
              <w:t xml:space="preserve">ROLES INVOLVED</w:t>
            </w:r>
          </w:p>
          <w:p>
            <w:r>
              <w:rPr>
                <w:b/>
                <w:bCs/>
                <w:color w:val="1B4F8A"/>
                <w:sz w:val="22"/>
                <w:szCs w:val="22"/>
              </w:rPr>
              <w:t xml:space="preserve">6</w:t>
            </w:r>
          </w:p>
        </w:tc>
      </w:tr>
    </w:tbl>
    <w:p>
      <w:pPr>
        <w:spacing w:after="160" w:before="200"/>
      </w:pPr>
      <w:r>
        <w:rPr>
          <w:color w:val="444444"/>
          <w:sz w:val="18"/>
          <w:szCs w:val="18"/>
        </w:rPr>
        <w:t xml:space="preserve">This document reports confirmed R/A/C/I role accountability for the Risk-to-Resilience value stream (PCF 8.3) — every L4 activity inherits its parent L3's confirmed RACI, since RACI in this framework is assigned at L3 process granularity, grounded directly in real APQC L4 activity text against the Organizational Role Taxonomy.</w:t>
      </w:r>
    </w:p>
    <w:p>
      <w:pPr>
        <w:spacing w:after="40" w:before="100"/>
      </w:pPr>
      <w:r>
        <w:rPr>
          <w:b/>
          <w:bCs/>
          <w:color w:val="0D2D4F"/>
          <w:sz w:val="19"/>
          <w:szCs w:val="19"/>
        </w:rPr>
        <w:t xml:space="preserve">RACI Assignment</w:t>
      </w:r>
    </w:p>
    <w:p>
      <w:pPr>
        <w:spacing w:after="160"/>
      </w:pPr>
      <w:r>
        <w:rPr>
          <w:color w:val="888888"/>
          <w:sz w:val="14"/>
          <w:szCs w:val="14"/>
        </w:rPr>
        <w:t xml:space="preserve">R = Responsible · A = Accountable · C = Consulted · I = Informed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50"/>
        <w:gridCol w:w="3200"/>
        <w:gridCol w:w="1000"/>
        <w:gridCol w:w="1450"/>
        <w:gridCol w:w="1450"/>
        <w:gridCol w:w="1200"/>
        <w:gridCol w:w="990"/>
      </w:tblGrid>
      <w:tr>
        <w:trPr>
          <w:tblHeader/>
        </w:trPr>
        <w:tc>
          <w:tcPr>
            <w:tcW w:type="pct" w:w="7.47%"/>
            <w:shd w:fill="1B4F8A" w:val="clear"/>
            <w:tcMar>
              <w:top w:type="dxa" w:w="60"/>
              <w:left w:type="dxa" w:w="140"/>
              <w:bottom w:type="dxa" w:w="60"/>
              <w:right w:type="dxa" w:w="60"/>
            </w:tcMar>
            <w:vAlign w:val="bottom"/>
          </w:tcPr>
          <w:p>
            <w:pPr>
              <w:jc w:val="left"/>
            </w:pPr>
            <w:r>
              <w:rPr>
                <w:b/>
                <w:bCs/>
                <w:color w:val="FFFFFF"/>
                <w:sz w:val="11"/>
                <w:szCs w:val="11"/>
              </w:rPr>
              <w:t xml:space="preserve">PCF</w:t>
            </w:r>
          </w:p>
        </w:tc>
        <w:tc>
          <w:tcPr>
            <w:tcW w:type="pct" w:w="31.87%"/>
            <w:shd w:fill="1B4F8A" w:val="clear"/>
            <w:tcMar>
              <w:top w:type="dxa" w:w="60"/>
              <w:left w:type="dxa" w:w="140"/>
              <w:bottom w:type="dxa" w:w="60"/>
              <w:right w:type="dxa" w:w="60"/>
            </w:tcMar>
            <w:vAlign w:val="bottom"/>
          </w:tcPr>
          <w:p>
            <w:pPr>
              <w:jc w:val="left"/>
            </w:pPr>
            <w:r>
              <w:rPr>
                <w:b/>
                <w:bCs/>
                <w:color w:val="FFFFFF"/>
                <w:sz w:val="11"/>
                <w:szCs w:val="11"/>
              </w:rPr>
              <w:t xml:space="preserve">L3-Process / L4-Activity</w:t>
            </w:r>
          </w:p>
        </w:tc>
        <w:tc>
          <w:tcPr>
            <w:tcW w:type="pct" w:w="9.96%"/>
            <w:shd w:fill="1B4F8A" w:val="clear"/>
            <w:vAlign w:val="bottom"/>
          </w:tcPr>
          <w:p>
            <w:pPr>
              <w:jc w:val="center"/>
            </w:pPr>
            <w:r>
              <w:rPr>
                <w:b/>
                <w:bCs/>
                <w:color w:val="FFFFFF"/>
                <w:sz w:val="11"/>
                <w:szCs w:val="11"/>
              </w:rPr>
              <w:t xml:space="preserve">Pattern</w:t>
            </w:r>
          </w:p>
        </w:tc>
        <w:tc>
          <w:tcPr>
            <w:tcW w:type="pct" w:w="14.44%"/>
            <w:shd w:fill="1B4F8A" w:val="clear"/>
            <w:tcMar>
              <w:top w:type="dxa" w:w="60"/>
              <w:left w:type="dxa" w:w="140"/>
              <w:bottom w:type="dxa" w:w="60"/>
              <w:right w:type="dxa" w:w="60"/>
            </w:tcMar>
            <w:vAlign w:val="bottom"/>
          </w:tcPr>
          <w:p>
            <w:pPr>
              <w:jc w:val="left"/>
            </w:pPr>
            <w:r>
              <w:rPr>
                <w:b/>
                <w:bCs/>
                <w:color w:val="FFFFFF"/>
                <w:sz w:val="11"/>
                <w:szCs w:val="11"/>
              </w:rPr>
              <w:t xml:space="preserve">R — Responsible</w:t>
            </w:r>
          </w:p>
        </w:tc>
        <w:tc>
          <w:tcPr>
            <w:tcW w:type="pct" w:w="14.44%"/>
            <w:shd w:fill="1B4F8A" w:val="clear"/>
            <w:vAlign w:val="bottom"/>
          </w:tcPr>
          <w:p>
            <w:pPr>
              <w:jc w:val="center"/>
            </w:pPr>
            <w:r>
              <w:rPr>
                <w:b/>
                <w:bCs/>
                <w:color w:val="FFFFFF"/>
                <w:sz w:val="11"/>
                <w:szCs w:val="11"/>
              </w:rPr>
              <w:t xml:space="preserve">★</w:t>
            </w:r>
            <w:r>
              <w:rPr>
                <w:b/>
                <w:bCs/>
                <w:color w:val="FFFFFF"/>
                <w:sz w:val="11"/>
                <w:szCs w:val="11"/>
              </w:rPr>
              <w:br/>
              <w:t xml:space="preserve">A — Accountable</w:t>
            </w:r>
          </w:p>
        </w:tc>
        <w:tc>
          <w:tcPr>
            <w:tcW w:type="pct" w:w="11.95%"/>
            <w:shd w:fill="1B4F8A" w:val="clear"/>
            <w:tcMar>
              <w:top w:type="dxa" w:w="60"/>
              <w:left w:type="dxa" w:w="140"/>
              <w:bottom w:type="dxa" w:w="60"/>
              <w:right w:type="dxa" w:w="60"/>
            </w:tcMar>
            <w:vAlign w:val="bottom"/>
          </w:tcPr>
          <w:p>
            <w:pPr>
              <w:jc w:val="left"/>
            </w:pPr>
            <w:r>
              <w:rPr>
                <w:b/>
                <w:bCs/>
                <w:color w:val="FFFFFF"/>
                <w:sz w:val="11"/>
                <w:szCs w:val="11"/>
              </w:rPr>
              <w:t xml:space="preserve">C — Consulted</w:t>
            </w:r>
          </w:p>
        </w:tc>
        <w:tc>
          <w:tcPr>
            <w:tcW w:type="pct" w:w="9.86%"/>
            <w:shd w:fill="1B4F8A" w:val="clear"/>
            <w:tcMar>
              <w:top w:type="dxa" w:w="60"/>
              <w:left w:type="dxa" w:w="140"/>
              <w:bottom w:type="dxa" w:w="60"/>
              <w:right w:type="dxa" w:w="60"/>
            </w:tcMar>
            <w:vAlign w:val="bottom"/>
          </w:tcPr>
          <w:p>
            <w:pPr>
              <w:jc w:val="left"/>
            </w:pPr>
            <w:r>
              <w:rPr>
                <w:b/>
                <w:bCs/>
                <w:color w:val="FFFFFF"/>
                <w:sz w:val="11"/>
                <w:szCs w:val="11"/>
              </w:rPr>
              <w:t xml:space="preserve">I — Informed</w:t>
            </w:r>
          </w:p>
        </w:tc>
      </w:tr>
      <w:tr>
        <w:tc>
          <w:tcPr>
            <w:tcW w:type="pct" w:w="100%"/>
            <w:gridSpan w:val="7"/>
            <w:tcBorders>
              <w:top w:val="single" w:color="7AAED6" w:sz="2"/>
              <w:left w:val="single" w:color="7AAED6" w:sz="2"/>
              <w:bottom w:val="single" w:color="7AAED6" w:sz="2"/>
              <w:right w:val="single" w:color="7AAED6" w:sz="2"/>
            </w:tcBorders>
            <w:shd w:fill="EEF3FA" w:val="clear"/>
          </w:tcPr>
          <w:p>
            <w:r>
              <w:rPr>
                <w:b/>
                <w:bCs/>
                <w:color w:val="0D2D4F"/>
                <w:sz w:val="14"/>
                <w:szCs w:val="14"/>
              </w:rPr>
              <w:t xml:space="preserve">8.3  </w:t>
            </w:r>
            <w:r>
              <w:rPr>
                <w:b/>
                <w:bCs/>
                <w:color w:val="0D2D4F"/>
                <w:sz w:val="14"/>
                <w:szCs w:val="14"/>
              </w:rPr>
              <w:t xml:space="preserve">Develop and manage IT resilience and risk</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8.3.1</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IT compliance, risk, and security strategy</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30%"/>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70%"/>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8.3.1.1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and evaluate IT regulatory and audit requirements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8.3.1.2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Understand business unit risk tolerance</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8.3.1.3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IT risk tolerance</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8.3.1.4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risk ownership</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8.3.1.5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and maintain risk management roles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8.3.1.6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compliance objectives</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8.3.1.7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Identify systems to support compliance</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8.3.1.8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and evaluate IT risk</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8.3.1.9</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Evaluate IT-related risks resiliency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8.3.1.10</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Create IT risk mitigation strategies and approaches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CISO</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8.3.2</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Develop IT resilience strategy</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25%"/>
                  <w:tcBorders>
                    <w:top w:val="none" w:color="FFFFFF" w:sz="0"/>
                    <w:left w:val="single" w:color="FFFFFF" w:sz="4"/>
                    <w:bottom w:val="none" w:color="FFFFFF" w:sz="0"/>
                    <w:right w:val="single" w:color="FFFFFF" w:sz="4"/>
                  </w:tcBorders>
                  <w:shd w:fill="7B9FD1" w:val="clear"/>
                  <w:tcMar>
                    <w:top w:type="dxa" w:w="0"/>
                    <w:left w:type="dxa" w:w="0"/>
                    <w:bottom w:type="dxa" w:w="0"/>
                    <w:right w:type="dxa" w:w="0"/>
                  </w:tcMar>
                </w:tcPr>
                <w:p/>
              </w:tc>
              <w:tc>
                <w:tcPr>
                  <w:tcW w:type="pct" w:w="75%"/>
                  <w:tcBorders>
                    <w:top w:val="none" w:color="FFFFFF" w:sz="0"/>
                    <w:left w:val="none" w:color="FFFFFF" w:sz="0"/>
                    <w:bottom w:val="none" w:color="FFFFFF" w:sz="0"/>
                    <w:right w:val="none" w:color="FFFFFF" w:sz="0"/>
                  </w:tcBorders>
                  <w:shd w:fill="A79AE0"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8.3.2.1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Determine IT delivery resiliency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8.3.2.2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Determine critical IT risks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8.3.2.3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Prioritize IT risks</w:t>
            </w:r>
          </w:p>
        </w:tc>
        <w:tc>
          <w:tcPr>
            <w:tcW w:type="pct" w:w="9.96%"/>
            <w:tcBorders>
              <w:top w:val="single" w:color="7AAED6" w:sz="2"/>
              <w:left w:val="single" w:color="7AAED6" w:sz="2"/>
              <w:bottom w:val="single" w:color="7AAED6" w:sz="2"/>
              <w:right w:val="single" w:color="7AAED6" w:sz="2"/>
            </w:tcBorders>
            <w:shd w:fill="EEF3FA" w:val="clear"/>
            <w:vAlign w:val="top"/>
          </w:tcPr>
          <w:p>
            <w:pPr>
              <w:jc w:val="center"/>
            </w:pPr>
            <w:r>
              <w:rPr>
                <w:b/>
                <w:bCs/>
                <w:color w:val="1B4F8A"/>
                <w:sz w:val="11"/>
                <w:szCs w:val="11"/>
              </w:rPr>
              <w:t xml:space="preserve">Decision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8.3.2.4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mitigation approaches for IT risks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8.3.3</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Control IT risk, compliance, and security</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7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0%"/>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8.3.3.1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Evaluate enterprise regulatory and compliance obligations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8.3.3.2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Analyze IT security threat impact</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8.3.3.3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Create and maintain IT compliance requirements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8.3.3.4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Create and maintain IT security policies, standards, and procedures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8.3.3.5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Develop and deploy risk management training</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8.3.3.6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Establish risk reporting capabilities and responsibilities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8.3.3.7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Establish communication standards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8.3.3.8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Conduct IT risk and threat assessments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8.3.3.9</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Monitor and manage IT activity risk</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8.3.3.10</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supervise and monitor IT risk mitigation measures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CISO</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8.3.4</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Plan and manage IT continuity</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66.6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33.33%"/>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8.3.4.1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Evaluate IT continuity</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8.3.4.2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IT continuity gaps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8.3.4.3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IT business continuity</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Director of Cybersecurity</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IT Director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8.3.5</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manage IT security, privacy, and data protection</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28.57%"/>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4.29%"/>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42.86%"/>
                  <w:tcBorders>
                    <w:top w:val="none" w:color="FFFFFF" w:sz="0"/>
                    <w:left w:val="single" w:color="FFFFFF" w:sz="4"/>
                    <w:bottom w:val="none" w:color="FFFFFF" w:sz="0"/>
                    <w:right w:val="single" w:color="FFFFFF" w:sz="4"/>
                  </w:tcBorders>
                  <w:shd w:fill="6FC48C" w:val="clear"/>
                  <w:tcMar>
                    <w:top w:type="dxa" w:w="0"/>
                    <w:left w:type="dxa" w:w="0"/>
                    <w:bottom w:type="dxa" w:w="0"/>
                    <w:right w:type="dxa" w:w="0"/>
                  </w:tcMar>
                </w:tcPr>
                <w:p/>
              </w:tc>
              <w:tc>
                <w:tcPr>
                  <w:tcW w:type="pct" w:w="14.29%"/>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Chief Data Officer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8.3.5.1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Assess IT regulatory and confidentiality requirements and policies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Chief Data Officer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8.3.5.2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Create IT security, privacy, and data protection risk governance</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Chief Data Officer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8.3.5.3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Define IT data security and privacy policies, standards, and procedures</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Chief Data Officer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8.3.5.4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Review and monitor physical and logical IT data security measures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Chief Data Officer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8.3.5.5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Review and monitor application security controls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Chief Data Officer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8.3.5.6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Review and monitor IT physical environment security controls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Chief Data Officer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8.3.5.7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Monitor/analyze network intrusion detection data and resolve threats</w:t>
            </w:r>
          </w:p>
        </w:tc>
        <w:tc>
          <w:tcPr>
            <w:tcW w:type="pct" w:w="9.96%"/>
            <w:tcBorders>
              <w:top w:val="single" w:color="7AAED6" w:sz="2"/>
              <w:left w:val="single" w:color="7AAED6" w:sz="2"/>
              <w:bottom w:val="single" w:color="7AAED6" w:sz="2"/>
              <w:right w:val="single" w:color="7AAED6" w:sz="2"/>
            </w:tcBorders>
            <w:shd w:fill="FEE2E2" w:val="clear"/>
            <w:vAlign w:val="top"/>
          </w:tcPr>
          <w:p>
            <w:pPr>
              <w:jc w:val="center"/>
            </w:pPr>
            <w:r>
              <w:rPr>
                <w:b/>
                <w:bCs/>
                <w:color w:val="991B1B"/>
                <w:sz w:val="11"/>
                <w:szCs w:val="11"/>
              </w:rPr>
              <w:t xml:space="preserve">Exception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Chief Data Officer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8.3.6</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Conduct and analyze IT compliance assessments</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20%"/>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20%"/>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40%"/>
                  <w:tcBorders>
                    <w:top w:val="none" w:color="FFFFFF" w:sz="0"/>
                    <w:left w:val="single" w:color="FFFFFF" w:sz="4"/>
                    <w:bottom w:val="none" w:color="FFFFFF" w:sz="0"/>
                    <w:right w:val="single" w:color="FFFFFF" w:sz="4"/>
                  </w:tcBorders>
                  <w:shd w:fill="6FC48C" w:val="clear"/>
                  <w:tcMar>
                    <w:top w:type="dxa" w:w="0"/>
                    <w:left w:type="dxa" w:w="0"/>
                    <w:bottom w:type="dxa" w:w="0"/>
                    <w:right w:type="dxa" w:w="0"/>
                  </w:tcMar>
                </w:tcPr>
                <w:p/>
              </w:tc>
              <w:tc>
                <w:tcPr>
                  <w:tcW w:type="pct" w:w="20%"/>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CISO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8.3.6.1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Conduct projects to enhance IT compliance and remediate risk</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8.3.6.2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Conduct IT compliance control auditing of internal and external services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CISO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8.3.6.3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Perform IT compliance reporting</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8.3.6.4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Identify and escalate IT compliance issues and remediation requirements</w:t>
            </w:r>
          </w:p>
        </w:tc>
        <w:tc>
          <w:tcPr>
            <w:tcW w:type="pct" w:w="9.96%"/>
            <w:tcBorders>
              <w:top w:val="single" w:color="7AAED6" w:sz="2"/>
              <w:left w:val="single" w:color="7AAED6" w:sz="2"/>
              <w:bottom w:val="single" w:color="7AAED6" w:sz="2"/>
              <w:right w:val="single" w:color="7AAED6" w:sz="2"/>
            </w:tcBorders>
            <w:shd w:fill="FEE2E2" w:val="clear"/>
            <w:vAlign w:val="top"/>
          </w:tcPr>
          <w:p>
            <w:pPr>
              <w:jc w:val="center"/>
            </w:pPr>
            <w:r>
              <w:rPr>
                <w:b/>
                <w:bCs/>
                <w:color w:val="991B1B"/>
                <w:sz w:val="11"/>
                <w:szCs w:val="11"/>
              </w:rPr>
              <w:t xml:space="preserve">Exception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CISO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8.3.6.5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Support external audits and reports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CISO</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8.3.7</w:t>
            </w:r>
          </w:p>
        </w:tc>
        <w:tc>
          <w:tcPr>
            <w:tcW w:type="pct" w:w="31.8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444444"/>
                <w:sz w:val="14"/>
                <w:szCs w:val="14"/>
              </w:rPr>
              <w:t xml:space="preserve">Develop and execute IT resilience and continuity operations</w:t>
            </w:r>
          </w:p>
        </w:tc>
        <w:tc>
          <w:tcPr>
            <w:tcW w:type="pct" w:w="9.96%"/>
            <w:tcBorders>
              <w:top w:val="single" w:color="7AAED6" w:sz="2"/>
              <w:left w:val="single" w:color="7AAED6" w:sz="2"/>
              <w:bottom w:val="single" w:color="7AAED6" w:sz="2"/>
              <w:right w:val="single" w:color="7AAED6" w:sz="2"/>
            </w:tcBorders>
            <w:shd w:fill="FFFFFF"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33.33%"/>
                  <w:tcBorders>
                    <w:top w:val="none" w:color="FFFFFF" w:sz="0"/>
                    <w:left w:val="single" w:color="FFFFFF" w:sz="4"/>
                    <w:bottom w:val="none" w:color="FFFFFF" w:sz="0"/>
                    <w:right w:val="single" w:color="FFFFFF" w:sz="4"/>
                  </w:tcBorders>
                  <w:shd w:fill="A79AE0" w:val="clear"/>
                  <w:tcMar>
                    <w:top w:type="dxa" w:w="0"/>
                    <w:left w:type="dxa" w:w="0"/>
                    <w:bottom w:type="dxa" w:w="0"/>
                    <w:right w:type="dxa" w:w="0"/>
                  </w:tcMar>
                </w:tcPr>
                <w:p/>
              </w:tc>
              <w:tc>
                <w:tcPr>
                  <w:tcW w:type="pct" w:w="16.67%"/>
                  <w:tcBorders>
                    <w:top w:val="none" w:color="FFFFFF" w:sz="0"/>
                    <w:left w:val="single" w:color="FFFFFF" w:sz="4"/>
                    <w:bottom w:val="none" w:color="FFFFFF" w:sz="0"/>
                    <w:right w:val="single" w:color="FFFFFF" w:sz="4"/>
                  </w:tcBorders>
                  <w:shd w:fill="5EB8E0" w:val="clear"/>
                  <w:tcMar>
                    <w:top w:type="dxa" w:w="0"/>
                    <w:left w:type="dxa" w:w="0"/>
                    <w:bottom w:type="dxa" w:w="0"/>
                    <w:right w:type="dxa" w:w="0"/>
                  </w:tcMar>
                </w:tcPr>
                <w:p/>
              </w:tc>
              <w:tc>
                <w:tcPr>
                  <w:tcW w:type="pct" w:w="50%"/>
                  <w:tcBorders>
                    <w:top w:val="none" w:color="FFFFFF" w:sz="0"/>
                    <w:left w:val="none" w:color="FFFFFF" w:sz="0"/>
                    <w:bottom w:val="none" w:color="FFFFFF" w:sz="0"/>
                    <w:right w:val="none" w:color="FFFFFF" w:sz="0"/>
                  </w:tcBorders>
                  <w:shd w:fill="6FC48C"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8.3.7.1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Conduct IT resilience improvement projects</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8.3.7.2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Develop, document, and maintain IT business continuity planning</w:t>
            </w:r>
          </w:p>
        </w:tc>
        <w:tc>
          <w:tcPr>
            <w:tcW w:type="pct" w:w="9.96%"/>
            <w:tcBorders>
              <w:top w:val="single" w:color="7AAED6" w:sz="2"/>
              <w:left w:val="single" w:color="7AAED6" w:sz="2"/>
              <w:bottom w:val="single" w:color="7AAED6" w:sz="2"/>
              <w:right w:val="single" w:color="7AAED6" w:sz="2"/>
            </w:tcBorders>
            <w:shd w:fill="E0F2FE" w:val="clear"/>
            <w:vAlign w:val="top"/>
          </w:tcPr>
          <w:p>
            <w:pPr>
              <w:jc w:val="center"/>
            </w:pPr>
            <w:r>
              <w:rPr>
                <w:b/>
                <w:bCs/>
                <w:color w:val="0369A1"/>
                <w:sz w:val="11"/>
                <w:szCs w:val="11"/>
              </w:rPr>
              <w:t xml:space="preserve">Document</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Systems Administrator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8.3.7.3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Implement and enforce change control procedures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8.3.7.4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Execute recurring IT service provider business continuity</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Systems Administrator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8.3.7.5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Provide IT resilience training</w:t>
            </w:r>
          </w:p>
        </w:tc>
        <w:tc>
          <w:tcPr>
            <w:tcW w:type="pct" w:w="9.96%"/>
            <w:tcBorders>
              <w:top w:val="single" w:color="7AAED6" w:sz="2"/>
              <w:left w:val="single" w:color="7AAED6" w:sz="2"/>
              <w:bottom w:val="single" w:color="7AAED6" w:sz="2"/>
              <w:right w:val="single" w:color="7AAED6" w:sz="2"/>
            </w:tcBorders>
            <w:shd w:fill="F3F0FE" w:val="clear"/>
            <w:vAlign w:val="top"/>
          </w:tcPr>
          <w:p>
            <w:pPr>
              <w:jc w:val="center"/>
            </w:pPr>
            <w:r>
              <w:rPr>
                <w:b/>
                <w:bCs/>
                <w:color w:val="534AB7"/>
                <w:sz w:val="11"/>
                <w:szCs w:val="11"/>
              </w:rPr>
              <w:t xml:space="preserve">Knowledge</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Systems Administrator</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8.3.7.6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Execute recurring IT business operations continuity</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Systems Administrator</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000000"/>
                <w:sz w:val="13"/>
                <w:szCs w:val="13"/>
              </w:rPr>
              <w:t xml:space="preserve">8.3.8</w:t>
            </w:r>
          </w:p>
        </w:tc>
        <w:tc>
          <w:tcPr>
            <w:tcW w:type="pct" w:w="31.87%"/>
            <w:tcBorders>
              <w:top w:val="single" w:color="7AAED6" w:sz="2"/>
              <w:left w:val="single" w:color="7AAED6" w:sz="2"/>
              <w:bottom w:val="single" w:color="7AAED6" w:sz="2"/>
              <w:right w:val="single" w:color="7AAED6" w:sz="2"/>
            </w:tcBorders>
            <w:shd w:fill="F9FBFD" w:val="clear"/>
            <w:tcMar>
              <w:top w:type="dxa" w:w="60"/>
              <w:left w:type="dxa" w:w="140"/>
              <w:bottom w:type="dxa" w:w="60"/>
              <w:right w:type="dxa" w:w="60"/>
            </w:tcMar>
            <w:vAlign w:val="top"/>
          </w:tcPr>
          <w:p>
            <w:pPr>
              <w:jc w:val="left"/>
            </w:pPr>
            <w:r>
              <w:rPr>
                <w:b w:val="false"/>
                <w:bCs w:val="false"/>
                <w:color w:val="444444"/>
                <w:sz w:val="14"/>
                <w:szCs w:val="14"/>
              </w:rPr>
              <w:t xml:space="preserve">Manage IT user identity and authorization</w:t>
            </w:r>
          </w:p>
        </w:tc>
        <w:tc>
          <w:tcPr>
            <w:tcW w:type="pct" w:w="9.96%"/>
            <w:tcBorders>
              <w:top w:val="single" w:color="7AAED6" w:sz="2"/>
              <w:left w:val="single" w:color="7AAED6" w:sz="2"/>
              <w:bottom w:val="single" w:color="7AAED6" w:sz="2"/>
              <w:right w:val="single" w:color="7AAED6" w:sz="2"/>
            </w:tcBorders>
            <w:shd w:fill="F9FBFD" w:val="clear"/>
            <w:tcMar>
              <w:top w:type="dxa" w:w="50"/>
              <w:left w:type="dxa" w:w="60"/>
              <w:bottom w:type="dxa" w:w="50"/>
              <w:right w:type="dxa" w:w="60"/>
            </w:tcMar>
            <w:vAlign w:val="top"/>
          </w:tcPr>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0"/>
            </w:tblGrid>
            <w:tr>
              <w:trPr>
                <w:trHeight w:val="180" w:hRule="exact"/>
              </w:trPr>
              <w:tc>
                <w:tcPr>
                  <w:tcW w:type="pct" w:w="87.5%"/>
                  <w:tcBorders>
                    <w:top w:val="none" w:color="FFFFFF" w:sz="0"/>
                    <w:left w:val="single" w:color="FFFFFF" w:sz="4"/>
                    <w:bottom w:val="none" w:color="FFFFFF" w:sz="0"/>
                    <w:right w:val="single" w:color="FFFFFF" w:sz="4"/>
                  </w:tcBorders>
                  <w:shd w:fill="6FC48C" w:val="clear"/>
                  <w:tcMar>
                    <w:top w:type="dxa" w:w="0"/>
                    <w:left w:type="dxa" w:w="0"/>
                    <w:bottom w:type="dxa" w:w="0"/>
                    <w:right w:type="dxa" w:w="0"/>
                  </w:tcMar>
                </w:tcPr>
                <w:p/>
              </w:tc>
              <w:tc>
                <w:tcPr>
                  <w:tcW w:type="pct" w:w="12.5%"/>
                  <w:tcBorders>
                    <w:top w:val="none" w:color="FFFFFF" w:sz="0"/>
                    <w:left w:val="none" w:color="FFFFFF" w:sz="0"/>
                    <w:bottom w:val="none" w:color="FFFFFF" w:sz="0"/>
                    <w:right w:val="none" w:color="FFFFFF" w:sz="0"/>
                  </w:tcBorders>
                  <w:shd w:fill="E88A8A" w:val="clear"/>
                  <w:tcMar>
                    <w:top w:type="dxa" w:w="0"/>
                    <w:left w:type="dxa" w:w="0"/>
                    <w:bottom w:type="dxa" w:w="0"/>
                    <w:right w:type="dxa" w:w="0"/>
                  </w:tcMar>
                </w:tcPr>
                <w:p/>
              </w:tc>
            </w:tr>
          </w:tbl>
          <w:p/>
        </w:tc>
        <w:tc>
          <w:tcPr>
            <w:tcW w:type="pct" w:w="14.44%"/>
            <w:tcBorders>
              <w:top w:val="single" w:color="7AAED6" w:sz="2"/>
              <w:left w:val="single" w:color="7AAED6" w:sz="2"/>
              <w:bottom w:val="single" w:color="7AAED6" w:sz="2"/>
              <w:right w:val="single" w:color="7AAED6" w:sz="2"/>
            </w:tcBorders>
            <w:shd w:fill="F9FBFD"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9FBFD"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8.3.8.1</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Support integration of identity and authorization policies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8.3.8.2</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IT user directory</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8.3.8.3</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Manage IT user authorization</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8.3.8.4</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Manage IT user authentication mechanisms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8.3.8.5</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Audit IT user identity and authorization systems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8.3.8.6</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Respond to IT information security and network breaches</w:t>
            </w:r>
          </w:p>
        </w:tc>
        <w:tc>
          <w:tcPr>
            <w:tcW w:type="pct" w:w="9.96%"/>
            <w:tcBorders>
              <w:top w:val="single" w:color="7AAED6" w:sz="2"/>
              <w:left w:val="single" w:color="7AAED6" w:sz="2"/>
              <w:bottom w:val="single" w:color="7AAED6" w:sz="2"/>
              <w:right w:val="single" w:color="7AAED6" w:sz="2"/>
            </w:tcBorders>
            <w:shd w:fill="FEE2E2" w:val="clear"/>
            <w:vAlign w:val="top"/>
          </w:tcPr>
          <w:p>
            <w:pPr>
              <w:jc w:val="center"/>
            </w:pPr>
            <w:r>
              <w:rPr>
                <w:b/>
                <w:bCs/>
                <w:color w:val="991B1B"/>
                <w:sz w:val="11"/>
                <w:szCs w:val="11"/>
              </w:rPr>
              <w:t xml:space="preserve">Exception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FFFFF" w:val="clear"/>
            <w:tcMar>
              <w:top w:type="dxa" w:w="60"/>
              <w:left w:type="dxa" w:w="140"/>
              <w:bottom w:type="dxa" w:w="60"/>
              <w:right w:type="dxa" w:w="60"/>
            </w:tcMar>
            <w:vAlign w:val="top"/>
          </w:tcPr>
          <w:p>
            <w:pPr>
              <w:jc w:val="left"/>
            </w:pPr>
            <w:r>
              <w:rPr>
                <w:b w:val="false"/>
                <w:bCs w:val="false"/>
                <w:color w:val="000000"/>
                <w:sz w:val="13"/>
                <w:szCs w:val="13"/>
              </w:rPr>
              <w:t xml:space="preserve">8.3.8.7</w:t>
            </w:r>
          </w:p>
        </w:tc>
        <w:tc>
          <w:tcPr>
            <w:tcW w:type="pct" w:w="31.87%"/>
            <w:tcBorders>
              <w:top w:val="single" w:color="7AAED6" w:sz="2"/>
              <w:left w:val="single" w:color="7AAED6" w:sz="2"/>
              <w:bottom w:val="single" w:color="7AAED6" w:sz="2"/>
              <w:right w:val="single" w:color="7AAED6" w:sz="2"/>
            </w:tcBorders>
            <w:shd w:fill="FFFFFF" w:val="clear"/>
            <w:tcMar>
              <w:top w:type="dxa" w:w="60"/>
              <w:left w:type="dxa" w:w="400"/>
              <w:bottom w:type="dxa" w:w="60"/>
              <w:right w:type="dxa" w:w="60"/>
            </w:tcMar>
            <w:vAlign w:val="top"/>
          </w:tcPr>
          <w:p>
            <w:pPr>
              <w:jc w:val="left"/>
            </w:pPr>
            <w:r>
              <w:rPr>
                <w:b w:val="false"/>
                <w:bCs w:val="false"/>
                <w:color w:val="444444"/>
                <w:sz w:val="14"/>
                <w:szCs w:val="14"/>
              </w:rPr>
              <w:t xml:space="preserve">Conduct penetration testing</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FFFFF"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FFFFF" w:val="clear"/>
          </w:tcPr>
          <w:p>
            <w:r>
              <w:rPr>
                <w:color w:val="999999"/>
                <w:sz w:val="14"/>
                <w:szCs w:val="14"/>
              </w:rPr>
              <w:t xml:space="preserve">—</w:t>
            </w:r>
          </w:p>
        </w:tc>
      </w:tr>
      <w:tr>
        <w:tc>
          <w:tcPr>
            <w:tcW w:type="pct" w:w="7.47%"/>
            <w:tcBorders>
              <w:top w:val="single" w:color="7AAED6" w:sz="2"/>
              <w:left w:val="single" w:color="7AAED6" w:sz="2"/>
              <w:bottom w:val="single" w:color="7AAED6" w:sz="2"/>
              <w:right w:val="single" w:color="7AAED6" w:sz="2"/>
            </w:tcBorders>
            <w:shd w:fill="FBFCFE" w:val="clear"/>
            <w:tcMar>
              <w:top w:type="dxa" w:w="60"/>
              <w:left w:type="dxa" w:w="140"/>
              <w:bottom w:type="dxa" w:w="60"/>
              <w:right w:type="dxa" w:w="60"/>
            </w:tcMar>
            <w:vAlign w:val="top"/>
          </w:tcPr>
          <w:p>
            <w:pPr>
              <w:jc w:val="left"/>
            </w:pPr>
            <w:r>
              <w:rPr>
                <w:b w:val="false"/>
                <w:bCs w:val="false"/>
                <w:color w:val="000000"/>
                <w:sz w:val="13"/>
                <w:szCs w:val="13"/>
              </w:rPr>
              <w:t xml:space="preserve">8.3.8.8</w:t>
            </w:r>
          </w:p>
        </w:tc>
        <w:tc>
          <w:tcPr>
            <w:tcW w:type="pct" w:w="31.87%"/>
            <w:tcBorders>
              <w:top w:val="single" w:color="7AAED6" w:sz="2"/>
              <w:left w:val="single" w:color="7AAED6" w:sz="2"/>
              <w:bottom w:val="single" w:color="7AAED6" w:sz="2"/>
              <w:right w:val="single" w:color="7AAED6" w:sz="2"/>
            </w:tcBorders>
            <w:shd w:fill="FBFCFE" w:val="clear"/>
            <w:tcMar>
              <w:top w:type="dxa" w:w="60"/>
              <w:left w:type="dxa" w:w="400"/>
              <w:bottom w:type="dxa" w:w="60"/>
              <w:right w:type="dxa" w:w="60"/>
            </w:tcMar>
            <w:vAlign w:val="top"/>
          </w:tcPr>
          <w:p>
            <w:pPr>
              <w:jc w:val="left"/>
            </w:pPr>
            <w:r>
              <w:rPr>
                <w:b w:val="false"/>
                <w:bCs w:val="false"/>
                <w:color w:val="444444"/>
                <w:sz w:val="14"/>
                <w:szCs w:val="14"/>
              </w:rPr>
              <w:t xml:space="preserve">Audit integration of user identity and authorization systems</w:t>
            </w:r>
          </w:p>
        </w:tc>
        <w:tc>
          <w:tcPr>
            <w:tcW w:type="pct" w:w="9.96%"/>
            <w:tcBorders>
              <w:top w:val="single" w:color="7AAED6" w:sz="2"/>
              <w:left w:val="single" w:color="7AAED6" w:sz="2"/>
              <w:bottom w:val="single" w:color="7AAED6" w:sz="2"/>
              <w:right w:val="single" w:color="7AAED6" w:sz="2"/>
            </w:tcBorders>
            <w:shd w:fill="DCFCE7" w:val="clear"/>
            <w:vAlign w:val="top"/>
          </w:tcPr>
          <w:p>
            <w:pPr>
              <w:jc w:val="center"/>
            </w:pPr>
            <w:r>
              <w:rPr>
                <w:b/>
                <w:bCs/>
                <w:color w:val="166534"/>
                <w:sz w:val="11"/>
                <w:szCs w:val="11"/>
              </w:rPr>
              <w:t xml:space="preserve">Transaction</w:t>
            </w:r>
          </w:p>
        </w:tc>
        <w:tc>
          <w:tcPr>
            <w:tcW w:type="pct" w:w="14.44%"/>
            <w:tcBorders>
              <w:top w:val="single" w:color="7AAED6" w:sz="2"/>
              <w:left w:val="single" w:color="7AAED6" w:sz="2"/>
              <w:bottom w:val="single" w:color="7AAED6" w:sz="2"/>
              <w:right w:val="single" w:color="7AAED6" w:sz="2"/>
            </w:tcBorders>
            <w:shd w:fill="FBFCFE" w:val="clear"/>
          </w:tcPr>
          <w:p>
            <w:pPr>
              <w:spacing w:after="30"/>
            </w:pPr>
            <w:r>
              <w:rPr>
                <w:i w:val="false"/>
                <w:iCs w:val="false"/>
                <w:color w:val="444444"/>
                <w:sz w:val="14"/>
                <w:szCs w:val="14"/>
              </w:rPr>
              <w:t xml:space="preserve">Cybersecurity Analyst</w:t>
            </w:r>
          </w:p>
        </w:tc>
        <w:tc>
          <w:tcPr>
            <w:tcW w:type="pct" w:w="14.44%"/>
            <w:tcBorders>
              <w:top w:val="single" w:color="7AAED6" w:sz="2"/>
              <w:left w:val="single" w:color="7AAED6" w:sz="2"/>
              <w:bottom w:val="single" w:color="7AAED6" w:sz="2"/>
              <w:right w:val="single" w:color="7AAED6" w:sz="2"/>
            </w:tcBorders>
            <w:shd w:fill="F5F5F5" w:val="clear"/>
          </w:tcPr>
          <w:p>
            <w:pPr>
              <w:spacing w:after="30"/>
            </w:pPr>
            <w:r>
              <w:rPr>
                <w:i w:val="false"/>
                <w:iCs w:val="false"/>
                <w:color w:val="444444"/>
                <w:sz w:val="14"/>
                <w:szCs w:val="14"/>
              </w:rPr>
              <w:t xml:space="preserve">Director of Cybersecurity</w:t>
            </w:r>
          </w:p>
        </w:tc>
        <w:tc>
          <w:tcPr>
            <w:tcW w:type="pct" w:w="11.95%"/>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c>
          <w:tcPr>
            <w:tcW w:type="pct" w:w="9.86%"/>
            <w:tcBorders>
              <w:top w:val="single" w:color="7AAED6" w:sz="2"/>
              <w:left w:val="single" w:color="7AAED6" w:sz="2"/>
              <w:bottom w:val="single" w:color="7AAED6" w:sz="2"/>
              <w:right w:val="single" w:color="7AAED6" w:sz="2"/>
            </w:tcBorders>
            <w:shd w:fill="FBFCFE" w:val="clear"/>
          </w:tcPr>
          <w:p>
            <w:r>
              <w:rPr>
                <w:color w:val="999999"/>
                <w:sz w:val="14"/>
                <w:szCs w:val="14"/>
              </w:rPr>
              <w:t xml:space="preserve">—</w:t>
            </w:r>
          </w:p>
        </w:tc>
      </w:tr>
    </w:tbl>
    <w:p>
      <w:pPr>
        <w:spacing w:after="100" w:before="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600"/>
        <w:gridCol w:w="1800"/>
        <w:gridCol w:w="1600"/>
        <w:gridCol w:w="1940"/>
      </w:tblGrid>
      <w:tr>
        <w:tc>
          <w:tcPr>
            <w:tcW w:type="pct" w:w="14.94%"/>
            <w:tcBorders>
              <w:top w:val="none" w:color="FFFFFF" w:sz="0"/>
              <w:left w:val="none" w:color="FFFFFF" w:sz="0"/>
              <w:bottom w:val="none" w:color="FFFFFF" w:sz="0"/>
              <w:right w:val="none" w:color="FFFFFF" w:sz="0"/>
            </w:tcBorders>
          </w:tcPr>
          <w:p>
            <w:r>
              <w:rPr>
                <w:color w:val="1B4F8A"/>
                <w:sz w:val="13"/>
                <w:szCs w:val="13"/>
              </w:rPr>
              <w:t xml:space="preserve">■ </w:t>
            </w:r>
            <w:r>
              <w:rPr>
                <w:color w:val="444444"/>
                <w:sz w:val="13"/>
                <w:szCs w:val="13"/>
              </w:rPr>
              <w:t xml:space="preserve">Decision</w:t>
            </w:r>
          </w:p>
        </w:tc>
        <w:tc>
          <w:tcPr>
            <w:tcW w:type="pct" w:w="15.94%"/>
            <w:tcBorders>
              <w:top w:val="none" w:color="FFFFFF" w:sz="0"/>
              <w:left w:val="none" w:color="FFFFFF" w:sz="0"/>
              <w:bottom w:val="none" w:color="FFFFFF" w:sz="0"/>
              <w:right w:val="none" w:color="FFFFFF" w:sz="0"/>
            </w:tcBorders>
          </w:tcPr>
          <w:p>
            <w:r>
              <w:rPr>
                <w:color w:val="534AB7"/>
                <w:sz w:val="13"/>
                <w:szCs w:val="13"/>
              </w:rPr>
              <w:t xml:space="preserve">■ </w:t>
            </w:r>
            <w:r>
              <w:rPr>
                <w:color w:val="444444"/>
                <w:sz w:val="13"/>
                <w:szCs w:val="13"/>
              </w:rPr>
              <w:t xml:space="preserve">Knowledge</w:t>
            </w:r>
          </w:p>
        </w:tc>
        <w:tc>
          <w:tcPr>
            <w:tcW w:type="pct" w:w="15.94%"/>
            <w:tcBorders>
              <w:top w:val="none" w:color="FFFFFF" w:sz="0"/>
              <w:left w:val="none" w:color="FFFFFF" w:sz="0"/>
              <w:bottom w:val="none" w:color="FFFFFF" w:sz="0"/>
              <w:right w:val="none" w:color="FFFFFF" w:sz="0"/>
            </w:tcBorders>
          </w:tcPr>
          <w:p>
            <w:r>
              <w:rPr>
                <w:color w:val="0369A1"/>
                <w:sz w:val="13"/>
                <w:szCs w:val="13"/>
              </w:rPr>
              <w:t xml:space="preserve">■ </w:t>
            </w:r>
            <w:r>
              <w:rPr>
                <w:color w:val="444444"/>
                <w:sz w:val="13"/>
                <w:szCs w:val="13"/>
              </w:rPr>
              <w:t xml:space="preserve">Document</w:t>
            </w:r>
          </w:p>
        </w:tc>
        <w:tc>
          <w:tcPr>
            <w:tcW w:type="pct" w:w="17.93%"/>
            <w:tcBorders>
              <w:top w:val="none" w:color="FFFFFF" w:sz="0"/>
              <w:left w:val="none" w:color="FFFFFF" w:sz="0"/>
              <w:bottom w:val="none" w:color="FFFFFF" w:sz="0"/>
              <w:right w:val="none" w:color="FFFFFF" w:sz="0"/>
            </w:tcBorders>
          </w:tcPr>
          <w:p>
            <w:r>
              <w:rPr>
                <w:color w:val="166534"/>
                <w:sz w:val="13"/>
                <w:szCs w:val="13"/>
              </w:rPr>
              <w:t xml:space="preserve">■ </w:t>
            </w:r>
            <w:r>
              <w:rPr>
                <w:color w:val="444444"/>
                <w:sz w:val="13"/>
                <w:szCs w:val="13"/>
              </w:rPr>
              <w:t xml:space="preserve">Transaction</w:t>
            </w:r>
          </w:p>
        </w:tc>
        <w:tc>
          <w:tcPr>
            <w:tcW w:type="pct" w:w="15.94%"/>
            <w:tcBorders>
              <w:top w:val="none" w:color="FFFFFF" w:sz="0"/>
              <w:left w:val="none" w:color="FFFFFF" w:sz="0"/>
              <w:bottom w:val="none" w:color="FFFFFF" w:sz="0"/>
              <w:right w:val="none" w:color="FFFFFF" w:sz="0"/>
            </w:tcBorders>
          </w:tcPr>
          <w:p>
            <w:r>
              <w:rPr>
                <w:color w:val="991B1B"/>
                <w:sz w:val="13"/>
                <w:szCs w:val="13"/>
              </w:rPr>
              <w:t xml:space="preserve">■ </w:t>
            </w:r>
            <w:r>
              <w:rPr>
                <w:color w:val="444444"/>
                <w:sz w:val="13"/>
                <w:szCs w:val="13"/>
              </w:rPr>
              <w:t xml:space="preserve">Exception</w:t>
            </w:r>
          </w:p>
        </w:tc>
        <w:tc>
          <w:tcPr>
            <w:tcW w:type="pct" w:w="19.32%"/>
            <w:tcBorders>
              <w:top w:val="none" w:color="FFFFFF" w:sz="0"/>
              <w:left w:val="none" w:color="FFFFFF" w:sz="0"/>
              <w:bottom w:val="none" w:color="FFFFFF" w:sz="0"/>
              <w:right w:val="none" w:color="FFFFFF" w:sz="0"/>
            </w:tcBorders>
          </w:tcPr>
          <w:p/>
        </w:tc>
      </w:tr>
    </w:tbl>
    <w:p>
      <w:pPr>
        <w:spacing w:before="100"/>
      </w:pPr>
      <w:r>
        <w:rPr>
          <w:i/>
          <w:iCs/>
          <w:color w:val="888888"/>
          <w:sz w:val="13"/>
          <w:szCs w:val="13"/>
        </w:rPr>
        <w:t xml:space="preserve">★ A = Accountable · RACI grounded in real APQC L4 activity text · 8 confirmed L3 assignments in this value stream · © Timothy P. King 2026 · developed with the assistance of Claude (Anthropic)</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3"/>
        <w:szCs w:val="13"/>
      </w:rPr>
      <w:t xml:space="preserve">Page </w:t>
    </w:r>
    <w:r>
      <w:rPr>
        <w:color w:val="888888"/>
        <w:sz w:val="13"/>
        <w:szCs w:val="13"/>
      </w:rPr>
      <w:fldChar w:fldCharType="begin"/>
      <w:instrText xml:space="preserve">PAGE</w:instrText>
      <w:fldChar w:fldCharType="separate"/>
      <w:fldChar w:fldCharType="end"/>
    </w:r>
    <w:r>
      <w:rPr>
        <w:color w:val="888888"/>
        <w:sz w:val="13"/>
        <w:szCs w:val="13"/>
      </w:rPr>
      <w:t xml:space="preserve"> of </w:t>
    </w:r>
    <w:r>
      <w:rPr>
        <w:color w:val="888888"/>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
    </w:pPr>
    <w:r>
      <w:rPr>
        <w:b/>
        <w:bCs/>
        <w:color w:val="1B4F8A"/>
        <w:sz w:val="13"/>
        <w:szCs w:val="13"/>
      </w:rPr>
      <w:t xml:space="preserve">The Human-AI Partnership Framework</w:t>
    </w:r>
  </w:p>
  <w:p>
    <w:r>
      <w:rPr>
        <w:i/>
        <w:iCs/>
        <w:color w:val="888888"/>
        <w:sz w:val="13"/>
        <w:szCs w:val="13"/>
      </w:rPr>
      <w:t xml:space="preserve">PCF 8.3 — Risk-to-Resilience — RACI Assignment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2026-08-09T12:47:35.207Z</dcterms:created>
  <dcterms:modified xsi:type="dcterms:W3CDTF">2026-08-09T12:47:35.207Z</dcterms:modified>
</cp:coreProperties>
</file>

<file path=docProps/custom.xml><?xml version="1.0" encoding="utf-8"?>
<Properties xmlns="http://schemas.openxmlformats.org/officeDocument/2006/custom-properties" xmlns:vt="http://schemas.openxmlformats.org/officeDocument/2006/docPropsVTypes"/>
</file>