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20"/>
              <w:left w:type="dxa" w:w="200"/>
              <w:bottom w:type="dxa" w:w="22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160"/>
      </w:pPr>
    </w:p>
    <w:p>
      <w:pPr>
        <w:spacing w:after="80" w:before="200"/>
        <w:jc w:val="center"/>
      </w:pPr>
      <w:r>
        <w:rPr>
          <w:rFonts w:ascii="Segoe UI" w:cs="Segoe UI" w:eastAsia="Segoe UI" w:hAnsi="Segoe UI"/>
          <w:b/>
          <w:bCs/>
          <w:color w:val="888888"/>
          <w:spacing w:val="12"/>
          <w:sz w:val="14"/>
          <w:szCs w:val="14"/>
        </w:rPr>
        <w:t xml:space="preserve">HITL-DRIVEN ARCHITECTURE  ·  READ-ONLY  ·  DIAGNOSTIC  ·  NOT A CONTENT CHANGE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0D2D4F"/>
          <w:sz w:val="32"/>
          <w:szCs w:val="32"/>
        </w:rPr>
        <w:t xml:space="preserve">Content Generation Rules — Compliance Audit</w:t>
      </w: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i/>
          <w:iCs/>
          <w:color w:val="1B4F8A"/>
          <w:sz w:val="19"/>
          <w:szCs w:val="19"/>
        </w:rPr>
        <w:t xml:space="preserve">WIP Hub Pass (Proof-of-Concept)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A proof-of-concept pass checking the 17 proposed rules against the WIP hub's own 9 in-scope documents — before any rule is approved, and before anything gets applied to the live framework.</w:t>
      </w:r>
    </w:p>
    <w:p>
      <w:pPr>
        <w:spacing w:after="80"/>
      </w:pPr>
    </w:p>
    <w:tbl>
      <w:tblPr>
        <w:tblW w:type="dxa" w:w="10040"/>
        <w:tblBorders>
          <w:top w:val="none"/>
          <w:left w:val="single" w:color="1B4F8A" w:sz="24"/>
          <w:bottom w:val="none"/>
          <w:right w:val="none"/>
          <w:insideH w:val="none"/>
          <w:insideV w:val="none"/>
        </w:tblBorders>
      </w:tblPr>
      <w:tblGrid>
        <w:gridCol w:w="10040"/>
      </w:tblGrid>
      <w:tr>
        <w:tc>
          <w:tcPr>
            <w:tcW w:type="dxa" w:w="10040"/>
            <w:shd w:fill="EEF3FA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40"/>
            </w:pPr>
            <w:r>
              <w:rPr>
                <w:rFonts w:ascii="Segoe UI" w:cs="Segoe UI" w:eastAsia="Segoe UI" w:hAnsi="Segoe UI"/>
                <w:b/>
                <w:bCs/>
                <w:color w:val="1B4F8A"/>
                <w:sz w:val="17"/>
                <w:szCs w:val="17"/>
              </w:rPr>
              <w:t xml:space="preserve">Scope: </w:t>
            </w:r>
            <w:r>
              <w:rPr>
                <w:rFonts w:ascii="Segoe UI" w:cs="Segoe UI" w:eastAsia="Segoe UI" w:hAnsi="Segoe UI"/>
                <w:color w:val="333333"/>
                <w:sz w:val="17"/>
                <w:szCs w:val="17"/>
              </w:rPr>
              <w:t xml:space="preserve">the 9 documents in the WIP hub that are Tim/Claude's own generated content — the 3 role pattern-transition narratives, The Shock Wave Effect, From Concept to Principle, the 3 rules docs themselves, and Talking Through Your Questions. GiGi's 2 review notes are excluded, same reasoning as the Word-doc backfill: they're her own words, not ours to audit against our own house rules. Nothing on the live, published framework was touched or scored in this pass.</w:t>
            </w:r>
          </w:p>
          <w:p>
            <w:pPr>
              <w:spacing w:after="0"/>
            </w:pPr>
            <w:r>
              <w:rPr>
                <w:rFonts w:ascii="Segoe UI" w:cs="Segoe UI" w:eastAsia="Segoe UI" w:hAnsi="Segoe UI"/>
                <w:b/>
                <w:bCs/>
                <w:color w:val="1B4F8A"/>
                <w:sz w:val="17"/>
                <w:szCs w:val="17"/>
              </w:rPr>
              <w:t xml:space="preserve">Method: </w:t>
            </w:r>
            <w:r>
              <w:rPr>
                <w:rFonts w:ascii="Segoe UI" w:cs="Segoe UI" w:eastAsia="Segoe UI" w:hAnsi="Segoe UI"/>
                <w:color w:val="333333"/>
                <w:sz w:val="17"/>
                <w:szCs w:val="17"/>
              </w:rPr>
              <w:t xml:space="preserve">mechanically checkable rules (colors/fonts, callout counts, banned phrases, H% proximity, etc.) were run through a script against the raw source of each document; every hit was then read in context by hand — a keyword match is not the same as a violation, and several of the strongest-looking hits below turned out to be the rules docs themselves quoting the phrase as an example. Rules that require actual judgment (does this page link a pattern legend? is the load-bearing claim pulled out?) were assessed by a direct read, not a script.</w:t>
            </w:r>
          </w:p>
        </w:tc>
      </w:tr>
    </w:tbl>
    <w:p>
      <w:pPr>
        <w:spacing w:after="160"/>
      </w:pPr>
    </w:p>
    <w:tbl>
      <w:tblPr>
        <w:tblW w:type="dxa" w:w="10040"/>
        <w:tblBorders>
          <w:top w:val="none"/>
          <w:left w:val="single" w:color="B8873F" w:sz="24"/>
          <w:bottom w:val="none"/>
          <w:right w:val="none"/>
          <w:insideH w:val="none"/>
          <w:insideV w:val="none"/>
        </w:tblBorders>
      </w:tblPr>
      <w:tblGrid>
        <w:gridCol w:w="10040"/>
      </w:tblGrid>
      <w:tr>
        <w:tc>
          <w:tcPr>
            <w:tcW w:type="dxa" w:w="10040"/>
            <w:shd w:fill="FEF3C7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r>
              <w:rPr>
                <w:rFonts w:ascii="Segoe UI" w:cs="Segoe UI" w:eastAsia="Segoe UI" w:hAnsi="Segoe UI"/>
                <w:b/>
                <w:bCs/>
                <w:i/>
                <w:iCs/>
                <w:color w:val="7A5A1E"/>
                <w:sz w:val="17"/>
                <w:szCs w:val="17"/>
              </w:rPr>
              <w:t xml:space="preserve">Update since this audit was first run: </w:t>
            </w:r>
            <w:r>
              <w:rPr>
                <w:rFonts w:ascii="Segoe UI" w:cs="Segoe UI" w:eastAsia="Segoe UI" w:hAnsi="Segoe UI"/>
                <w:i/>
                <w:iCs/>
                <w:color w:val="7A5A1E"/>
                <w:sz w:val="17"/>
                <w:szCs w:val="17"/>
              </w:rPr>
              <w:t xml:space="preserve">three of the findings below have already been fixed, as a proof-of-concept for what bringing a document into compliance actually looks like. (1) Token Lock's color list now includes the light-blue accent — the pattern-palette and background gaps noted below are still open. (2) All 3 role-narrative Word docs now display the canonical pattern legend directly above their composition table. (3) The one under-labeled convergence-gap mention in Talking Through Your Questions now carries an explicit "modeled, not observed" note. Each fixed finding below is marked accordingly. The bigger open question — the two-design-systems finding itself, and what to do about the 3 role-narrative pages' font stack and type scale — was deliberately left untouched: this remediation pass touched only the Word-doc companions and the rule text, never the live, published HTML.</w:t>
            </w:r>
          </w:p>
        </w:tc>
      </w:tr>
    </w:tbl>
    <w:p>
      <w:pPr>
        <w:spacing w:after="160"/>
      </w:pP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Headline Finding: Two Design Systems Are Currently Coexisting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The 3 role pattern-transition narratives (CHRO, HRBP Manager, Recruiter) were built for a print/PDF export pipeline and use a genuinely different system than the rest of the WIP hub: Segoe UI and Georgia instead of DM Sans/Playfair Display/DM Mono, point-based sizing instead of the standard px scale, no callout boxes, and no pattern legend anywhere on the page. The other 6 documents already follow the site's native HTML masthead system closely. This isn't a defect in either set — the print system was a deliberate, reasoned choice for a PDF export pipeline — but it means Token Lock and the Standing Type Scale, as currently worded, would need an explicit carve-out for print-oriented exhibit pages, or those 3 pages would need to be rebuilt onto the standard system. That's a real decision, not a bug to quietly fix.</w:t>
      </w: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Rule-Gap Findings: the Rules Themselves Need a Small Fix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Token Lock's written color list (navy, navy-d, navy-l, gray, light gray, border, amber, amber-bg) omitted several colors that are already in universal, load-bearing use across every document in the framework — not just these 9. As literally worded, the rule would flag nearly every page in the WIP hub, and the live site too. That's a sign the rule's list was incomplete, not that the content is wrong. One of the three has since been folded into the rule; two remain open: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340"/>
        <w:gridCol w:w="2300"/>
      </w:tblGrid>
      <w:tr>
        <w:trPr>
          <w:cantSplit/>
          <w:tblHeader/>
        </w:trPr>
        <w:tc>
          <w:tcPr>
            <w:tcW w:type="dxa" w:w="24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Color</w:t>
            </w:r>
          </w:p>
        </w:tc>
        <w:tc>
          <w:tcPr>
            <w:tcW w:type="dxa" w:w="534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Where it's used</w:t>
            </w:r>
          </w:p>
        </w:tc>
        <w:tc>
          <w:tcPr>
            <w:tcW w:type="dxa" w:w="23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Light-blue accent
(#9FC2EE / #9FC0E8)</w:t>
            </w:r>
          </w:p>
        </w:tc>
        <w:tc>
          <w:tcPr>
            <w:tcW w:type="dxa" w:w="5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Every masthead tagline and nav element across all 9 documents</w:t>
            </w:r>
          </w:p>
        </w:tc>
        <w:tc>
          <w:tcPr>
            <w:tcW w:type="dxa" w:w="23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0D2D4F"/>
                <w:sz w:val="14"/>
                <w:szCs w:val="14"/>
              </w:rPr>
              <w:t xml:space="preserve">FIXED</w:t>
            </w:r>
          </w:p>
          <w:p>
            <w:r>
              <w:rPr>
                <w:rFonts w:ascii="Segoe UI" w:cs="Segoe UI" w:eastAsia="Segoe UI" w:hAnsi="Segoe UI"/>
                <w:i/>
                <w:iCs/>
                <w:color w:val="888888"/>
                <w:sz w:val="14"/>
                <w:szCs w:val="14"/>
              </w:rPr>
              <w:t xml:space="preserve">— Rule 1 now explicitly lists it as locked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Five-pattern color palette</w:t>
            </w:r>
          </w:p>
        </w:tc>
        <w:tc>
          <w:tcPr>
            <w:tcW w:type="dxa" w:w="5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Decision / Knowledge / Document / Transaction / Exception, both box and text variants — already locked in as the dashboard’s standard, used throughout the role-narrative pages</w:t>
            </w:r>
          </w:p>
        </w:tc>
        <w:tc>
          <w:tcPr>
            <w:tcW w:type="dxa" w:w="23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0D2D4F"/>
                <w:sz w:val="14"/>
                <w:szCs w:val="14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Page background
(#F4F6FB)</w:t>
            </w:r>
          </w:p>
        </w:tc>
        <w:tc>
          <w:tcPr>
            <w:tcW w:type="dxa" w:w="5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The standard body background on every one of these pages</w:t>
            </w:r>
          </w:p>
        </w:tc>
        <w:tc>
          <w:tcPr>
            <w:tcW w:type="dxa" w:w="23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0D2D4F"/>
                <w:sz w:val="14"/>
                <w:szCs w:val="14"/>
              </w:rPr>
              <w:t xml:space="preserve">OPEN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Segoe UI" w:cs="Segoe UI" w:eastAsia="Segoe UI" w:hAnsi="Segoe UI"/>
          <w:i/>
          <w:iCs/>
          <w:color w:val="888888"/>
          <w:sz w:val="16"/>
          <w:szCs w:val="16"/>
        </w:rPr>
        <w:t xml:space="preserve">Remaining recommendation: extend Rule 1 to whitelist the pattern palette and the standard page background too, the same way the light-blue accent was just folded in — rather than leaving Token Lock in a state where compliant, well-established pages still read as violations.</w:t>
      </w: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Visual System &amp; Hierarchy — 7 Rules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6340"/>
      </w:tblGrid>
      <w:tr>
        <w:trPr>
          <w:cantSplit/>
          <w:tblHeader/>
        </w:trPr>
        <w:tc>
          <w:tcPr>
            <w:tcW w:type="dxa" w:w="11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Verdict</w:t>
            </w:r>
          </w:p>
        </w:tc>
        <w:tc>
          <w:tcPr>
            <w:tcW w:type="dxa" w:w="26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Rule</w:t>
            </w:r>
          </w:p>
        </w:tc>
        <w:tc>
          <w:tcPr>
            <w:tcW w:type="dxa" w:w="634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Finding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GAP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1 — Token Lock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The light-blue portion of the rule-gap finding above is now fixed — Rule 1 explicitly lists it as locked. The pattern-palette and background gaps remain open. Separately, the 3 role-narrative pages still use an entirely different font stack on the live HTML (Segoe UI / Georgia) rather than DM Sans / Playfair Display / DM Mono — untouched by this remediation pass, which deliberately stayed inside the Word-doc companions.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9FC2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MIXED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2 — One Pattern Legend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Fixed in the Word-doc companions: all 3 role-narrative docx now display the canonical pattern legend — the same fixed color-and-label mapping used by the live dashboard — directly above their composition table. The live HTML pages for these 3 roles still don't display or link one; this pass deliberately touched only the docx, so that gap stays open until a live-site pass is authorized.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9FC2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MIXED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3 — Extract the Load-Bearing Claim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The role-narrative pages already do this reasonably well (bold exhibit headlines carry the finding). Talking Through Your Questions works through the ~21-point convergence-gap math in dense prose rather than a callout — a real candidate for extraction, though it's a working discussion draft rather than a polished deliverable.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4 — Callout Budget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No document exceeds 3. (An earlier automated pass mis-flagged Talking Through Your Questions at 8 by matching "callout-rule," a plain divider, as if it were a callout — corrected on inspection; its real count is 3, right at the limit.)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9FC2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MIXED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5 — Standing Type Scale as Default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The 6 standard-system documents track the locked scale closely (H1 22–28px, H2 16–20px, body 13–14.5px). The 3 role-narrative pages use a smaller, point-based scale from their print pipeline that doesn’t map onto these px ranges at all — same root cause as the headline finding.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6 — Protect the Signature Line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"Where human judgment belongs" appears twice, both times as an isolated tagline element, never merged into a sentence.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DDE3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888888"/>
                <w:sz w:val="12"/>
                <w:szCs w:val="12"/>
              </w:rPr>
              <w:t xml:space="preserve">N/A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7 — The Executive Layer Never Replaces the Technical Layer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None of these 9 documents are executive-summary/briefing content sitting alongside a technical source — this rule targets the CHRO-facing briefing series specifically, which isn’t part of the WIP set. Nothing to check here yet.</w:t>
            </w:r>
          </w:p>
        </w:tc>
      </w:tr>
    </w:tbl>
    <w:p>
      <w:pPr>
        <w:spacing w:after="160"/>
      </w:pP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Navigation &amp; Structure — 3 Rules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6340"/>
      </w:tblGrid>
      <w:tr>
        <w:trPr>
          <w:cantSplit/>
          <w:tblHeader/>
        </w:trPr>
        <w:tc>
          <w:tcPr>
            <w:tcW w:type="dxa" w:w="11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Verdict</w:t>
            </w:r>
          </w:p>
        </w:tc>
        <w:tc>
          <w:tcPr>
            <w:tcW w:type="dxa" w:w="26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Rule</w:t>
            </w:r>
          </w:p>
        </w:tc>
        <w:tc>
          <w:tcPr>
            <w:tcW w:type="dxa" w:w="634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Finding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DDE3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888888"/>
                <w:sz w:val="12"/>
                <w:szCs w:val="12"/>
              </w:rPr>
              <w:t xml:space="preserve">N/A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1 — Problem-First Entry Points, Additive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This rule governs the site's primary navigation (docs/index.html), which is out of scope for a WIP-only pass — none of these 9 documents have their own independent top-level nav to check.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2 — One Canonical Explanatory Sequence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"Technology Capability → Work Design → Human Judgment → Accountability → Readiness" appears verbatim, in order, in the 2 documents that use it (the Navigation rules doc and Talking Through Your Questions) — no drift or paraphrase found. (Two other apparent hits, in The Shock Wave Effect and the Visual System rules doc, turned out to be coincidental reuse of single words — "Accountability" as a Shock Wave ring name, "Readiness" inside "Readiness Table" — not the sequence itself.)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DDE3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888888"/>
                <w:sz w:val="12"/>
                <w:szCs w:val="12"/>
              </w:rPr>
              <w:t xml:space="preserve">N/A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3 — Hierarchy Fix Not Redesign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A process constraint on how navigation changes get evaluated, not a property existing content can be checked against.</w:t>
            </w:r>
          </w:p>
        </w:tc>
      </w:tr>
    </w:tbl>
    <w:p>
      <w:pPr>
        <w:spacing w:after="160"/>
      </w:pP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Language &amp; Precision — 7 Rules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6340"/>
      </w:tblGrid>
      <w:tr>
        <w:trPr>
          <w:cantSplit/>
          <w:tblHeader/>
        </w:trPr>
        <w:tc>
          <w:tcPr>
            <w:tcW w:type="dxa" w:w="11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Verdict</w:t>
            </w:r>
          </w:p>
        </w:tc>
        <w:tc>
          <w:tcPr>
            <w:tcW w:type="dxa" w:w="26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Rule</w:t>
            </w:r>
          </w:p>
        </w:tc>
        <w:tc>
          <w:tcPr>
            <w:tcW w:type="dxa" w:w="634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Finding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1 — Protect the Proven Lines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Both protected lines appear only where quoted verbatim (inside the rules docs themselves, describing the rule) — no paraphrased or reworded variant found anywhere in scope.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DDE3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888888"/>
                <w:sz w:val="12"/>
                <w:szCs w:val="12"/>
              </w:rPr>
              <w:t xml:space="preserve">N/A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2 — Name the Organizational Framing Explicitly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No introductory/overview section in this document set summarizes the framework from scratch — the phrase appears only inside the rules docs' own discussion of the rule.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3 — Modeled vs. Observed, Always Labeled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Fixed: the one "20–25" mention that sat outside the disclaimer’s reach — in the site-recommendations summary near the top of Talking Through Your Questions — now carries an explicit bracketed note pointing to the full "modeled, not observed" answer in Q2. Every convergence-gap mention in the document is labeled.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4 — No Absolute Claims About Safety or Control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Every appearance of "structurally impossible" / "nothing is a black box" in scope is the rules docs quoting the banned phrase as the example of what to avoid — zero instances of the framework actually making either claim.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9FC2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MIXED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5 — H% Carries Its Disclaimer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The disclaimer appears multiple times across Talking Through Your Questions, but several individual "H%" mentions inside its long methodology discussion sit outside a tight proximity window. The rule’s "displayed in isolation" framing fits a report figure better than a multi-paragraph discussion analyzing the metric itself — an applicability-boundary question worth naming, not a violation.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EEF3F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0D2D4F"/>
                <w:sz w:val="12"/>
                <w:szCs w:val="12"/>
              </w:rPr>
              <w:t xml:space="preserve">CLEAN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6 — "Designed," Not "Optimal," Unless Earned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Every "optimal" in scope appears only inside the rules docs’ own discussion of the rule — no document in this set actually describes a maturity target as "optimal." (Live-site usage, e.g. on hitl_methodology.html, is out of scope for this pass.)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DDE3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888888"/>
                <w:sz w:val="12"/>
                <w:szCs w:val="12"/>
              </w:rPr>
              <w:t xml:space="preserve">N/A</w:t>
            </w:r>
          </w:p>
        </w:tc>
        <w:tc>
          <w:tcPr>
            <w:tcW w:type="dxa" w:w="26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D2D4F"/>
                <w:sz w:val="16"/>
                <w:szCs w:val="16"/>
              </w:rPr>
              <w:t xml:space="preserve">Rule 7 — Frame HAL as Origin Story, Not Operating Target</w:t>
            </w:r>
          </w:p>
        </w:tc>
        <w:tc>
          <w:tcPr>
            <w:tcW w:type="dxa" w:w="63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Every HAL mention in scope is the rules docs discussing the rule itself — none of these 9 documents contain an actual HAL example to frame one way or the other yet.</w:t>
            </w:r>
          </w:p>
        </w:tc>
      </w:tr>
    </w:tbl>
    <w:p>
      <w:pPr>
        <w:spacing w:after="160"/>
      </w:pP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Per-Document Snapshot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00"/>
        <w:gridCol w:w="3940"/>
      </w:tblGrid>
      <w:tr>
        <w:trPr>
          <w:cantSplit/>
          <w:tblHeader/>
        </w:trPr>
        <w:tc>
          <w:tcPr>
            <w:tcW w:type="dxa" w:w="32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Document</w:t>
            </w:r>
          </w:p>
        </w:tc>
        <w:tc>
          <w:tcPr>
            <w:tcW w:type="dxa" w:w="290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Design system</w:t>
            </w:r>
          </w:p>
        </w:tc>
        <w:tc>
          <w:tcPr>
            <w:tcW w:type="dxa" w:w="3940"/>
            <w:tcBorders>
              <w:top w:val="single" w:color="1B4F8A" w:sz="2"/>
              <w:left w:val="single" w:color="1B4F8A" w:sz="2"/>
              <w:bottom w:val="single" w:color="1B4F8A" w:sz="2"/>
              <w:right w:val="single" w:color="1B4F8A" w:sz="2"/>
            </w:tcBorders>
            <w:shd w:fill="1B4F8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z w:val="12"/>
                <w:szCs w:val="12"/>
              </w:rPr>
              <w:t xml:space="preserve">Notable finding(s)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CHRO — Pattern Transition Narrative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Print/PDF (Segoe UI, pt-based)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Pattern legend now included (Word doc); live HTML type scale still doesn't map to the standard px ranges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HRBP Manager — Pattern Transition Narrative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Print/PDF (Segoe UI, pt-based)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Same as CHRO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Recruiter — Pattern Transition Narrative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Print/PDF (Segoe UI, pt-based)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Same as CHRO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The Shock Wave Effect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Callout budget 2/3; type scale compliant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From Concept to Principle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Callout budget 2/3; type scale compliant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Visual System &amp; Hierarchy rules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Callout budget 1/3; contains the HAL/optimal/canonical-sequence mentions that are examples, not violations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Navigation &amp; Structure rules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Only document where the canonical sequence appears both verbatim and on-topic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Language &amp; Precision rules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Contains every "banned phrase" hit — all of them the rule quoting its own example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B4F8A"/>
                <w:sz w:val="16"/>
                <w:szCs w:val="16"/>
              </w:rPr>
              <w:t xml:space="preserve">Talking Through Your Questions</w:t>
            </w:r>
          </w:p>
        </w:tc>
        <w:tc>
          <w:tcPr>
            <w:tcW w:type="dxa" w:w="290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Standard site (DM Sans/Playfair)</w:t>
            </w:r>
          </w:p>
        </w:tc>
        <w:tc>
          <w:tcPr>
            <w:tcW w:type="dxa" w:w="3940"/>
            <w:tcBorders>
              <w:top w:val="single" w:color="DDE3EE" w:sz="2"/>
              <w:left w:val="single" w:color="DDE3EE" w:sz="2"/>
              <w:bottom w:val="single" w:color="DDE3EE" w:sz="2"/>
              <w:right w:val="single" w:color="DDE3EE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Callout budget exactly 3/3 (at the limit); richest H%/modeled-vs-observed discussion in scope</w:t>
            </w:r>
          </w:p>
        </w:tc>
      </w:tr>
    </w:tbl>
    <w:p>
      <w:pPr>
        <w:spacing w:after="160"/>
      </w:pPr>
    </w:p>
    <w:p>
      <w:pPr>
        <w:pBdr>
          <w:bottom w:val="single" w:color="DDE3EE" w:sz="4" w:space="4"/>
        </w:pBdr>
        <w:spacing w:after="120" w:before="320"/>
      </w:pPr>
      <w:r>
        <w:rPr>
          <w:rFonts w:ascii="Segoe UI" w:cs="Segoe UI" w:eastAsia="Segoe UI" w:hAnsi="Segoe UI"/>
          <w:b/>
          <w:bCs/>
          <w:color w:val="0D2D4F"/>
          <w:sz w:val="21"/>
          <w:szCs w:val="21"/>
        </w:rPr>
        <w:t xml:space="preserve">What This Means for the Feasibility Review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Taken together: none of the 17 rules turned up a real violation inside this document set. What the pass did surface is more useful than a clean bill of health would have been — a concrete color-list gap in Rule 1 (partially fixed already), a real fixable content gap in Rule 2, and a real, structural question (what to do about the print-system pages) that's worth deciding deliberately rather than discovering later once more print-oriented pages exist. Both are good, specific material for the actual Feasibility Review conversation with GiGi, and neither required rewriting anything to find.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A small remediation pass followed this audit, as a proof-of-concept for what compliance actually looks like once a gap is confirmed real: the light-blue accent was folded into Rule 1, all 3 role-narrative Word docs now carry the canonical pattern legend, and the one under-labeled convergence-gap mention was tightened. All three fixes stayed inside the Word-doc companions and the rule text itself — nothing on the live, published framework was touched.</w:t>
      </w:r>
    </w:p>
    <w:p>
      <w:pPr>
        <w:spacing w:after="160"/>
      </w:pPr>
      <w:r>
        <w:rPr>
          <w:rFonts w:ascii="Segoe UI" w:cs="Segoe UI" w:eastAsia="Segoe UI" w:hAnsi="Segoe UI"/>
          <w:color w:val="444444"/>
          <w:sz w:val="18"/>
          <w:szCs w:val="18"/>
        </w:rPr>
        <w:t xml:space="preserve">Next step, per the staged approach: once the rules themselves move past Concept and both Tim and GiGi approve them, the same treatment extends to the live framework itself — every published HTML page, not just these 9 WIP documents — starting with the two-design-systems decision above, since that one question drives most of the remaining Rule 1 and Rule 5 findings. This POC pass already shows what that full audit would look like: run the same 17 rules against the whole site, confirm each hit by hand before calling it a violation, and fix only what's real.</w:t>
      </w:r>
    </w:p>
    <w:p>
      <w:pPr>
        <w:spacing w:after="260" w:before="60"/>
      </w:pPr>
      <w:r>
        <w:rPr>
          <w:rFonts w:ascii="Segoe UI" w:cs="Segoe UI" w:eastAsia="Segoe UI" w:hAnsi="Segoe UI"/>
          <w:i/>
          <w:iCs/>
          <w:color w:val="888888"/>
          <w:sz w:val="15"/>
          <w:szCs w:val="15"/>
        </w:rPr>
        <w:t xml:space="preserve">A matching HTML page for this report lives in the WIP hub (docs/wip/content_rules_compliance_audit_wip_pass.html).</w:t>
      </w:r>
    </w:p>
    <w:p>
      <w:pPr>
        <w:pBdr>
          <w:top w:val="single" w:color="DDE3EE" w:sz="4" w:space="8"/>
        </w:pBdr>
        <w:spacing w:before="100"/>
        <w:jc w:val="center"/>
      </w:pPr>
      <w:r>
        <w:rPr>
          <w:rFonts w:ascii="Segoe UI" w:cs="Segoe UI" w:eastAsia="Segoe UI" w:hAnsi="Segoe UI"/>
          <w:color w:val="888888"/>
          <w:sz w:val="14"/>
          <w:szCs w:val="14"/>
        </w:rPr>
        <w:t xml:space="preserve">Diagnostic pass — nothing rewritten</w:t>
      </w:r>
    </w:p>
    <w:p>
      <w:pPr>
        <w:jc w:val="center"/>
      </w:pPr>
      <w:r>
        <w:rPr>
          <w:rFonts w:ascii="Segoe UI" w:cs="Segoe UI" w:eastAsia="Segoe UI" w:hAnsi="Segoe UI"/>
          <w:color w:val="888888"/>
          <w:sz w:val="14"/>
          <w:szCs w:val="14"/>
        </w:rPr>
        <w:t xml:space="preserve">HITL-Driven Architecture · developed with the assistance of Claude (Anthropic) · September 2026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2026-09-06T11:40:34.684Z</dcterms:created>
  <dcterms:modified xsi:type="dcterms:W3CDTF">2026-09-06T11:40:34.684Z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