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60"/>
              <w:left w:type="dxa" w:w="400"/>
              <w:bottom w:type="dxa" w:w="260"/>
              <w:right w:type="dxa" w:w="400"/>
            </w:tcMar>
            <w:vAlign w:val="center"/>
          </w:tcPr>
          <w:p>
            <w:pPr>
              <w:spacing w:after="5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THE HUMAN-AI PARTNERSHIP FRAMEWORK</w:t>
            </w:r>
          </w:p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9FC2EE"/>
                <w:sz w:val="18"/>
                <w:szCs w:val="18"/>
              </w:rPr>
              <w:t xml:space="preserve">Pattern Transition Narratives — Stage-First View</w:t>
            </w:r>
          </w:p>
        </w:tc>
      </w:tr>
    </w:tbl>
    <w:p>
      <w:pPr>
        <w:spacing w:after="140" w:before="20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7A5A1E"/>
                <w:sz w:val="18"/>
                <w:szCs w:val="18"/>
              </w:rPr>
              <w:t xml:space="preserve">Step 1 · Prototype — this Word document is the exact companion to the identical HTML page published to the WIP hub; the content below matches it verbatim.</w:t>
            </w:r>
          </w:p>
        </w:tc>
      </w:tr>
    </w:tbl>
    <w:p>
      <w:pPr>
        <w:spacing w:after="40" w:before="200"/>
      </w:pPr>
      <w:r>
        <w:rPr>
          <w:rFonts w:ascii="Georgia" w:cs="Georgia" w:eastAsia="Georgia" w:hAnsi="Georgia"/>
          <w:b/>
          <w:bCs/>
          <w:i w:val="false"/>
          <w:iCs w:val="false"/>
          <w:color w:val="0D2D4F"/>
          <w:sz w:val="30"/>
          <w:szCs w:val="30"/>
        </w:rPr>
        <w:t xml:space="preserve">Role-Specific Pattern Transitions</w:t>
      </w:r>
    </w:p>
    <w:p>
      <w:pPr>
        <w:spacing w:after="16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What M1 → M3 → M5 actually means for the work — stage-first view, HRBP Manager</w:t>
      </w:r>
    </w:p>
    <w:p>
      <w:pPr>
        <w:spacing w:after="22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9"/>
          <w:szCs w:val="19"/>
        </w:rPr>
        <w:t xml:space="preserve">The exhibit below shows how the composition of each role's remaining human work shifts as AI matures, organized by maturity stage first, pattern second. It answers: at this specific stage, across every pattern the role touches, what does the work actually look like? Two different percentages appear: the composition table's share is each pattern's portion of the total remaining workload at that stage (each stage's shares sum to 100%), while the percentage beside each pattern in the stage detail below is that pattern's own human-involvement level, independent of the others.</w:t>
      </w:r>
    </w:p>
    <w:p>
      <w:pPr>
        <w:pBdr>
          <w:bottom w:val="single" w:color="0D2D4F" w:sz="6" w:space="4"/>
        </w:pBdr>
        <w:spacing w:after="40" w:before="12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4"/>
          <w:szCs w:val="24"/>
        </w:rPr>
        <w:t xml:space="preserve">HRBP Manager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7"/>
          <w:szCs w:val="17"/>
        </w:rPr>
        <w:t xml:space="preserve">Accountable on 22 real L4 activities across 10 real Accountable processes (7.2.1 Manage requisitions, 7.3.2 Manage performance, 7.4.1 Labor relations, 7.4.2 Collective bargaining, 7.4.3 Labor-management partnerships, 7.4.4 Employee grievances, 7.6.1 Promotion/demotion, 7.6.2 Manage separation, 7.8.1 Communication plan, 7.8.3 Deliver communications). Excludes 7.6.3 (Relocate employees), flagged in the source data as a partial/gap-noted accountability.</w:t>
      </w:r>
    </w:p>
    <w:p>
      <w:pPr>
        <w:pBdr>
          <w:top w:val="single" w:color="21365E" w:sz="14" w:space="6"/>
        </w:pBdr>
        <w:spacing w:after="140" w:before="0"/>
      </w:pP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HRBP Manager's remaining human work concentrates in judgment and exception-handling as AI matures: Decision's share nearly doubles, Exception holds firm, and Transaction fades toward the margins.</w:t>
      </w:r>
    </w:p>
    <w:p>
      <w:pPr>
        <w:spacing w:after="12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8585A"/>
          <w:sz w:val="16"/>
          <w:szCs w:val="16"/>
        </w:rPr>
        <w:t xml:space="preserve">Composition of HRBP Manager's real activity mix still requiring human involvement, by HITL pattern — area = share, %</w:t>
      </w:r>
    </w:p>
    <w:p>
      <w:pPr>
        <w:spacing w:after="4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21365E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5"/>
          <w:szCs w:val="15"/>
        </w:rPr>
        <w:t xml:space="preserve">Decision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Judgment &amp; Authority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5B3A9E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5"/>
          <w:szCs w:val="15"/>
        </w:rPr>
        <w:t xml:space="preserve">Knowledge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Synthesis &amp; Interpretation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0E7C86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5"/>
          <w:szCs w:val="15"/>
        </w:rPr>
        <w:t xml:space="preserve">Document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Content Generation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2F7D4F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5"/>
          <w:szCs w:val="15"/>
        </w:rPr>
        <w:t xml:space="preserve">Transaction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Rules-Based Processing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8B2635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991B1B"/>
          <w:sz w:val="15"/>
          <w:szCs w:val="15"/>
        </w:rPr>
        <w:t xml:space="preserve">Exception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Non-Standard Resolution</w:t>
      </w:r>
    </w:p>
    <w:p>
      <w:pPr>
        <w:spacing w:after="18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A8A8C"/>
          <w:sz w:val="14"/>
          <w:szCs w:val="14"/>
        </w:rPr>
        <w:t xml:space="preserve">Canonical pattern legend — one fixed color-and-label mapping used across every role and document in the framework, matching the live dashboard’s own legend.</w:t>
      </w:r>
    </w:p>
    <w:tbl>
      <w:tblPr>
        <w:tblW w:type="dxa" w:w="10040"/>
        <w:tblBorders>
          <w:top w:val="single" w:color="DDE3EE" w:sz="4"/>
          <w:left w:val="none" w:color="FFFFFF" w:sz="0"/>
          <w:bottom w:val="single" w:color="DDE3EE" w:sz="4"/>
          <w:right w:val="none" w:color="FFFFFF" w:sz="0"/>
          <w:insideH w:val="single" w:color="DDE3EE" w:sz="2"/>
          <w:insideV w:val="none" w:color="FFFFFF" w:sz="0"/>
        </w:tblBorders>
      </w:tblPr>
      <w:tblGrid>
        <w:gridCol w:w="260"/>
        <w:gridCol w:w="3600"/>
        <w:gridCol w:w="2060"/>
        <w:gridCol w:w="2060"/>
        <w:gridCol w:w="2060"/>
      </w:tblGrid>
      <w:tr>
        <w:trPr>
          <w:tblHeader/>
        </w:trPr>
        <w:tc>
          <w:tcPr>
            <w:tcW w:type="dxa" w:w="260"/>
            <w:tcMar>
              <w:top w:type="dxa" w:w="80"/>
              <w:left w:type="dxa" w:w="0"/>
              <w:bottom w:type="dxa" w:w="8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Pattern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M1 — Undesigned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Current state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M3 — HITL Design Intent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Target state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M5 — Leading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Future state</w:t>
            </w:r>
          </w:p>
        </w:tc>
      </w:tr>
      <w:tr>
        <w:tc>
          <w:tcPr>
            <w:tcW w:type="dxa" w:w="260"/>
            <w:shd w:fill="21365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Decision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22%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34%</w:t>
            </w:r>
          </w:p>
        </w:tc>
      </w:tr>
      <w:tr>
        <w:tc>
          <w:tcPr>
            <w:tcW w:type="dxa" w:w="260"/>
            <w:shd w:fill="5B3A9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Knowledge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35%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39%</w:t>
            </w:r>
          </w:p>
        </w:tc>
      </w:tr>
      <w:tr>
        <w:tc>
          <w:tcPr>
            <w:tcW w:type="dxa" w:w="260"/>
            <w:shd w:fill="0E7C86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dxa" w:w="260"/>
            <w:shd w:fill="2F7D4F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Transaction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23%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13%</w:t>
            </w:r>
          </w:p>
        </w:tc>
      </w:tr>
      <w:tr>
        <w:tc>
          <w:tcPr>
            <w:tcW w:type="dxa" w:w="260"/>
            <w:shd w:fill="8B2635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Exception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9%</w:t>
            </w:r>
          </w:p>
        </w:tc>
      </w:tr>
    </w:tbl>
    <w:p>
      <w:pPr>
        <w:spacing w:after="260" w:before="140"/>
      </w:pPr>
      <w:r>
        <w:rPr>
          <w:rFonts w:ascii="Segoe UI" w:cs="Segoe UI" w:eastAsia="Segoe UI" w:hAnsi="Segoe UI"/>
          <w:b w:val="false"/>
          <w:bCs w:val="false"/>
          <w:i/>
          <w:iCs/>
          <w:color w:val="8A8A8C"/>
          <w:sz w:val="14"/>
          <w:szCs w:val="14"/>
        </w:rPr>
        <w:t xml:space="preserve">Built from HRBP Manager's real PCF 7.0 RACI data (hitl_dashboard_final.html) — 22 activities across its 10 real Accountable processes (7.2.1 Manage requisitions, 7.3.2 Manage performance, 7.4.1 Labor relations, 7.4.2 Collective bargaining, 7.4.3 Labor-management partnerships, 7.4.4 Employee grievances, 7.6.1 Promotion/demotion, 7.6.2 Manage separation, 7.8.1 Communication plan, 7.8.3 Deliver communications), weighted by activity count × each pattern's M1/M3/M5 human-involvement %. Excludes 7.6.3 (Relocate employees), flagged in the source data as a partial/gap-noted accountability. Layout basis: squarified treemap (Bruls/Huizing/van Wijk) — box area is the only encoded quantity; the table below carries the same underlying share values.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M1 — Undesigned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(Current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Building labor-relations strategy, negotiating collective bargaining positions, sustaining labor-management partnerships, and designing performance-management approaches — this is relationship-and-judgment work the HRBP Manager owns personally, with essentially no structured AI support underneath it at this stage.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Managing requisitions and delivering communications — at this stage the HRBP Manager is personally handling requisition paperwork and pushing communications out by hand.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92%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Deciding who gets promoted or separated, and how a grievance resolves — at this stage the HRBP Manager owns these calls almost entirely on personal judgment, with no structured AI input underneath them.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72%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Drafting the communication plan itself — largely manual writing work at this stage.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991B1B"/>
          <w:sz w:val="18"/>
          <w:szCs w:val="18"/>
        </w:rPr>
        <w:t xml:space="preserve">EXCEPTION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95%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The rare case that falls outside every normal process — a labor dispute that escalates, a grievance that doesn't resolve through standard channels — is handled almost entirely on the HRBP Manager's own judgment, since nothing structured yet exists to support it.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M3 — HITL Design Intent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(Target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surface bargaining-history patterns, grievance-trend data, and performance benchmarks, but the relationship work itself — building trust with labor representatives, reading a bargaining session, deciding how hard to push a position — stays with the HRBP Manager. AI narrows the research burden underneath the judgment, not the judgment itself.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35%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this is now templated and system-driven — requisition routing, communication delivery — with the HRBP Manager mainly handling exceptions the system flags.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surface comparable-case data — prior promotion decisions, grievance-resolution precedent, performance history — but the actual call on promotion, separation, and grievance outcomes stays human. A wrong call here carries real legal and trust cost, which is why the framework keeps this pattern close to full human ownership even at design intent.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the plan's language now auto-generates from approved talking points and prior-plan templates, with the HRBP Manager reviewing and tailoring rather than drafting from scratch.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991B1B"/>
          <w:sz w:val="18"/>
          <w:szCs w:val="18"/>
        </w:rPr>
        <w:t xml:space="preserve">EXCEPTION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flag that a case doesn't fit the normal pattern and surface comparable past exceptions, but resolving it is still squarely human — Exception-pattern work resists structuring by design.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M5 — Leading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(Future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AI-assisted analysis of labor and performance trends is the default; the HRBP Manager's value narrows to what a system can't do — building trust across a bargaining table, sensing a partnership fraying before the data shows it.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This work is a rounding error at this stage: reserved for the rare case the process genuinely breaks — the pattern that shrinks fastest and furthest across every role in the framework.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Even at the framework's most mature state, most of the call on someone's career or employment status is still human — comparable to Decision's floor in other roles, and for the same reason: this is accountability that can't be delegated to a system.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18%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Nearly fully automated: the HRBP Manager's role becomes a final check that tone and specifics match what leadership actually intends to communicate.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991B1B"/>
          <w:sz w:val="18"/>
          <w:szCs w:val="18"/>
        </w:rPr>
        <w:t xml:space="preserve">EXCEPTION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68%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Even at the framework's most mature state, Exception-pattern work stays close to fully human — the floor barely moves, consistent with the framework's broader point that Decision and Exception are the two patterns that resist automation longest.</w:t>
      </w:r>
    </w:p>
    <w:p>
      <w:pPr>
        <w:spacing w:after="40" w:before="16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Source: hitl_dashboard_final.html, PCF 7.2–7.8 (real RACI/pattern data) — matches hrbp_manager_treemap_mckinsey.html (pattern-first companion view) and rtp_hrbp_manager.html.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Note: unlike the Recruiter stage-first view, this exhibit does not cite specific Governed Decision Point escalation targets for Decision-pattern work — that level of detail isn't yet confirmed against the live dashboard for this role, so it's left out rather than assumed.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888888"/>
        <w:sz w:val="16"/>
        <w:szCs w:val="16"/>
      </w:rPr>
      <w:t xml:space="preserve">Timothy P. King · Human Enterprise Architect · Step 1 · Prototype · September 2026 · hitldrivenarchitecture.com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444444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2026-09-05T19:47:32.089Z</dcterms:created>
  <dcterms:modified xsi:type="dcterms:W3CDTF">2026-09-05T19:47:32.089Z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