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40"/>
              <w:left w:type="dxa" w:w="400"/>
              <w:bottom w:type="dxa" w:w="320"/>
              <w:right w:type="dxa" w:w="400"/>
            </w:tcMar>
            <w:vAlign w:val="center"/>
          </w:tcPr>
          <w:p>
            <w:pPr>
              <w:spacing w:after="110" w:before="0"/>
              <w:jc w:val="center"/>
            </w:pPr>
            <w:r>
              <w:rPr>
                <w:rFonts w:ascii="Consolas" w:cs="Consolas" w:eastAsia="Consolas" w:hAnsi="Consolas"/>
                <w:b w:val="false"/>
                <w:bCs w:val="false"/>
                <w:i w:val="false"/>
                <w:iCs w:val="false"/>
                <w:color w:val="9FC2EE"/>
                <w:sz w:val="17"/>
                <w:szCs w:val="17"/>
              </w:rPr>
              <w:t xml:space="preserve">CONCEPT — FOR JOINT REVIEW  ·  TIM KING &amp; GIGI GARCIA  ·  SEPTEMBER 2026</w:t>
            </w:r>
          </w:p>
          <w:p>
            <w:pPr>
              <w:spacing w:after="40" w:before="0"/>
              <w:jc w:val="center"/>
            </w:pPr>
            <w:r>
              <w:rPr>
                <w:rFonts w:ascii="Georgia" w:cs="Georgia" w:eastAsia="Georgia" w:hAnsi="Georgia"/>
                <w:b/>
                <w:bCs/>
                <w:i w:val="false"/>
                <w:iCs w:val="false"/>
                <w:color w:val="FFFFFF"/>
                <w:sz w:val="36"/>
                <w:szCs w:val="36"/>
              </w:rPr>
              <w:t xml:space="preserve">Framework Content Generation Rules</w:t>
            </w:r>
          </w:p>
          <w:p>
            <w:pPr>
              <w:spacing w:after="110" w:before="0"/>
              <w:jc w:val="center"/>
            </w:pPr>
            <w:r>
              <w:rPr>
                <w:rFonts w:ascii="Georgia" w:cs="Georgia" w:eastAsia="Georgia" w:hAnsi="Georgia"/>
                <w:b/>
                <w:bCs/>
                <w:i/>
                <w:iCs/>
                <w:color w:val="9FC2EE"/>
                <w:sz w:val="24"/>
                <w:szCs w:val="24"/>
              </w:rPr>
              <w:t xml:space="preserve">Language &amp; Precision</w:t>
            </w:r>
          </w:p>
          <w:p>
            <w:pPr>
              <w:spacing w:after="0" w:before="0"/>
              <w:jc w:val="center"/>
            </w:pPr>
            <w:r>
              <w:rPr>
                <w:rFonts w:ascii="Segoe UI" w:cs="Segoe UI" w:eastAsia="Segoe UI" w:hAnsi="Segoe UI"/>
                <w:b w:val="false"/>
                <w:bCs w:val="false"/>
                <w:i/>
                <w:iCs/>
                <w:color w:val="9FC2EE"/>
                <w:sz w:val="20"/>
                <w:szCs w:val="20"/>
              </w:rPr>
              <w:t xml:space="preserve">Formal, checkable rules — derived from GiGi’s own site recommendations — meant to bind any future generator of framework content, human or AI-authored.</w:t>
            </w:r>
          </w:p>
        </w:tc>
      </w:tr>
    </w:tbl>
    <w:p>
      <w:pPr>
        <w:spacing w:after="160" w:before="22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B8873F" w:sz="24"/>
              <w:bottom w:val="none" w:color="FFFFFF" w:sz="0"/>
              <w:right w:val="none" w:color="FFFFFF" w:sz="0"/>
            </w:tcBorders>
            <w:shd w:fill="FEF3C7" w:val="clear"/>
            <w:tcMar>
              <w:top w:type="dxa" w:w="160"/>
              <w:left w:type="dxa" w:w="220"/>
              <w:bottom w:type="dxa" w:w="160"/>
              <w:right w:type="dxa" w:w="220"/>
            </w:tcMar>
          </w:tcPr>
          <w:p>
            <w:pPr>
              <w:spacing w:after="0" w:before="0"/>
            </w:pPr>
            <w:r>
              <w:rPr>
                <w:rFonts w:ascii="Segoe UI" w:cs="Segoe UI" w:eastAsia="Segoe UI" w:hAnsi="Segoe UI"/>
                <w:b w:val="false"/>
                <w:bCs w:val="false"/>
                <w:i/>
                <w:iCs/>
                <w:color w:val="7A5A1E"/>
                <w:sz w:val="19"/>
                <w:szCs w:val="19"/>
              </w:rPr>
              <w:t xml:space="preserve">Concept stage — not yet part of the framework. Per the Concept → Feasibility Review → Approved lifecycle established in From Concept to Principle, this is Claude’s feasibility pass only. Nothing here binds any actual content generation until both Tim and GiGi approve it.</w:t>
            </w:r>
          </w:p>
        </w:tc>
      </w:tr>
    </w:tbl>
    <w:p>
      <w:pPr>
        <w:spacing w:after="100" w:before="0"/>
      </w:pPr>
      <w:r>
        <w:rPr>
          <w:rFonts w:ascii="Segoe UI" w:cs="Segoe UI" w:eastAsia="Segoe UI" w:hAnsi="Segoe UI"/>
          <w:b w:val="false"/>
          <w:bCs w:val="false"/>
          <w:i w:val="false"/>
          <w:iCs w:val="false"/>
          <w:color w:val="444444"/>
          <w:sz w:val="20"/>
          <w:szCs w:val="20"/>
        </w:rPr>
        <w:t xml:space="preserve">These seven rules turn the seven "Language &amp; precision" recommendations from GiGi’s review notes into something checkable — not just a style preference, but a set of constraints a content generator (Claude, writing or revising framework copy) can actually be held to. Each rule names what it requires, what it applies to, and, where useful, points at a real page or decision already in the framework that shows the rule in action or in violation.</w:t>
      </w:r>
    </w:p>
    <w:p>
      <w:pPr>
        <w:spacing w:after="60" w:before="260"/>
      </w:pPr>
      <w:r>
        <w:rPr>
          <w:rFonts w:ascii="Consolas" w:cs="Consolas" w:eastAsia="Consolas" w:hAnsi="Consolas"/>
          <w:b/>
          <w:bCs/>
          <w:color w:val="1B4F8A"/>
          <w:sz w:val="16"/>
          <w:szCs w:val="16"/>
          <w:shd w:fill="EEF3FA" w:val="clear"/>
        </w:rPr>
        <w:t xml:space="preserve"> RULE 1 </w:t>
      </w:r>
      <w:r>
        <w:rPr>
          <w:sz w:val="16"/>
          <w:szCs w:val="16"/>
        </w:rPr>
        <w:t xml:space="preserve">   </w:t>
      </w:r>
      <w:r>
        <w:rPr>
          <w:rFonts w:ascii="Georgia" w:cs="Georgia" w:eastAsia="Georgia" w:hAnsi="Georgia"/>
          <w:b/>
          <w:bCs/>
          <w:color w:val="0D2D4F"/>
          <w:sz w:val="23"/>
          <w:szCs w:val="23"/>
        </w:rPr>
        <w:t xml:space="preserve">Protect the Proven Lines</w:t>
      </w:r>
    </w:p>
    <w:p>
      <w:pPr>
        <w:spacing w:after="60" w:before="0"/>
      </w:pPr>
      <w:r>
        <w:rPr>
          <w:rFonts w:ascii="Segoe UI" w:cs="Segoe UI" w:eastAsia="Segoe UI" w:hAnsi="Segoe UI"/>
          <w:b w:val="false"/>
          <w:bCs w:val="false"/>
          <w:i w:val="false"/>
          <w:iCs w:val="false"/>
          <w:color w:val="444444"/>
          <w:sz w:val="20"/>
          <w:szCs w:val="20"/>
        </w:rPr>
        <w:t xml:space="preserve">"Where human judgment belongs" and "HITL as an organizational design standard, not a safety checkpoint" are locked language. A generator does not rewrite, replace, or paraphrase either line — under any editing pass, for any reason — without a separate, explicit change proposal reviewed on its own.</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page carrying these lines today, and any new page restating the framework’s core identity.</w:t>
      </w:r>
    </w:p>
    <w:p>
      <w:pPr>
        <w:spacing w:after="140"/>
      </w:pPr>
    </w:p>
    <w:p>
      <w:pPr>
        <w:spacing w:after="60" w:before="260"/>
      </w:pPr>
      <w:r>
        <w:rPr>
          <w:rFonts w:ascii="Consolas" w:cs="Consolas" w:eastAsia="Consolas" w:hAnsi="Consolas"/>
          <w:b/>
          <w:bCs/>
          <w:color w:val="1B4F8A"/>
          <w:sz w:val="16"/>
          <w:szCs w:val="16"/>
          <w:shd w:fill="EEF3FA" w:val="clear"/>
        </w:rPr>
        <w:t xml:space="preserve"> RULE 2 </w:t>
      </w:r>
      <w:r>
        <w:rPr>
          <w:sz w:val="16"/>
          <w:szCs w:val="16"/>
        </w:rPr>
        <w:t xml:space="preserve">   </w:t>
      </w:r>
      <w:r>
        <w:rPr>
          <w:rFonts w:ascii="Georgia" w:cs="Georgia" w:eastAsia="Georgia" w:hAnsi="Georgia"/>
          <w:b/>
          <w:bCs/>
          <w:color w:val="0D2D4F"/>
          <w:sz w:val="23"/>
          <w:szCs w:val="23"/>
        </w:rPr>
        <w:t xml:space="preserve">Name the Organizational Framing Explicitly</w:t>
      </w:r>
    </w:p>
    <w:p>
      <w:pPr>
        <w:spacing w:after="60" w:before="0"/>
      </w:pPr>
      <w:r>
        <w:rPr>
          <w:rFonts w:ascii="Segoe UI" w:cs="Segoe UI" w:eastAsia="Segoe UI" w:hAnsi="Segoe UI"/>
          <w:b w:val="false"/>
          <w:bCs w:val="false"/>
          <w:i w:val="false"/>
          <w:iCs w:val="false"/>
          <w:color w:val="444444"/>
          <w:sz w:val="20"/>
          <w:szCs w:val="20"/>
        </w:rPr>
        <w:t xml:space="preserve">When introducing or summarizing the framework, content states plainly that this is an organizational design problem, not only a technology problem — language equivalent to "This is not only a technology problem. It is an organizational design problem." A generator does not let a technology-only framing stand uncorrected in introductory copy.</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About/overview/introductory section, and the opening of any new briefing.</w:t>
      </w:r>
    </w:p>
    <w:p>
      <w:pPr>
        <w:spacing w:after="140"/>
      </w:pPr>
    </w:p>
    <w:p>
      <w:pPr>
        <w:spacing w:after="60" w:before="260"/>
      </w:pPr>
      <w:r>
        <w:rPr>
          <w:rFonts w:ascii="Consolas" w:cs="Consolas" w:eastAsia="Consolas" w:hAnsi="Consolas"/>
          <w:b/>
          <w:bCs/>
          <w:color w:val="1B4F8A"/>
          <w:sz w:val="16"/>
          <w:szCs w:val="16"/>
          <w:shd w:fill="EEF3FA" w:val="clear"/>
        </w:rPr>
        <w:t xml:space="preserve"> RULE 3 </w:t>
      </w:r>
      <w:r>
        <w:rPr>
          <w:sz w:val="16"/>
          <w:szCs w:val="16"/>
        </w:rPr>
        <w:t xml:space="preserve">   </w:t>
      </w:r>
      <w:r>
        <w:rPr>
          <w:rFonts w:ascii="Georgia" w:cs="Georgia" w:eastAsia="Georgia" w:hAnsi="Georgia"/>
          <w:b/>
          <w:bCs/>
          <w:color w:val="0D2D4F"/>
          <w:sz w:val="23"/>
          <w:szCs w:val="23"/>
        </w:rPr>
        <w:t xml:space="preserve">Modeled vs. Observed, Always Labeled</w:t>
      </w:r>
    </w:p>
    <w:p>
      <w:pPr>
        <w:spacing w:after="60" w:before="0"/>
      </w:pPr>
      <w:r>
        <w:rPr>
          <w:rFonts w:ascii="Segoe UI" w:cs="Segoe UI" w:eastAsia="Segoe UI" w:hAnsi="Segoe UI"/>
          <w:b w:val="false"/>
          <w:bCs w:val="false"/>
          <w:i w:val="false"/>
          <w:iCs w:val="false"/>
          <w:color w:val="444444"/>
          <w:sz w:val="20"/>
          <w:szCs w:val="20"/>
        </w:rPr>
        <w:t xml:space="preserve">Any statistic or finding presented as evidence — the convergence gap, per-pattern deltas, any future readiness or trust metric — is explicitly labeled modeled/estimated or observed/validated at the point it’s stated. A generator never lets a modeled figure read as an empirical fact by omission.</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Every numeric claim, in every doc, dashboard, and briefing.</w:t>
      </w:r>
    </w:p>
    <w:p>
      <w:pPr>
        <w:spacing w:after="200" w:before="0"/>
      </w:pPr>
      <w:r>
        <w:rPr>
          <w:rFonts w:ascii="Segoe UI" w:cs="Segoe UI" w:eastAsia="Segoe UI" w:hAnsi="Segoe UI"/>
          <w:b w:val="false"/>
          <w:bCs w:val="false"/>
          <w:i/>
          <w:iCs/>
          <w:color w:val="888888"/>
          <w:sz w:val="18"/>
          <w:szCs w:val="18"/>
        </w:rPr>
        <w:t xml:space="preserve">The 18–20 point convergence gap is modeled, not observed — already true internally, it just needs that label attached everywhere the number appears, not only where it happens to be caveated today.</w:t>
      </w:r>
    </w:p>
    <w:p>
      <w:pPr>
        <w:spacing w:after="60" w:before="260"/>
      </w:pPr>
      <w:r>
        <w:rPr>
          <w:rFonts w:ascii="Consolas" w:cs="Consolas" w:eastAsia="Consolas" w:hAnsi="Consolas"/>
          <w:b/>
          <w:bCs/>
          <w:color w:val="1B4F8A"/>
          <w:sz w:val="16"/>
          <w:szCs w:val="16"/>
          <w:shd w:fill="EEF3FA" w:val="clear"/>
        </w:rPr>
        <w:t xml:space="preserve"> RULE 4 </w:t>
      </w:r>
      <w:r>
        <w:rPr>
          <w:sz w:val="16"/>
          <w:szCs w:val="16"/>
        </w:rPr>
        <w:t xml:space="preserve">   </w:t>
      </w:r>
      <w:r>
        <w:rPr>
          <w:rFonts w:ascii="Georgia" w:cs="Georgia" w:eastAsia="Georgia" w:hAnsi="Georgia"/>
          <w:b/>
          <w:bCs/>
          <w:color w:val="0D2D4F"/>
          <w:sz w:val="23"/>
          <w:szCs w:val="23"/>
        </w:rPr>
        <w:t xml:space="preserve">No Absolute Claims About Safety or Control</w:t>
      </w:r>
    </w:p>
    <w:p>
      <w:pPr>
        <w:spacing w:after="60" w:before="0"/>
      </w:pPr>
      <w:r>
        <w:rPr>
          <w:rFonts w:ascii="Segoe UI" w:cs="Segoe UI" w:eastAsia="Segoe UI" w:hAnsi="Segoe UI"/>
          <w:b w:val="false"/>
          <w:bCs w:val="false"/>
          <w:i w:val="false"/>
          <w:iCs w:val="false"/>
          <w:color w:val="444444"/>
          <w:sz w:val="20"/>
          <w:szCs w:val="20"/>
        </w:rPr>
        <w:t xml:space="preserve">A generator does not use absolute language — "structurally impossible," "nothing is a black box," or equivalents — about risk, safety, or control. It uses calibrated language instead: failure made harder to occur, easier to detect, easier to challenge and contain; decision ownership and escalation staying visible. Calibrated language is honest about residual risk; absolute language overclaims its absence.</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risk-, safety-, or governance-adjacent content.</w:t>
      </w:r>
    </w:p>
    <w:p>
      <w:pPr>
        <w:spacing w:after="140"/>
      </w:pPr>
    </w:p>
    <w:p>
      <w:pPr>
        <w:spacing w:after="60" w:before="260"/>
      </w:pPr>
      <w:r>
        <w:rPr>
          <w:rFonts w:ascii="Consolas" w:cs="Consolas" w:eastAsia="Consolas" w:hAnsi="Consolas"/>
          <w:b/>
          <w:bCs/>
          <w:color w:val="1B4F8A"/>
          <w:sz w:val="16"/>
          <w:szCs w:val="16"/>
          <w:shd w:fill="EEF3FA" w:val="clear"/>
        </w:rPr>
        <w:t xml:space="preserve"> RULE 5 </w:t>
      </w:r>
      <w:r>
        <w:rPr>
          <w:sz w:val="16"/>
          <w:szCs w:val="16"/>
        </w:rPr>
        <w:t xml:space="preserve">   </w:t>
      </w:r>
      <w:r>
        <w:rPr>
          <w:rFonts w:ascii="Georgia" w:cs="Georgia" w:eastAsia="Georgia" w:hAnsi="Georgia"/>
          <w:b/>
          <w:bCs/>
          <w:color w:val="0D2D4F"/>
          <w:sz w:val="23"/>
          <w:szCs w:val="23"/>
        </w:rPr>
        <w:t xml:space="preserve">H% Carries Its Disclaimer</w:t>
      </w:r>
    </w:p>
    <w:p>
      <w:pPr>
        <w:spacing w:after="60" w:before="0"/>
      </w:pPr>
      <w:r>
        <w:rPr>
          <w:rFonts w:ascii="Segoe UI" w:cs="Segoe UI" w:eastAsia="Segoe UI" w:hAnsi="Segoe UI"/>
          <w:b w:val="false"/>
          <w:bCs w:val="false"/>
          <w:i w:val="false"/>
          <w:iCs w:val="false"/>
          <w:color w:val="444444"/>
          <w:sz w:val="20"/>
          <w:szCs w:val="20"/>
        </w:rPr>
        <w:t xml:space="preserve">Any time H% or a human-involvement percentage is introduced or displayed, the content states — or links to a statement, reachable from the same view — that H% is not a headcount-reduction metric and should not be read as "X% fewer people." A generator does not present an H% figure in isolation without that context nearby.</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The dashboard, any RACI/maturity doc showing H%, any executive summary citing the convergence gap.</w:t>
      </w:r>
    </w:p>
    <w:p>
      <w:pPr>
        <w:spacing w:after="140"/>
      </w:pPr>
    </w:p>
    <w:p>
      <w:pPr>
        <w:spacing w:after="60" w:before="260"/>
      </w:pPr>
      <w:r>
        <w:rPr>
          <w:rFonts w:ascii="Consolas" w:cs="Consolas" w:eastAsia="Consolas" w:hAnsi="Consolas"/>
          <w:b/>
          <w:bCs/>
          <w:color w:val="1B4F8A"/>
          <w:sz w:val="16"/>
          <w:szCs w:val="16"/>
          <w:shd w:fill="EEF3FA" w:val="clear"/>
        </w:rPr>
        <w:t xml:space="preserve"> RULE 6 </w:t>
      </w:r>
      <w:r>
        <w:rPr>
          <w:sz w:val="16"/>
          <w:szCs w:val="16"/>
        </w:rPr>
        <w:t xml:space="preserve">   </w:t>
      </w:r>
      <w:r>
        <w:rPr>
          <w:rFonts w:ascii="Georgia" w:cs="Georgia" w:eastAsia="Georgia" w:hAnsi="Georgia"/>
          <w:b/>
          <w:bCs/>
          <w:color w:val="0D2D4F"/>
          <w:sz w:val="23"/>
          <w:szCs w:val="23"/>
        </w:rPr>
        <w:t xml:space="preserve">"Designed," Not "Optimal," Unless Earned</w:t>
      </w:r>
    </w:p>
    <w:p>
      <w:pPr>
        <w:spacing w:after="60" w:before="0"/>
      </w:pPr>
      <w:r>
        <w:rPr>
          <w:rFonts w:ascii="Segoe UI" w:cs="Segoe UI" w:eastAsia="Segoe UI" w:hAnsi="Segoe UI"/>
          <w:b w:val="false"/>
          <w:bCs w:val="false"/>
          <w:i w:val="false"/>
          <w:iCs w:val="false"/>
          <w:color w:val="444444"/>
          <w:sz w:val="20"/>
          <w:szCs w:val="20"/>
        </w:rPr>
        <w:t xml:space="preserve">A generator defaults to "designed" or "appropriate" rather than "optimal" when describing a maturity target or reference curve. "Optimal" is used only when a specific, justified claim is actually being made that the target is a universal standard — and that claim is stated outright, not implied by word choice alone.</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reference to M3 / Design Intent, or any future maturity target.</w:t>
      </w:r>
    </w:p>
    <w:p>
      <w:pPr>
        <w:spacing w:after="140"/>
      </w:pPr>
    </w:p>
    <w:p>
      <w:pPr>
        <w:spacing w:after="60" w:before="260"/>
      </w:pPr>
      <w:r>
        <w:rPr>
          <w:rFonts w:ascii="Consolas" w:cs="Consolas" w:eastAsia="Consolas" w:hAnsi="Consolas"/>
          <w:b/>
          <w:bCs/>
          <w:color w:val="1B4F8A"/>
          <w:sz w:val="16"/>
          <w:szCs w:val="16"/>
          <w:shd w:fill="EEF3FA" w:val="clear"/>
        </w:rPr>
        <w:t xml:space="preserve"> RULE 7 </w:t>
      </w:r>
      <w:r>
        <w:rPr>
          <w:sz w:val="16"/>
          <w:szCs w:val="16"/>
        </w:rPr>
        <w:t xml:space="preserve">   </w:t>
      </w:r>
      <w:r>
        <w:rPr>
          <w:rFonts w:ascii="Georgia" w:cs="Georgia" w:eastAsia="Georgia" w:hAnsi="Georgia"/>
          <w:b/>
          <w:bCs/>
          <w:color w:val="0D2D4F"/>
          <w:sz w:val="23"/>
          <w:szCs w:val="23"/>
        </w:rPr>
        <w:t xml:space="preserve">Frame HAL as Origin Story, Not Operating Target</w:t>
      </w:r>
    </w:p>
    <w:p>
      <w:pPr>
        <w:spacing w:after="60" w:before="0"/>
      </w:pPr>
      <w:r>
        <w:rPr>
          <w:rFonts w:ascii="Segoe UI" w:cs="Segoe UI" w:eastAsia="Segoe UI" w:hAnsi="Segoe UI"/>
          <w:b w:val="false"/>
          <w:bCs w:val="false"/>
          <w:i w:val="false"/>
          <w:iCs w:val="false"/>
          <w:color w:val="444444"/>
          <w:sz w:val="20"/>
          <w:szCs w:val="20"/>
        </w:rPr>
        <w:t xml:space="preserve">The HAL 9000 90/10 example is framed as describing how the framework was co-created — its origin story — never as a universal operating target for an adopting organization. Wherever the example appears, it carries language equivalent to "HAL was the warning. This framework is an attempt to build the answer," rather than presenting the 90/10 split as a prescriptive ratio.</w:t>
      </w:r>
    </w:p>
    <w:p>
      <w:pPr>
        <w:spacing w:after="60" w:before="0"/>
      </w:pPr>
      <w:r>
        <w:rPr>
          <w:rFonts w:ascii="Segoe UI" w:cs="Segoe UI" w:eastAsia="Segoe UI" w:hAnsi="Segoe UI"/>
          <w:b/>
          <w:bCs/>
          <w:i w:val="false"/>
          <w:iCs w:val="false"/>
          <w:color w:val="1B4F8A"/>
          <w:sz w:val="18"/>
          <w:szCs w:val="18"/>
        </w:rPr>
        <w:t xml:space="preserve">Applies to: </w:t>
      </w:r>
      <w:r>
        <w:rPr>
          <w:rFonts w:ascii="Segoe UI" w:cs="Segoe UI" w:eastAsia="Segoe UI" w:hAnsi="Segoe UI"/>
          <w:b w:val="false"/>
          <w:bCs w:val="false"/>
          <w:i w:val="false"/>
          <w:iCs w:val="false"/>
          <w:color w:val="888888"/>
          <w:sz w:val="18"/>
          <w:szCs w:val="18"/>
        </w:rPr>
        <w:t xml:space="preserve">Any page or briefing using the HAL example.</w:t>
      </w:r>
    </w:p>
    <w:p>
      <w:pPr>
        <w:spacing w:after="140"/>
      </w:pPr>
    </w:p>
    <w:p>
      <w:pPr>
        <w:pBdr>
          <w:bottom w:val="single" w:color="DDE3EE" w:sz="4" w:space="1"/>
        </w:pBdr>
        <w:spacing w:after="100" w:before="100"/>
      </w:pPr>
    </w:p>
    <w:p>
      <w:pPr>
        <w:spacing w:after="190" w:before="0"/>
      </w:pPr>
      <w:r>
        <w:rPr>
          <w:rFonts w:ascii="Segoe UI" w:cs="Segoe UI" w:eastAsia="Segoe UI" w:hAnsi="Segoe UI"/>
          <w:b w:val="false"/>
          <w:bCs w:val="false"/>
          <w:i w:val="false"/>
          <w:iCs w:val="false"/>
          <w:color w:val="444444"/>
          <w:sz w:val="20"/>
          <w:szCs w:val="20"/>
        </w:rPr>
        <w:t xml:space="preserve">With this set, all three groups from GiGi’s site-recommendations summary now have a matching rule set awaiting joint review: Visual System &amp; Hierarchy, Navigation &amp; Structure, and Language &amp; Precision.</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Segoe UI" w:cs="Segoe UI" w:eastAsia="Segoe UI" w:hAnsi="Segoe UI"/>
        <w:b w:val="false"/>
        <w:bCs w:val="false"/>
        <w:i w:val="false"/>
        <w:iCs w:val="false"/>
        <w:color w:val="888888"/>
        <w:sz w:val="17"/>
        <w:szCs w:val="17"/>
      </w:rPr>
      <w:t xml:space="preserve">For joint review — Tim King and GiGi Garcia  ·  © Timothy P. King 2026 · developed with the assistance of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2026-09-05T17:49:06.290Z</dcterms:created>
  <dcterms:modified xsi:type="dcterms:W3CDTF">2026-09-05T17:49:06.291Z</dcterms:modified>
</cp:coreProperties>
</file>

<file path=docProps/custom.xml><?xml version="1.0" encoding="utf-8"?>
<Properties xmlns="http://schemas.openxmlformats.org/officeDocument/2006/custom-properties" xmlns:vt="http://schemas.openxmlformats.org/officeDocument/2006/docPropsVTypes"/>
</file>