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0D2D4F" w:val="clear"/>
            <w:tcMar>
              <w:top w:type="dxa" w:w="340"/>
              <w:left w:type="dxa" w:w="400"/>
              <w:bottom w:type="dxa" w:w="320"/>
              <w:right w:type="dxa" w:w="400"/>
            </w:tcMar>
            <w:vAlign w:val="center"/>
          </w:tcPr>
          <w:p>
            <w:pPr>
              <w:spacing w:after="11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C2EE"/>
                <w:sz w:val="17"/>
                <w:szCs w:val="17"/>
              </w:rPr>
              <w:t xml:space="preserve">CONCEPT — FOR JOINT REVIEW  ·  TIM KING &amp; GIGI GARCIA  ·  SEPTEMBER 2026</w:t>
            </w:r>
          </w:p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Framework Content Generation Rules</w:t>
            </w:r>
          </w:p>
          <w:p>
            <w:pPr>
              <w:spacing w:after="11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FC2EE"/>
                <w:sz w:val="24"/>
                <w:szCs w:val="24"/>
              </w:rPr>
              <w:t xml:space="preserve">Navigation &amp; Structure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9FC2EE"/>
                <w:sz w:val="20"/>
                <w:szCs w:val="20"/>
              </w:rPr>
              <w:t xml:space="preserve">Formal, checkable rules — derived from GiGi’s own site recommendations — meant to bind any future generator of framework content, human or AI-authored.</w:t>
            </w:r>
          </w:p>
        </w:tc>
      </w:tr>
    </w:tbl>
    <w:p>
      <w:pPr>
        <w:spacing w:after="160" w:before="22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none" w:color="FFFFFF" w:sz="0"/>
              <w:left w:val="single" w:color="B8873F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7A5A1E"/>
                <w:sz w:val="19"/>
                <w:szCs w:val="19"/>
              </w:rPr>
              <w:t xml:space="preserve">Concept stage — not yet part of the framework. Per the Concept → Feasibility Review → Approved lifecycle established in From Concept to Principle, this is Claude’s feasibility pass only. Nothing here binds any actual content generation until both Tim and GiGi approve it.</w:t>
            </w:r>
          </w:p>
        </w:tc>
      </w:tr>
    </w:tbl>
    <w:p>
      <w:pPr>
        <w:spacing w:after="10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These three rules turn the three "Navigation &amp; structure" recommendations from GiGi’s review notes into something checkable — not just a style preference, but a set of constraints a content generator (Claude, building a new page or document) can actually be held to. Each rule names what it requires, what it applies to, and, where useful, points at a real page or decision already in the framework that shows the rule in action or in violation.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1B4F8A"/>
          <w:sz w:val="16"/>
          <w:szCs w:val="16"/>
          <w:shd w:fill="EEF3FA" w:val="clear"/>
        </w:rPr>
        <w:t xml:space="preserve"> RULE 1 </w:t>
      </w:r>
      <w:r>
        <w:rPr>
          <w:sz w:val="16"/>
          <w:szCs w:val="16"/>
        </w:rPr>
        <w:t xml:space="preserve">   </w:t>
      </w:r>
      <w:r>
        <w:rPr>
          <w:rFonts w:ascii="Georgia" w:cs="Georgia" w:eastAsia="Georgia" w:hAnsi="Georgia"/>
          <w:b/>
          <w:bCs/>
          <w:color w:val="0D2D4F"/>
          <w:sz w:val="23"/>
          <w:szCs w:val="23"/>
        </w:rPr>
        <w:t xml:space="preserve">Problem-First Entry Points, Additive</w:t>
      </w:r>
    </w:p>
    <w:p>
      <w:p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Primary navigation offers at least one problem-framed entry point — "I am a CHRO — show me HR," "I am a CFO — show me Finance," "I am redesigning a role — show me Role Transition," "I want to understand AI readiness — show me Maturity" — alongside, never instead of, the existing structural/taxonomy navigation. A generator building a new landing surface includes a problem-first path into the content; it does not remove or bury the structural path to make room for it.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Applies to: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The docs site’s primary landing/navigation surface; any new top-level page.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8"/>
          <w:szCs w:val="18"/>
        </w:rPr>
        <w:t xml:space="preserve">Right now the site invites a visitor to "study the architecture" first — the fix adds a second door in, it doesn’t replace the first one.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1B4F8A"/>
          <w:sz w:val="16"/>
          <w:szCs w:val="16"/>
          <w:shd w:fill="EEF3FA" w:val="clear"/>
        </w:rPr>
        <w:t xml:space="preserve"> RULE 2 </w:t>
      </w:r>
      <w:r>
        <w:rPr>
          <w:sz w:val="16"/>
          <w:szCs w:val="16"/>
        </w:rPr>
        <w:t xml:space="preserve">   </w:t>
      </w:r>
      <w:r>
        <w:rPr>
          <w:rFonts w:ascii="Georgia" w:cs="Georgia" w:eastAsia="Georgia" w:hAnsi="Georgia"/>
          <w:b/>
          <w:bCs/>
          <w:color w:val="0D2D4F"/>
          <w:sz w:val="23"/>
          <w:szCs w:val="23"/>
        </w:rPr>
        <w:t xml:space="preserve">One Canonical Explanatory Sequence</w:t>
      </w:r>
    </w:p>
    <w:p>
      <w:p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five-step sequence — Technology Capability → Work Design → Human Judgment → Accountability → Readiness — is the framework’s single canonical "explain it in a few seconds" statement. It appears verbatim, in this order, wherever the site attempts to summarize the whole framework in one line. A generator does not paraphrase, reorder, or invent a competing summary sequence.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Applies to: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The site’s homepage/landing hero, the About page, any executive briefing or summary card.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8"/>
          <w:szCs w:val="18"/>
        </w:rPr>
        <w:t xml:space="preserve">The same line already got the boxed step-flow treatment in the Talking Through Your Questions document — this rule makes that the one and only version, not a first draft of several.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1B4F8A"/>
          <w:sz w:val="16"/>
          <w:szCs w:val="16"/>
          <w:shd w:fill="EEF3FA" w:val="clear"/>
        </w:rPr>
        <w:t xml:space="preserve"> RULE 3 </w:t>
      </w:r>
      <w:r>
        <w:rPr>
          <w:sz w:val="16"/>
          <w:szCs w:val="16"/>
        </w:rPr>
        <w:t xml:space="preserve">   </w:t>
      </w:r>
      <w:r>
        <w:rPr>
          <w:rFonts w:ascii="Georgia" w:cs="Georgia" w:eastAsia="Georgia" w:hAnsi="Georgia"/>
          <w:b/>
          <w:bCs/>
          <w:color w:val="0D2D4F"/>
          <w:sz w:val="23"/>
          <w:szCs w:val="23"/>
        </w:rPr>
        <w:t xml:space="preserve">Hierarchy Fix, Not Redesign</w:t>
      </w:r>
    </w:p>
    <w:p>
      <w:p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Navigation and structure changes are evaluated first as hierarchy and information-architecture adjustments — reordering, re-labeling, re-emphasizing what already exists — tested against whether a first-time CHRO or CFO reader would know what to click. A full visual redesign, or a new page type built from a blank layout, is out of scope for a navigation fix and requires its own separate proposal.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Applies to: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Any navigation or information-architecture change to the docs site or dashboard.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8"/>
          <w:szCs w:val="18"/>
        </w:rPr>
        <w:t xml:space="preserve">GiGi’s own framing, kept as the rule’s test: "the foundation is strong; the fix is hierarchy, not a redesign."</w:t>
      </w:r>
    </w:p>
    <w:p>
      <w:pPr>
        <w:pBdr>
          <w:bottom w:val="single" w:color="DDE3EE" w:sz="4" w:space="1"/>
        </w:pBdr>
        <w:spacing w:after="100" w:before="100"/>
      </w:pPr>
    </w:p>
    <w:p>
      <w:pPr>
        <w:spacing w:after="19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If these three are approved, the same treatment — specific, checkable rules rather than general advice — would follow for Language &amp; Precision next, completing the set drawn from GiGi’s full site-recommendations summary.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E" w:sz="4" w:space="6"/>
      </w:pBdr>
      <w:jc w:val="center"/>
    </w:pPr>
    <w:r>
      <w:rPr>
        <w:rFonts w:ascii="Segoe UI" w:cs="Segoe UI" w:eastAsia="Segoe UI" w:hAnsi="Segoe UI"/>
        <w:b w:val="false"/>
        <w:bCs w:val="false"/>
        <w:i w:val="false"/>
        <w:iCs w:val="false"/>
        <w:color w:val="888888"/>
        <w:sz w:val="17"/>
        <w:szCs w:val="17"/>
      </w:rPr>
      <w:t xml:space="preserve">For joint review — Tim King and GiGi Garcia  ·  © Timothy P. King 2026 · developed with the assistance of Claude (Anthropic)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2026-09-05T17:49:03.106Z</dcterms:created>
  <dcterms:modified xsi:type="dcterms:W3CDTF">2026-09-05T17:49:03.121Z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