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Georgia" w:cs="Georgia" w:eastAsia="Georgia" w:hAnsi="Georgia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Recruiter</w:t>
      </w:r>
    </w:p>
    <w:p>
      <w:pPr>
        <w:spacing w:after="22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4"/>
          <w:szCs w:val="24"/>
        </w:rPr>
        <w:t xml:space="preserve">Recruiter</w:t>
      </w:r>
    </w:p>
    <w:p>
      <w:pPr>
        <w:spacing w:after="20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7"/>
          <w:szCs w:val="17"/>
        </w:rPr>
        <w:t xml:space="preserve">Accountable on 13 real L4 activities across Recruit/Source (7.2.2), Screen and Select (7.2.3), and Manage New Hire (7.2.4) — no Exception-pattern activities in this role's current RACI footprint.</w:t>
      </w:r>
    </w:p>
    <w:p>
      <w:pPr>
        <w:pBdr>
          <w:top w:val="single" w:color="21365E" w:sz="14" w:space="6"/>
        </w:pBdr>
        <w:spacing w:after="140" w:before="0"/>
      </w:pPr>
    </w:p>
    <w:p>
      <w:pPr>
        <w:spacing w:after="6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1A1A1A"/>
          <w:sz w:val="20"/>
          <w:szCs w:val="20"/>
        </w:rPr>
        <w:t xml:space="preserve">As AI matures, Recruiter's remaining human work reshapes: Decision claims a growing share, Transaction shrinks toward the margins.</w:t>
      </w:r>
    </w:p>
    <w:p>
      <w:pPr>
        <w:spacing w:after="12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8585A"/>
          <w:sz w:val="16"/>
          <w:szCs w:val="16"/>
        </w:rPr>
        <w:t xml:space="preserve">Composition of Recruiter's real activity mix still requiring human involvement, by HITL pattern — area = share, %</w:t>
      </w:r>
    </w:p>
    <w:p>
      <w:pPr>
        <w:spacing w:after="40" w:before="0"/>
      </w:pPr>
      <w:r>
        <w:rPr>
          <w:rFonts w:ascii="Segoe UI" w:cs="Segoe UI" w:eastAsia="Segoe UI" w:hAnsi="Segoe UI"/>
          <w:b/>
          <w:bCs/>
          <w:i w:val="false"/>
          <w:iCs w:val="false"/>
          <w:color w:val="21365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5"/>
          <w:szCs w:val="15"/>
        </w:rPr>
        <w:t xml:space="preserve">Decision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Judgment &amp; Authority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5B3A9E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5"/>
          <w:szCs w:val="15"/>
        </w:rPr>
        <w:t xml:space="preserve">Knowledge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Synthesis &amp; Interpretation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0E7C86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5"/>
          <w:szCs w:val="15"/>
        </w:rPr>
        <w:t xml:space="preserve">Document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Content Generation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2F7D4F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5"/>
          <w:szCs w:val="15"/>
        </w:rPr>
        <w:t xml:space="preserve">Transaction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Rules-Based Processing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444444"/>
          <w:sz w:val="15"/>
          <w:szCs w:val="15"/>
        </w:rPr>
        <w:t xml:space="preserve">    </w:t>
      </w:r>
      <w:r>
        <w:rPr>
          <w:rFonts w:ascii="Segoe UI" w:cs="Segoe UI" w:eastAsia="Segoe UI" w:hAnsi="Segoe UI"/>
          <w:b/>
          <w:bCs/>
          <w:i w:val="false"/>
          <w:iCs w:val="false"/>
          <w:color w:val="8B2635"/>
          <w:sz w:val="15"/>
          <w:szCs w:val="15"/>
        </w:rPr>
        <w:t xml:space="preserve">■ </w:t>
      </w:r>
      <w:r>
        <w:rPr>
          <w:rFonts w:ascii="Segoe UI" w:cs="Segoe UI" w:eastAsia="Segoe UI" w:hAnsi="Segoe UI"/>
          <w:b/>
          <w:bCs/>
          <w:i w:val="false"/>
          <w:iCs w:val="false"/>
          <w:color w:val="991B1B"/>
          <w:sz w:val="15"/>
          <w:szCs w:val="15"/>
        </w:rPr>
        <w:t xml:space="preserve">Exception</w:t>
      </w: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 — Non-Standard Resolution</w:t>
      </w:r>
    </w:p>
    <w:p>
      <w:pPr>
        <w:spacing w:after="18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Canonical pattern legend — one fixed color-and-label mapping used across every role and document in the framework, matching the live dashboard’s own legend.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260"/>
            <w:tcMar>
              <w:top w:type="dxa" w:w="80"/>
              <w:left w:type="dxa" w:w="0"/>
              <w:bottom w:type="dxa" w:w="8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M1 — Undesigned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Current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M3 — HITL Design Intent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Target state</w:t>
            </w:r>
          </w:p>
        </w:tc>
        <w:tc>
          <w:tcPr>
            <w:tcW w:type="dxa" w:w="2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8A"/>
                <w:sz w:val="14"/>
                <w:szCs w:val="14"/>
              </w:rPr>
              <w:t xml:space="preserve">M5 — Leading</w:t>
            </w:r>
          </w:p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/>
                <w:iCs/>
                <w:color w:val="1B4F8A"/>
                <w:sz w:val="13"/>
                <w:szCs w:val="13"/>
              </w:rPr>
              <w:t xml:space="preserve">Future state</w:t>
            </w:r>
          </w:p>
        </w:tc>
      </w:tr>
      <w:tr>
        <w:tc>
          <w:tcPr>
            <w:tcW w:type="dxa" w:w="260"/>
            <w:shd w:fill="21365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Decision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24%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34%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43%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8%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dxa" w:w="260"/>
            <w:shd w:fill="2F7D4F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Transaction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38%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31%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19%</w:t>
            </w:r>
          </w:p>
        </w:tc>
      </w:tr>
    </w:tbl>
    <w:p>
      <w:pPr>
        <w:spacing w:after="260" w:before="140"/>
      </w:pPr>
      <w:r>
        <w:rPr>
          <w:rFonts w:ascii="Segoe UI" w:cs="Segoe UI" w:eastAsia="Segoe UI" w:hAnsi="Segoe UI"/>
          <w:b w:val="false"/>
          <w:bCs w:val="false"/>
          <w:i/>
          <w:iCs/>
          <w:color w:val="8A8A8C"/>
          <w:sz w:val="14"/>
          <w:szCs w:val="14"/>
        </w:rPr>
        <w:t xml:space="preserve">Built from Recruiter's real PCF 7.2 RACI data (hitl_dashboard_final.html) — 13 L4 activities across its 3 Accountable processes (7.2.2 Recruit/Source, 7.2.3 Screen and select, 7.2.4 Manage new hire), weighted by activity count × each pattern's M1/M3/M5 human-involvement %. Recruiter has no Exception-pattern activities in current RACI data.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Determining recruitment channels, building and maintaining the candidate pool, choosing selection tools, and interviewing — at this stage the Recruiter owns essentially all of this judgment personally, with no structured AI support underneath it.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Recruiting events, vendor management, referral programs, channel administration, candidate testing, and hire processing — the Recruiter is personally running job fairs, updating vendor contracts, and processing the mechanics of a hire.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Selecting and rejecting candidates, and negotiating the offer — the Recruiter's core identity. At this stage it's almost entirely a personal judgment call, with no structured AI input.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Drawing up and making the offer — largely manual drafting work at this stage, the kind of generative, templated writing AI absorbs quickly once introduced.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is doing more of the pattern-matching underneath the work — surfacing likely-fit candidates, suggesting channel mix from historical fill-rate data, prepping interview guides — while the Recruiter still owns the synthesis: does this pool actually match what the hiring manager needs, is this candidate right beyond what a resume score shows.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35%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this work is now templated and system-driven — automated test administration, self-service vendor portals, workflow-triggered hire processing — with the Recruiter mainly handling exceptions the system flags.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flag background-check concerns or suggest a competitive offer range from comp data, but committing to hire someone and negotiating their terms stays fundamentally human. This is also where the role holds its two Governed Decision Points — Select/reject escalates to CHRO, Negotiate offer escalates to Director of TA — a real accountability boundary, not just a percentage.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language now auto-generates from approved comp data and role terms, with the Recruiter reviewing rather than drafting.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sourcing and structured interview scoring are the default; the Recruiter's value narrows to judgment calls AI can't make — reading real motivation, catching a mismatch the data missed, overriding a confident recommendation that's wrong.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12%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This work is a rounding error at this stage: the Recruiter should rarely be touching it directly, reserved for the rare case the process genuinely breaks — the pattern that shrinks fastest and furthest of anything in the role.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nearly two-thirds of the call to say yes or no to a specific person, and what it takes to close them, is still human — the highest floor of any pattern this role touches.</w:t>
      </w:r>
    </w:p>
    <w:p>
      <w:pPr>
        <w:spacing w:after="30" w:before="100"/>
      </w:pPr>
      <w:r>
        <w:rPr>
          <w:rFonts w:ascii="Segoe UI" w:cs="Segoe UI" w:eastAsia="Segoe UI" w:hAnsi="Segoe UI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Recruiter's role becomes a final check that the specific terms match what was actually negotiated one pattern up, in Decision.</w:t>
      </w:r>
    </w:p>
    <w:p>
      <w:pPr>
        <w:spacing w:after="200" w:before="160"/>
      </w:pPr>
      <w:r>
        <w:rPr>
          <w:rFonts w:ascii="Segoe UI" w:cs="Segoe UI" w:eastAsia="Segoe UI" w:hAnsi="Segoe UI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7.2.2–7.2.4 (real RACI/pattern data) — matches Recruiter_Job_Description.docx, recruiter_treemap_mckinsey.html, and pattern_transition_narratives.docx (pattern-first companion view).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2026-09-05T19:47:32.156Z</dcterms:created>
  <dcterms:modified xsi:type="dcterms:W3CDTF">2026-09-05T19:47:32.156Z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