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340"/>
              <w:left w:type="dxa" w:w="400"/>
              <w:bottom w:type="dxa" w:w="320"/>
              <w:right w:type="dxa" w:w="400"/>
            </w:tcMar>
            <w:vAlign w:val="center"/>
          </w:tcPr>
          <w:p>
            <w:pPr>
              <w:spacing w:after="110" w:before="0"/>
              <w:jc w:val="center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9FC2EE"/>
                <w:sz w:val="17"/>
                <w:szCs w:val="17"/>
              </w:rPr>
              <w:t xml:space="preserve">CONCEPT — FOR JOINT REVIEW  ·  TIM KING &amp; GIGI GARCIA  ·  SEPTEMBER 2026</w:t>
            </w:r>
          </w:p>
          <w:p>
            <w:pPr>
              <w:spacing w:after="4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Framework Content Generation Rules</w:t>
            </w:r>
          </w:p>
          <w:p>
            <w:pPr>
              <w:spacing w:after="11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9FC2EE"/>
                <w:sz w:val="24"/>
                <w:szCs w:val="24"/>
              </w:rPr>
              <w:t xml:space="preserve">Visual System &amp; Hierarchy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9FC2EE"/>
                <w:sz w:val="20"/>
                <w:szCs w:val="20"/>
              </w:rPr>
              <w:t xml:space="preserve">Formal, checkable rules — derived from GiGi’s own site recommendations — meant to bind any future generator of framework content, human or AI-authored.</w:t>
            </w:r>
          </w:p>
        </w:tc>
      </w:tr>
    </w:tbl>
    <w:p>
      <w:pPr>
        <w:spacing w:after="160" w:before="22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7A5A1E"/>
                <w:sz w:val="19"/>
                <w:szCs w:val="19"/>
              </w:rPr>
              <w:t xml:space="preserve">Concept stage — not yet part of the framework. Per the Concept → Feasibility Review → Approved lifecycle established in From Concept to Principle, this is Claude’s feasibility pass only. Nothing here binds any actual content generation until both Tim and GiGi approve it.</w:t>
            </w:r>
          </w:p>
        </w:tc>
      </w:tr>
    </w:tbl>
    <w:p>
      <w:pPr>
        <w:spacing w:after="10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These seven rules turn the six "Visual system &amp; hierarchy" recommendations from GiGi’s review notes into something checkable — not just a style preference, but a set of constraints a content generator (Claude, building a new page or document) can actually be held to. Each rule names what it requires, what it applies to, and, where useful, points at a real page or decision already in the framework that shows the rule in action or in violation.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1B4F8A"/>
          <w:sz w:val="16"/>
          <w:szCs w:val="16"/>
          <w:shd w:fill="EEF3FA" w:val="clear"/>
        </w:rPr>
        <w:t xml:space="preserve"> RULE 1 </w:t>
      </w:r>
      <w:r>
        <w:rPr>
          <w:sz w:val="16"/>
          <w:szCs w:val="16"/>
        </w:rPr>
        <w:t xml:space="preserve">   </w:t>
      </w:r>
      <w:r>
        <w:rPr>
          <w:rFonts w:ascii="Georgia" w:cs="Georgia" w:eastAsia="Georgia" w:hAnsi="Georgia"/>
          <w:b/>
          <w:bCs/>
          <w:color w:val="0D2D4F"/>
          <w:sz w:val="23"/>
          <w:szCs w:val="23"/>
        </w:rPr>
        <w:t xml:space="preserve">Token Lock</w:t>
      </w:r>
    </w:p>
    <w:p>
      <w:pPr>
        <w:spacing w:after="6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Every framework artifact — HTML page, docx, or PDF — draws its colors and fonts exclusively from the standing token set. Colors: navy #1B4F8A, navy-d #0D2D4F, navy-l #EEF3FA, gray #444, light gray #888, border #DDE3EE, amber #B8873F / amber-bg #FEF3C7 (reserved for draft/pending status only — never used decoratively), and light-blue #9FC2EE / #9FC0E8 (the nav-tagline and role-narrative banner accent). Fonts: Georgia for headlines and serif emphasis, Segoe UI for body and UI text, Consolas for labels, badges, and section numbers. A generator does not introduce a new color or font for a single artifact; a genuinely new visual need becomes its own proposal, not a local fix.</w:t>
      </w: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new HTML page, docx build, or PDF the framework produces.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Already the de facto practice across the dashboard, docs site, and every docx/PDF built to date — this rule just makes it binding rather than assumed. Corrected during the WIP compliance audit: the original list omitted the light-blue accent, which was already in universal, load-bearing use for nav taglines and role-narrative banners — now folded into the locked set instead of left as an unsanctioned extension.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1B4F8A"/>
          <w:sz w:val="16"/>
          <w:szCs w:val="16"/>
          <w:shd w:fill="EEF3FA" w:val="clear"/>
        </w:rPr>
        <w:t xml:space="preserve"> RULE 2 </w:t>
      </w:r>
      <w:r>
        <w:rPr>
          <w:sz w:val="16"/>
          <w:szCs w:val="16"/>
        </w:rPr>
        <w:t xml:space="preserve">   </w:t>
      </w:r>
      <w:r>
        <w:rPr>
          <w:rFonts w:ascii="Georgia" w:cs="Georgia" w:eastAsia="Georgia" w:hAnsi="Georgia"/>
          <w:b/>
          <w:bCs/>
          <w:color w:val="0D2D4F"/>
          <w:sz w:val="23"/>
          <w:szCs w:val="23"/>
        </w:rPr>
        <w:t xml:space="preserve">One Pattern Legend</w:t>
      </w:r>
    </w:p>
    <w:p>
      <w:pPr>
        <w:spacing w:after="6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Anywhere the five HITL patterns (Decision, Knowledge, Document, Transaction, Exception) are referenced beyond a single passing mention, the content uses one fixed color-and-label mapping and either displays or links to the canonical pattern legend. A generator does not invent a new shorthand, abbreviation, or color for a pattern, and does not assume the reader already knows the mapping.</w:t>
      </w: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page or document referencing pattern types — the dashboard, methodology page, maturity/RACI docs, any future role or readiness page.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Real gap today: patterns currently read “more like a legend than building blocks” (GiGi’s own words) — no single reusable legend component exists yet.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1B4F8A"/>
          <w:sz w:val="16"/>
          <w:szCs w:val="16"/>
          <w:shd w:fill="EEF3FA" w:val="clear"/>
        </w:rPr>
        <w:t xml:space="preserve"> RULE 3 </w:t>
      </w:r>
      <w:r>
        <w:rPr>
          <w:sz w:val="16"/>
          <w:szCs w:val="16"/>
        </w:rPr>
        <w:t xml:space="preserve">   </w:t>
      </w:r>
      <w:r>
        <w:rPr>
          <w:rFonts w:ascii="Georgia" w:cs="Georgia" w:eastAsia="Georgia" w:hAnsi="Georgia"/>
          <w:b/>
          <w:bCs/>
          <w:color w:val="0D2D4F"/>
          <w:sz w:val="23"/>
          <w:szCs w:val="23"/>
        </w:rPr>
        <w:t xml:space="preserve">Extract the Load-Bearing Claim</w:t>
      </w:r>
    </w:p>
    <w:p>
      <w:pPr>
        <w:spacing w:after="6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Before finalizing any section of prose, the generator identifies that section’s actual claim — a number, a finding, a governing statement — and renders it separately, in the standing pull-quote/callout treatment, rather than leaving it buried inside a paragraph.</w:t>
      </w: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section built around a specific finding or number.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Reference case: the 18–20 point convergence gap belongs in a callout, the way the HAL 9000 line already does — today it still sits in a sentence.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1B4F8A"/>
          <w:sz w:val="16"/>
          <w:szCs w:val="16"/>
          <w:shd w:fill="EEF3FA" w:val="clear"/>
        </w:rPr>
        <w:t xml:space="preserve"> RULE 4 </w:t>
      </w:r>
      <w:r>
        <w:rPr>
          <w:sz w:val="16"/>
          <w:szCs w:val="16"/>
        </w:rPr>
        <w:t xml:space="preserve">   </w:t>
      </w:r>
      <w:r>
        <w:rPr>
          <w:rFonts w:ascii="Georgia" w:cs="Georgia" w:eastAsia="Georgia" w:hAnsi="Georgia"/>
          <w:b/>
          <w:bCs/>
          <w:color w:val="0D2D4F"/>
          <w:sz w:val="23"/>
          <w:szCs w:val="23"/>
        </w:rPr>
        <w:t xml:space="preserve">Callout Budget</w:t>
      </w:r>
    </w:p>
    <w:p>
      <w:pPr>
        <w:spacing w:after="6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No single page or document carries more than three callout or pull-quote boxes. If a draft produces more candidates than that, the generator ranks them by how load-bearing the underlying claim actually is and demotes the rest back to plain prose — it does not keep all of them.</w:t>
      </w: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generated page or document, without exception.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A self-check worth running on our own recent work: an early draft of Talking Through Your Questions had four boxed callouts on one page before this rule existed.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1B4F8A"/>
          <w:sz w:val="16"/>
          <w:szCs w:val="16"/>
          <w:shd w:fill="EEF3FA" w:val="clear"/>
        </w:rPr>
        <w:t xml:space="preserve"> RULE 5 </w:t>
      </w:r>
      <w:r>
        <w:rPr>
          <w:sz w:val="16"/>
          <w:szCs w:val="16"/>
        </w:rPr>
        <w:t xml:space="preserve">   </w:t>
      </w:r>
      <w:r>
        <w:rPr>
          <w:rFonts w:ascii="Georgia" w:cs="Georgia" w:eastAsia="Georgia" w:hAnsi="Georgia"/>
          <w:b/>
          <w:bCs/>
          <w:color w:val="0D2D4F"/>
          <w:sz w:val="23"/>
          <w:szCs w:val="23"/>
        </w:rPr>
        <w:t xml:space="preserve">Standing Type Scale as Default</w:t>
      </w:r>
    </w:p>
    <w:p>
      <w:pPr>
        <w:spacing w:after="6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New content starts from the current, already-downsized type scale as its baseline — masthead H1 22–28px, H2 16–20px, body 13–14.5px, table header 11px, table body 12px, caption 12px — never a full-size print or Word default that then needs its own downsizing pass later.</w:t>
      </w: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new document type: the Readiness Table, Trust-dimension work, remaining domain RACI docs, People-side extension pages.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The August 5 downsizing pass across all 13 maturity docs and 7 RACI docs was this rule, applied reactively after the fact — the point is to stop needing that pass at all.</w:t>
      </w: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1B4F8A"/>
          <w:sz w:val="16"/>
          <w:szCs w:val="16"/>
          <w:shd w:fill="EEF3FA" w:val="clear"/>
        </w:rPr>
        <w:t xml:space="preserve"> RULE 6 </w:t>
      </w:r>
      <w:r>
        <w:rPr>
          <w:sz w:val="16"/>
          <w:szCs w:val="16"/>
        </w:rPr>
        <w:t xml:space="preserve">   </w:t>
      </w:r>
      <w:r>
        <w:rPr>
          <w:rFonts w:ascii="Georgia" w:cs="Georgia" w:eastAsia="Georgia" w:hAnsi="Georgia"/>
          <w:b/>
          <w:bCs/>
          <w:color w:val="0D2D4F"/>
          <w:sz w:val="23"/>
          <w:szCs w:val="23"/>
        </w:rPr>
        <w:t xml:space="preserve">Protect the Signature Line</w:t>
      </w:r>
    </w:p>
    <w:p>
      <w:pPr>
        <w:spacing w:after="6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Wherever the framework masthead appears, "Where human judgment belongs" is set on its own line, visually distinct in weight or color from the framework name beside it — never merged into the same sentence or run together with other boilerplate text.</w:t>
      </w: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masthead: the live dashboard, the docs site, every WIP page.</w:t>
      </w:r>
    </w:p>
    <w:p>
      <w:pPr>
        <w:spacing w:after="140"/>
      </w:pPr>
    </w:p>
    <w:p>
      <w:pPr>
        <w:spacing w:after="60" w:before="260"/>
      </w:pPr>
      <w:r>
        <w:rPr>
          <w:rFonts w:ascii="Consolas" w:cs="Consolas" w:eastAsia="Consolas" w:hAnsi="Consolas"/>
          <w:b/>
          <w:bCs/>
          <w:color w:val="1B4F8A"/>
          <w:sz w:val="16"/>
          <w:szCs w:val="16"/>
          <w:shd w:fill="EEF3FA" w:val="clear"/>
        </w:rPr>
        <w:t xml:space="preserve"> RULE 7 </w:t>
      </w:r>
      <w:r>
        <w:rPr>
          <w:sz w:val="16"/>
          <w:szCs w:val="16"/>
        </w:rPr>
        <w:t xml:space="preserve">   </w:t>
      </w:r>
      <w:r>
        <w:rPr>
          <w:rFonts w:ascii="Georgia" w:cs="Georgia" w:eastAsia="Georgia" w:hAnsi="Georgia"/>
          <w:b/>
          <w:bCs/>
          <w:color w:val="0D2D4F"/>
          <w:sz w:val="23"/>
          <w:szCs w:val="23"/>
        </w:rPr>
        <w:t xml:space="preserve">The Executive Layer Never Replaces the Technical Layer</w:t>
      </w:r>
    </w:p>
    <w:p>
      <w:pPr>
        <w:spacing w:after="6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Any simplified, executive-facing version of technical content — a briefing, a summary card, a pull-statement layer — links back to its full technical source. A generator may summarize; it may never publish a summary as a substitute with no path back to the underlying rigor.</w:t>
      </w: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8"/>
          <w:szCs w:val="18"/>
        </w:rPr>
        <w:t xml:space="preserve">The CHRO-facing briefing series, and any future executive-summary layer built on top of existing technical pages.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This is the concrete, already-designed answer to GiGi’s own Question 12 — not yet shown to her.</w:t>
      </w:r>
    </w:p>
    <w:p>
      <w:pPr>
        <w:pBdr>
          <w:bottom w:val="single" w:color="DDE3EE" w:sz="4" w:space="1"/>
        </w:pBdr>
        <w:spacing w:after="100" w:before="100"/>
      </w:pPr>
    </w:p>
    <w:p>
      <w:pPr>
        <w:spacing w:after="19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20"/>
          <w:szCs w:val="20"/>
        </w:rPr>
        <w:t xml:space="preserve">If these seven are approved, the same treatment — specific, checkable rules rather than general advice — would follow for Navigation &amp; Structure and Language &amp; Precision next, completing the set drawn from GiGi’s full site-recommendations summary.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888888"/>
        <w:sz w:val="17"/>
        <w:szCs w:val="17"/>
      </w:rPr>
      <w:t xml:space="preserve">For joint review — Tim King and GiGi Garcia  ·  © Timothy P. King 2026 · developed with the assistance of Claude (Anthropic)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2026-09-05T19:45:18.201Z</dcterms:created>
  <dcterms:modified xsi:type="dcterms:W3CDTF">2026-09-05T19:45:18.215Z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