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4F" w:sz="2"/>
              <w:left w:val="single" w:color="0D2D4F" w:sz="2"/>
              <w:bottom w:val="single" w:color="0D2D4F" w:sz="2"/>
              <w:right w:val="single" w:color="0D2D4F" w:sz="2"/>
            </w:tcBorders>
            <w:shd w:fill="0D2D4F" w:val="clear"/>
            <w:tcMar>
              <w:top w:type="dxa" w:w="220"/>
              <w:left w:type="dxa" w:w="260"/>
              <w:bottom w:type="dxa" w:w="220"/>
              <w:right w:type="dxa" w:w="260"/>
            </w:tcMar>
          </w:tcPr>
          <w:p>
            <w:pPr>
              <w:jc w:val="center"/>
            </w:pPr>
            <w:r>
              <w:rPr>
                <w:rFonts w:ascii="Consolas" w:cs="Consolas" w:eastAsia="Consolas" w:hAnsi="Consolas"/>
                <w:color w:val="9FC2EE"/>
                <w:spacing w:val="20"/>
                <w:sz w:val="16"/>
                <w:szCs w:val="16"/>
              </w:rPr>
              <w:t xml:space="preserve">HITL-DRIVEN ARCHITECTURE</w:t>
            </w:r>
          </w:p>
          <w:p>
            <w:pPr>
              <w:spacing w:before="100"/>
              <w:jc w:val="center"/>
            </w:pPr>
            <w:r>
              <w:rPr>
                <w:rFonts w:ascii="Georgia" w:cs="Georgia" w:eastAsia="Georgia" w:hAnsi="Georgia"/>
                <w:b/>
                <w:bCs/>
                <w:color w:val="FFFFFF"/>
                <w:sz w:val="32"/>
                <w:szCs w:val="32"/>
              </w:rPr>
              <w:t xml:space="preserve">Framework Content Generation Rules</w:t>
            </w:r>
          </w:p>
          <w:p>
            <w:pPr>
              <w:spacing w:before="60"/>
              <w:jc w:val="center"/>
            </w:pPr>
            <w:r>
              <w:rPr>
                <w:rFonts w:ascii="Georgia" w:cs="Georgia" w:eastAsia="Georgia" w:hAnsi="Georgia"/>
                <w:i/>
                <w:iCs/>
                <w:color w:val="9FC2EE"/>
                <w:sz w:val="20"/>
                <w:szCs w:val="20"/>
              </w:rPr>
              <w:t xml:space="preserve">The Complete Catalog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2"/>
              <w:left w:val="single" w:color="B8873F" w:sz="24"/>
              <w:bottom w:val="single" w:color="FEF3C7" w:sz="2"/>
              <w:right w:val="single" w:color="FEF3C7" w:sz="2"/>
            </w:tcBorders>
            <w:shd w:fill="FEF3C7" w:val="clear"/>
            <w:tcMar>
              <w:top w:type="dxa" w:w="180"/>
              <w:left w:type="dxa" w:w="260"/>
              <w:bottom w:type="dxa" w:w="180"/>
              <w:right w:type="dxa" w:w="260"/>
            </w:tcMar>
          </w:tcPr>
          <w:p>
            <w:r>
              <w:rPr>
                <w:rFonts w:ascii="Segoe UI" w:cs="Segoe UI" w:eastAsia="Segoe UI" w:hAnsi="Segoe UI"/>
                <w:i/>
                <w:iCs/>
                <w:color w:val="7A5A1E"/>
                <w:sz w:val="19"/>
                <w:szCs w:val="19"/>
              </w:rPr>
              <w:t xml:space="preserve">Concept stage — not yet part of the framework. Per the Concept → Feasibility Review → Approved lifecycle established in From Concept to Principle, this is Claude’s feasibility pass only. Nothing here binds any actual content generation until both Tim and GiGi approve it.</w:t>
            </w:r>
          </w:p>
        </w:tc>
      </w:tr>
    </w:tbl>
    <w:p>
      <w:pPr>
        <w:spacing w:after="100"/>
      </w:pPr>
    </w:p>
    <w:p>
      <w:pPr>
        <w:spacing w:after="200"/>
      </w:pPr>
      <w:r>
        <w:rPr>
          <w:rFonts w:ascii="Segoe UI" w:cs="Segoe UI" w:eastAsia="Segoe UI" w:hAnsi="Segoe UI"/>
          <w:color w:val="444444"/>
          <w:sz w:val="21"/>
          <w:szCs w:val="21"/>
        </w:rPr>
        <w:t xml:space="preserve">This catalog merges what were three separately-numbered documents — Visual System &amp; Hierarchy, Navigation &amp; Structure, and Language &amp; Precision — into one continuously numbered list, currently Rule 1 through Rule 19. Each still turns one of GiGi’s site-recommendation groups (or, for Rule 19, a standard Tim set directly) into something checkable, not just a style preference. What changes is only the numbering: under three separate “Rule 1…N” sequences, “Rule 3” meant something different depending on which document you were in. Under one catalog, “Rule 14” means exactly one thing everywhere it’s cited. The three source documents are retained in the WIP folder for history but are superseded by this one.</w:t>
      </w:r>
    </w:p>
    <w:p>
      <w:pPr>
        <w:spacing w:after="200"/>
      </w:pPr>
      <w:r>
        <w:rPr>
          <w:rFonts w:ascii="Segoe UI" w:cs="Segoe UI" w:eastAsia="Segoe UI" w:hAnsi="Segoe UI"/>
          <w:color w:val="444444"/>
          <w:sz w:val="21"/>
          <w:szCs w:val="21"/>
        </w:rPr>
        <w:t xml:space="preserve">One related distinction this catalog does not collapse: a rule is a checkable behavioral constraint on how content gets built; a token is a specific value a rule governs (a hex code, a font name). Rule 1 below is the rule; the token set it locks is a separate, referenced list, not eighteen more rules of its own.</w:t>
      </w:r>
    </w:p>
    <w:p>
      <w:pPr>
        <w:pBdr>
          <w:bottom w:val="single" w:color="EEF3FA" w:sz="12"/>
        </w:pBdr>
        <w:spacing w:after="160" w:before="380"/>
      </w:pPr>
      <w:r>
        <w:rPr>
          <w:rFonts w:ascii="Georgia" w:cs="Georgia" w:eastAsia="Georgia" w:hAnsi="Georgia"/>
          <w:b/>
          <w:bCs/>
          <w:color w:val="0D2D4F"/>
          <w:sz w:val="26"/>
          <w:szCs w:val="26"/>
        </w:rPr>
        <w:t xml:space="preserve">Visual System &amp; Hierarchy</w:t>
      </w:r>
      <w:r>
        <w:rPr>
          <w:rFonts w:ascii="Segoe UI" w:cs="Segoe UI" w:eastAsia="Segoe UI" w:hAnsi="Segoe UI"/>
          <w:color w:val="888888"/>
          <w:sz w:val="18"/>
          <w:szCs w:val="18"/>
        </w:rPr>
        <w:t xml:space="preserve">   Rules 1–8</w:t>
      </w:r>
    </w:p>
    <w:p>
      <w:pPr>
        <w:spacing w:after="60" w:before="260"/>
      </w:pPr>
      <w:r>
        <w:rPr>
          <w:rFonts w:ascii="Consolas" w:cs="Consolas" w:eastAsia="Consolas" w:hAnsi="Consolas"/>
          <w:b/>
          <w:bCs/>
          <w:color w:val="1B4F8A"/>
          <w:sz w:val="18"/>
          <w:szCs w:val="18"/>
        </w:rPr>
        <w:t xml:space="preserve">RULE 1   </w:t>
      </w:r>
      <w:r>
        <w:rPr>
          <w:rFonts w:ascii="Georgia" w:cs="Georgia" w:eastAsia="Georgia" w:hAnsi="Georgia"/>
          <w:b/>
          <w:bCs/>
          <w:color w:val="0D2D4F"/>
          <w:sz w:val="24"/>
          <w:szCs w:val="24"/>
        </w:rPr>
        <w:t xml:space="preserve">Token Lock</w:t>
      </w:r>
    </w:p>
    <w:p>
      <w:pPr>
        <w:spacing w:after="100"/>
      </w:pPr>
      <w:r>
        <w:rPr>
          <w:rFonts w:ascii="Segoe UI" w:cs="Segoe UI" w:eastAsia="Segoe UI" w:hAnsi="Segoe UI"/>
          <w:color w:val="444444"/>
          <w:sz w:val="20"/>
          <w:szCs w:val="20"/>
        </w:rPr>
        <w:t xml:space="preserve">Every framework artifact — HTML page, docx, or PDF — draws its colors and fonts exclusively from the standing token set. Colors: navy #1B4F8A, navy-d #0D2D4F, navy-l #EEF3FA, gray #444, light gray #888, border #DDE3EE, amber #B8873F / amber-bg #FEF3C7 (reserved for draft/pending status only — never used decoratively), and light-blue #9FC2EE / #9FC0E8 (the nav-tagline and role-narrative banner accent). Fonts: Georgia for headlines and serif emphasis, Segoe UI for body and UI text, Consolas for labels, badges, and section numbers — genuine Microsoft Word-compatible fonts only, never Google Fonts or other web-only families, so every artifact renders identically whether it’s opened as a live HTML page, a Word document, or a PDF. A generator does not introduce a new color or font for a single artifact; a genuinely new visual need becomes its own proposal, not a local fix.</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new HTML page, docx build, or PDF the framework produces.</w:t>
      </w:r>
    </w:p>
    <w:p>
      <w:pPr>
        <w:spacing w:after="0"/>
      </w:pPr>
      <w:r>
        <w:rPr>
          <w:rFonts w:ascii="Segoe UI" w:cs="Segoe UI" w:eastAsia="Segoe UI" w:hAnsi="Segoe UI"/>
          <w:i/>
          <w:iCs/>
          <w:color w:val="888888"/>
          <w:sz w:val="18"/>
          <w:szCs w:val="18"/>
        </w:rPr>
        <w:t xml:space="preserve">Already the de facto practice for colors across the dashboard, docs site, and every docx/PDF built to date — this rule just makes it binding rather than assumed. Fonts are the one place this rule is currently ahead of the live framework rather than describing it.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2   </w:t>
      </w:r>
      <w:r>
        <w:rPr>
          <w:rFonts w:ascii="Georgia" w:cs="Georgia" w:eastAsia="Georgia" w:hAnsi="Georgia"/>
          <w:b/>
          <w:bCs/>
          <w:color w:val="0D2D4F"/>
          <w:sz w:val="24"/>
          <w:szCs w:val="24"/>
        </w:rPr>
        <w:t xml:space="preserve">One Pattern Legend</w:t>
      </w:r>
    </w:p>
    <w:p>
      <w:pPr>
        <w:spacing w:after="100"/>
      </w:pPr>
      <w:r>
        <w:rPr>
          <w:rFonts w:ascii="Segoe UI" w:cs="Segoe UI" w:eastAsia="Segoe UI" w:hAnsi="Segoe UI"/>
          <w:color w:val="444444"/>
          <w:sz w:val="20"/>
          <w:szCs w:val="20"/>
        </w:rPr>
        <w:t xml:space="preserve">Anywhere the five HITL patterns (Decision, Knowledge, Document, Transaction, Exception) are referenced beyond a single passing mention, the content uses one fixed color-and-label mapping and either displays or links to the canonical pattern legend. A generator does not invent a new shorthand, abbreviation, or color for a pattern, and does not assume the reader already knows the mapping.</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page or document referencing pattern types — the dashboard, methodology page, maturity/RACI docs, any future role or readiness page.</w:t>
      </w:r>
    </w:p>
    <w:p>
      <w:pPr>
        <w:spacing w:after="0"/>
      </w:pPr>
      <w:r>
        <w:rPr>
          <w:rFonts w:ascii="Segoe UI" w:cs="Segoe UI" w:eastAsia="Segoe UI" w:hAnsi="Segoe UI"/>
          <w:i/>
          <w:iCs/>
          <w:color w:val="888888"/>
          <w:sz w:val="18"/>
          <w:szCs w:val="18"/>
        </w:rPr>
        <w:t xml:space="preserve">Real gap today: patterns currently read “more like a legend than building blocks” (GiGi’s own words) — no single reusable legend component exists yet.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3   </w:t>
      </w:r>
      <w:r>
        <w:rPr>
          <w:rFonts w:ascii="Georgia" w:cs="Georgia" w:eastAsia="Georgia" w:hAnsi="Georgia"/>
          <w:b/>
          <w:bCs/>
          <w:color w:val="0D2D4F"/>
          <w:sz w:val="24"/>
          <w:szCs w:val="24"/>
        </w:rPr>
        <w:t xml:space="preserve">Extract the Load-Bearing Claim</w:t>
      </w:r>
    </w:p>
    <w:p>
      <w:pPr>
        <w:spacing w:after="100"/>
      </w:pPr>
      <w:r>
        <w:rPr>
          <w:rFonts w:ascii="Segoe UI" w:cs="Segoe UI" w:eastAsia="Segoe UI" w:hAnsi="Segoe UI"/>
          <w:color w:val="444444"/>
          <w:sz w:val="20"/>
          <w:szCs w:val="20"/>
        </w:rPr>
        <w:t xml:space="preserve">Before finalizing any section of prose, the generator identifies that section’s actual claim — a number, a finding, a governing statement — and renders it separately, in the standing pull-quote/callout treatment, rather than leaving it buried inside a paragraph.</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section built around a specific finding or number.</w:t>
      </w:r>
    </w:p>
    <w:p>
      <w:pPr>
        <w:spacing w:after="0"/>
      </w:pPr>
      <w:r>
        <w:rPr>
          <w:rFonts w:ascii="Segoe UI" w:cs="Segoe UI" w:eastAsia="Segoe UI" w:hAnsi="Segoe UI"/>
          <w:i/>
          <w:iCs/>
          <w:color w:val="888888"/>
          <w:sz w:val="18"/>
          <w:szCs w:val="18"/>
        </w:rPr>
        <w:t xml:space="preserve">Reference case: the 18–20 point convergence gap belongs in a callout, the way the HAL 9000 line already does — today it still sits in a sentence.</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4   </w:t>
      </w:r>
      <w:r>
        <w:rPr>
          <w:rFonts w:ascii="Georgia" w:cs="Georgia" w:eastAsia="Georgia" w:hAnsi="Georgia"/>
          <w:b/>
          <w:bCs/>
          <w:color w:val="0D2D4F"/>
          <w:sz w:val="24"/>
          <w:szCs w:val="24"/>
        </w:rPr>
        <w:t xml:space="preserve">Callout Budget</w:t>
      </w:r>
    </w:p>
    <w:p>
      <w:pPr>
        <w:spacing w:after="100"/>
      </w:pPr>
      <w:r>
        <w:rPr>
          <w:rFonts w:ascii="Segoe UI" w:cs="Segoe UI" w:eastAsia="Segoe UI" w:hAnsi="Segoe UI"/>
          <w:color w:val="444444"/>
          <w:sz w:val="20"/>
          <w:szCs w:val="20"/>
        </w:rPr>
        <w:t xml:space="preserve">No single page or document carries more than three callout or pull-quote boxes. If a draft produces more candidates than that, the generator ranks them by how load-bearing the underlying claim actually is and demotes the rest back to plain prose — it does not keep all of them.</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generated page or document, without exception.</w:t>
      </w:r>
    </w:p>
    <w:p>
      <w:pPr>
        <w:spacing w:after="0"/>
      </w:pPr>
      <w:r>
        <w:rPr>
          <w:rFonts w:ascii="Segoe UI" w:cs="Segoe UI" w:eastAsia="Segoe UI" w:hAnsi="Segoe UI"/>
          <w:i/>
          <w:iCs/>
          <w:color w:val="888888"/>
          <w:sz w:val="18"/>
          <w:szCs w:val="18"/>
        </w:rPr>
        <w:t xml:space="preserve">A self-check worth running on our own recent work: an early draft of Talking Through Your Questions had four boxed callouts on one page before this rule existed.</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5   </w:t>
      </w:r>
      <w:r>
        <w:rPr>
          <w:rFonts w:ascii="Georgia" w:cs="Georgia" w:eastAsia="Georgia" w:hAnsi="Georgia"/>
          <w:b/>
          <w:bCs/>
          <w:color w:val="0D2D4F"/>
          <w:sz w:val="24"/>
          <w:szCs w:val="24"/>
        </w:rPr>
        <w:t xml:space="preserve">Standing Type Scale as Default</w:t>
      </w:r>
    </w:p>
    <w:p>
      <w:pPr>
        <w:spacing w:after="100"/>
      </w:pPr>
      <w:r>
        <w:rPr>
          <w:rFonts w:ascii="Segoe UI" w:cs="Segoe UI" w:eastAsia="Segoe UI" w:hAnsi="Segoe UI"/>
          <w:color w:val="444444"/>
          <w:sz w:val="20"/>
          <w:szCs w:val="20"/>
        </w:rPr>
        <w:t xml:space="preserve">New content starts from the current, already-downsized type scale as its baseline — masthead H1 22–28px, H2 16–20px, body 13–14.5px, table header 11px, table body 12px, caption 12px — never a full-size print or Word default that then needs its own downsizing pass later.</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new document type: the Readiness Table, Trust-dimension work, remaining domain RACI docs, People-side extension pages.</w:t>
      </w:r>
    </w:p>
    <w:p>
      <w:pPr>
        <w:spacing w:after="0"/>
      </w:pPr>
      <w:r>
        <w:rPr>
          <w:rFonts w:ascii="Segoe UI" w:cs="Segoe UI" w:eastAsia="Segoe UI" w:hAnsi="Segoe UI"/>
          <w:i/>
          <w:iCs/>
          <w:color w:val="888888"/>
          <w:sz w:val="18"/>
          <w:szCs w:val="18"/>
        </w:rPr>
        <w:t xml:space="preserve">The August 5 downsizing pass across all 13 maturity docs and 7 RACI docs was this rule, applied reactively after the fact — the point is to stop needing that pass at all.</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6   </w:t>
      </w:r>
      <w:r>
        <w:rPr>
          <w:rFonts w:ascii="Georgia" w:cs="Georgia" w:eastAsia="Georgia" w:hAnsi="Georgia"/>
          <w:b/>
          <w:bCs/>
          <w:color w:val="0D2D4F"/>
          <w:sz w:val="24"/>
          <w:szCs w:val="24"/>
        </w:rPr>
        <w:t xml:space="preserve">Protect the Signature Line</w:t>
      </w:r>
    </w:p>
    <w:p>
      <w:pPr>
        <w:spacing w:after="100"/>
      </w:pPr>
      <w:r>
        <w:rPr>
          <w:rFonts w:ascii="Segoe UI" w:cs="Segoe UI" w:eastAsia="Segoe UI" w:hAnsi="Segoe UI"/>
          <w:color w:val="444444"/>
          <w:sz w:val="20"/>
          <w:szCs w:val="20"/>
        </w:rPr>
        <w:t xml:space="preserve">Wherever the framework masthead appears, “Where human judgment belongs” is set on its own line, visually distinct in weight or color from the framework name beside it — never merged into the same sentence or run together with other boilerplate text.</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masthead: the live dashboard, the docs site, every WIP page.</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7   </w:t>
      </w:r>
      <w:r>
        <w:rPr>
          <w:rFonts w:ascii="Georgia" w:cs="Georgia" w:eastAsia="Georgia" w:hAnsi="Georgia"/>
          <w:b/>
          <w:bCs/>
          <w:color w:val="0D2D4F"/>
          <w:sz w:val="24"/>
          <w:szCs w:val="24"/>
        </w:rPr>
        <w:t xml:space="preserve">The Executive Layer Never Replaces the Technical Layer</w:t>
      </w:r>
    </w:p>
    <w:p>
      <w:pPr>
        <w:spacing w:after="100"/>
      </w:pPr>
      <w:r>
        <w:rPr>
          <w:rFonts w:ascii="Segoe UI" w:cs="Segoe UI" w:eastAsia="Segoe UI" w:hAnsi="Segoe UI"/>
          <w:color w:val="444444"/>
          <w:sz w:val="20"/>
          <w:szCs w:val="20"/>
        </w:rPr>
        <w:t xml:space="preserve">Any simplified, executive-facing version of technical content — a briefing, a summary card, a pull-statement layer — links back to its full technical source. A generator may summarize; it may never publish a summary as a substitute with no path back to the underlying rigor.</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CHRO-facing briefing series, and any future executive-summary layer built on top of existing technical pages.</w:t>
      </w:r>
    </w:p>
    <w:p>
      <w:pPr>
        <w:spacing w:after="0"/>
      </w:pPr>
      <w:r>
        <w:rPr>
          <w:rFonts w:ascii="Segoe UI" w:cs="Segoe UI" w:eastAsia="Segoe UI" w:hAnsi="Segoe UI"/>
          <w:i/>
          <w:iCs/>
          <w:color w:val="888888"/>
          <w:sz w:val="18"/>
          <w:szCs w:val="18"/>
        </w:rPr>
        <w:t xml:space="preserve">This is the concrete, already-designed answer to GiGi’s own Question 12 — not yet shown to her.</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8   </w:t>
      </w:r>
      <w:r>
        <w:rPr>
          <w:rFonts w:ascii="Georgia" w:cs="Georgia" w:eastAsia="Georgia" w:hAnsi="Georgia"/>
          <w:b/>
          <w:bCs/>
          <w:color w:val="0D2D4F"/>
          <w:sz w:val="24"/>
          <w:szCs w:val="24"/>
        </w:rPr>
        <w:t xml:space="preserve">Bottom-Align Column Headings</w:t>
      </w:r>
    </w:p>
    <w:p>
      <w:pPr>
        <w:spacing w:after="100"/>
      </w:pPr>
      <w:r>
        <w:rPr>
          <w:rFonts w:ascii="Segoe UI" w:cs="Segoe UI" w:eastAsia="Segoe UI" w:hAnsi="Segoe UI"/>
          <w:color w:val="444444"/>
          <w:sz w:val="20"/>
          <w:szCs w:val="20"/>
        </w:rPr>
        <w:t xml:space="preserve">In any table, a column heading’s text vertically aligns to the bottom of the header row, never the middle or top — so a short one-line label and a longer label that wraps to two lines still share the same baseline, and the header row reads as one clean line into the data below regardless of which columns wrap.</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table the framework builds — rule-gap and per-rule findings tables, per-document snapshots, composition/RACI/maturity tables, the WIP catalog.</w:t>
      </w:r>
    </w:p>
    <w:p>
      <w:pPr>
        <w:spacing w:after="0"/>
      </w:pPr>
      <w:r>
        <w:rPr>
          <w:rFonts w:ascii="Segoe UI" w:cs="Segoe UI" w:eastAsia="Segoe UI" w:hAnsi="Segoe UI"/>
          <w:i/>
          <w:iCs/>
          <w:color w:val="888888"/>
          <w:sz w:val="18"/>
          <w:szCs w:val="18"/>
        </w:rPr>
        <w:t xml:space="preserve">Corrected during the WIP compliance audit: browsers and Word both default a table header cell to middle/top alignment, not bottom, so this was a real gap rather than an assumed default.</w:t>
      </w:r>
    </w:p>
    <w:p>
      <w:pPr>
        <w:pBdr>
          <w:bottom w:val="single" w:color="EEF3FA" w:sz="12"/>
        </w:pBdr>
        <w:spacing w:after="160" w:before="380"/>
      </w:pPr>
      <w:r>
        <w:rPr>
          <w:rFonts w:ascii="Georgia" w:cs="Georgia" w:eastAsia="Georgia" w:hAnsi="Georgia"/>
          <w:b/>
          <w:bCs/>
          <w:color w:val="0D2D4F"/>
          <w:sz w:val="26"/>
          <w:szCs w:val="26"/>
        </w:rPr>
        <w:t xml:space="preserve">Navigation &amp; Structure</w:t>
      </w:r>
      <w:r>
        <w:rPr>
          <w:rFonts w:ascii="Segoe UI" w:cs="Segoe UI" w:eastAsia="Segoe UI" w:hAnsi="Segoe UI"/>
          <w:color w:val="888888"/>
          <w:sz w:val="18"/>
          <w:szCs w:val="18"/>
        </w:rPr>
        <w:t xml:space="preserve">   Rules 9–11</w:t>
      </w:r>
    </w:p>
    <w:p>
      <w:pPr>
        <w:spacing w:after="60" w:before="260"/>
      </w:pPr>
      <w:r>
        <w:rPr>
          <w:rFonts w:ascii="Consolas" w:cs="Consolas" w:eastAsia="Consolas" w:hAnsi="Consolas"/>
          <w:b/>
          <w:bCs/>
          <w:color w:val="1B4F8A"/>
          <w:sz w:val="18"/>
          <w:szCs w:val="18"/>
        </w:rPr>
        <w:t xml:space="preserve">RULE 9   </w:t>
      </w:r>
      <w:r>
        <w:rPr>
          <w:rFonts w:ascii="Georgia" w:cs="Georgia" w:eastAsia="Georgia" w:hAnsi="Georgia"/>
          <w:b/>
          <w:bCs/>
          <w:color w:val="0D2D4F"/>
          <w:sz w:val="24"/>
          <w:szCs w:val="24"/>
        </w:rPr>
        <w:t xml:space="preserve">Problem-First Entry Points, Additive</w:t>
      </w:r>
    </w:p>
    <w:p>
      <w:pPr>
        <w:spacing w:after="100"/>
      </w:pPr>
      <w:r>
        <w:rPr>
          <w:rFonts w:ascii="Segoe UI" w:cs="Segoe UI" w:eastAsia="Segoe UI" w:hAnsi="Segoe UI"/>
          <w:color w:val="444444"/>
          <w:sz w:val="20"/>
          <w:szCs w:val="20"/>
        </w:rPr>
        <w:t xml:space="preserve">Primary navigation offers at least one problem-framed entry point — “I am a CHRO — show me HR,” “I am a CFO — show me Finance,” “I am redesigning a role — show me Role Transition,” “I want to understand AI readiness — show me Maturity” — alongside, never instead of, the existing structural/taxonomy navigation. A generator building a new landing surface includes a problem-first path into the content; it does not remove or bury the structural path to make room for it.</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docs site’s primary landing/navigation surface; any new top-level page.</w:t>
      </w:r>
    </w:p>
    <w:p>
      <w:pPr>
        <w:spacing w:after="0"/>
      </w:pPr>
      <w:r>
        <w:rPr>
          <w:rFonts w:ascii="Segoe UI" w:cs="Segoe UI" w:eastAsia="Segoe UI" w:hAnsi="Segoe UI"/>
          <w:i/>
          <w:iCs/>
          <w:color w:val="888888"/>
          <w:sz w:val="18"/>
          <w:szCs w:val="18"/>
        </w:rPr>
        <w:t xml:space="preserve">Right now the site invites a visitor to “study the architecture” first — the fix adds a second door in, it doesn’t replace the first one.</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10   </w:t>
      </w:r>
      <w:r>
        <w:rPr>
          <w:rFonts w:ascii="Georgia" w:cs="Georgia" w:eastAsia="Georgia" w:hAnsi="Georgia"/>
          <w:b/>
          <w:bCs/>
          <w:color w:val="0D2D4F"/>
          <w:sz w:val="24"/>
          <w:szCs w:val="24"/>
        </w:rPr>
        <w:t xml:space="preserve">One Canonical Explanatory Sequence</w:t>
      </w:r>
    </w:p>
    <w:p>
      <w:pPr>
        <w:spacing w:after="100"/>
      </w:pPr>
      <w:r>
        <w:rPr>
          <w:rFonts w:ascii="Segoe UI" w:cs="Segoe UI" w:eastAsia="Segoe UI" w:hAnsi="Segoe UI"/>
          <w:color w:val="444444"/>
          <w:sz w:val="20"/>
          <w:szCs w:val="20"/>
        </w:rPr>
        <w:t xml:space="preserve">The five-step sequence — Technology Capability → Work Design → Human Judgment → Accountability → Readiness — is the framework’s single canonical “explain it in a few seconds” statement. It appears verbatim, in this order, wherever the site attempts to summarize the whole framework in one line. A generator does not paraphrase, reorder, or invent a competing summary sequence.</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site’s homepage/landing hero, the About page, any executive briefing or summary card.</w:t>
      </w:r>
    </w:p>
    <w:p>
      <w:pPr>
        <w:spacing w:after="0"/>
      </w:pPr>
      <w:r>
        <w:rPr>
          <w:rFonts w:ascii="Segoe UI" w:cs="Segoe UI" w:eastAsia="Segoe UI" w:hAnsi="Segoe UI"/>
          <w:i/>
          <w:iCs/>
          <w:color w:val="888888"/>
          <w:sz w:val="18"/>
          <w:szCs w:val="18"/>
        </w:rPr>
        <w:t xml:space="preserve">The same line already got the boxed step-flow treatment in the Talking Through Your Questions document — this rule makes that the one and only version, not a first draft of several.</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11   </w:t>
      </w:r>
      <w:r>
        <w:rPr>
          <w:rFonts w:ascii="Georgia" w:cs="Georgia" w:eastAsia="Georgia" w:hAnsi="Georgia"/>
          <w:b/>
          <w:bCs/>
          <w:color w:val="0D2D4F"/>
          <w:sz w:val="24"/>
          <w:szCs w:val="24"/>
        </w:rPr>
        <w:t xml:space="preserve">Hierarchy Fix, Not Redesign</w:t>
      </w:r>
    </w:p>
    <w:p>
      <w:pPr>
        <w:spacing w:after="100"/>
      </w:pPr>
      <w:r>
        <w:rPr>
          <w:rFonts w:ascii="Segoe UI" w:cs="Segoe UI" w:eastAsia="Segoe UI" w:hAnsi="Segoe UI"/>
          <w:color w:val="444444"/>
          <w:sz w:val="20"/>
          <w:szCs w:val="20"/>
        </w:rPr>
        <w:t xml:space="preserve">Navigation and structure changes are evaluated first as hierarchy and information-architecture adjustments — reordering, re-labeling, re-emphasizing what already exists — tested against whether a first-time CHRO or CFO reader would know what to click. A full visual redesign, or a new page type built from a blank layout, is out of scope for a navigation fix and requires its own separate proposal.</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navigation or information-architecture change to the docs site or dashboard.</w:t>
      </w:r>
    </w:p>
    <w:p>
      <w:pPr>
        <w:spacing w:after="0"/>
      </w:pPr>
      <w:r>
        <w:rPr>
          <w:rFonts w:ascii="Segoe UI" w:cs="Segoe UI" w:eastAsia="Segoe UI" w:hAnsi="Segoe UI"/>
          <w:i/>
          <w:iCs/>
          <w:color w:val="888888"/>
          <w:sz w:val="18"/>
          <w:szCs w:val="18"/>
        </w:rPr>
        <w:t xml:space="preserve">GiGi’s own framing, kept as the rule’s test: “the foundation is strong; the fix is hierarchy, not a redesign.”</w:t>
      </w:r>
    </w:p>
    <w:p>
      <w:pPr>
        <w:pBdr>
          <w:bottom w:val="single" w:color="EEF3FA" w:sz="12"/>
        </w:pBdr>
        <w:spacing w:after="160" w:before="380"/>
      </w:pPr>
      <w:r>
        <w:rPr>
          <w:rFonts w:ascii="Georgia" w:cs="Georgia" w:eastAsia="Georgia" w:hAnsi="Georgia"/>
          <w:b/>
          <w:bCs/>
          <w:color w:val="0D2D4F"/>
          <w:sz w:val="26"/>
          <w:szCs w:val="26"/>
        </w:rPr>
        <w:t xml:space="preserve">Language &amp; Precision</w:t>
      </w:r>
      <w:r>
        <w:rPr>
          <w:rFonts w:ascii="Segoe UI" w:cs="Segoe UI" w:eastAsia="Segoe UI" w:hAnsi="Segoe UI"/>
          <w:color w:val="888888"/>
          <w:sz w:val="18"/>
          <w:szCs w:val="18"/>
        </w:rPr>
        <w:t xml:space="preserve">   Rules 12–18</w:t>
      </w:r>
    </w:p>
    <w:p>
      <w:pPr>
        <w:spacing w:after="60" w:before="260"/>
      </w:pPr>
      <w:r>
        <w:rPr>
          <w:rFonts w:ascii="Consolas" w:cs="Consolas" w:eastAsia="Consolas" w:hAnsi="Consolas"/>
          <w:b/>
          <w:bCs/>
          <w:color w:val="1B4F8A"/>
          <w:sz w:val="18"/>
          <w:szCs w:val="18"/>
        </w:rPr>
        <w:t xml:space="preserve">RULE 12   </w:t>
      </w:r>
      <w:r>
        <w:rPr>
          <w:rFonts w:ascii="Georgia" w:cs="Georgia" w:eastAsia="Georgia" w:hAnsi="Georgia"/>
          <w:b/>
          <w:bCs/>
          <w:color w:val="0D2D4F"/>
          <w:sz w:val="24"/>
          <w:szCs w:val="24"/>
        </w:rPr>
        <w:t xml:space="preserve">Protect the Proven Lines</w:t>
      </w:r>
    </w:p>
    <w:p>
      <w:pPr>
        <w:spacing w:after="100"/>
      </w:pPr>
      <w:r>
        <w:rPr>
          <w:rFonts w:ascii="Segoe UI" w:cs="Segoe UI" w:eastAsia="Segoe UI" w:hAnsi="Segoe UI"/>
          <w:color w:val="444444"/>
          <w:sz w:val="20"/>
          <w:szCs w:val="20"/>
        </w:rPr>
        <w:t xml:space="preserve">“Where human judgment belongs” and “HITL as an organizational design standard, not a safety checkpoint” are locked language. A generator does not rewrite, replace, or paraphrase either line — under any editing pass, for any reason — without a separate, explicit change proposal reviewed on its own.</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page carrying these lines today, and any new page restating the framework’s core identity.</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13   </w:t>
      </w:r>
      <w:r>
        <w:rPr>
          <w:rFonts w:ascii="Georgia" w:cs="Georgia" w:eastAsia="Georgia" w:hAnsi="Georgia"/>
          <w:b/>
          <w:bCs/>
          <w:color w:val="0D2D4F"/>
          <w:sz w:val="24"/>
          <w:szCs w:val="24"/>
        </w:rPr>
        <w:t xml:space="preserve">Name the Organizational Framing Explicitly</w:t>
      </w:r>
    </w:p>
    <w:p>
      <w:pPr>
        <w:spacing w:after="100"/>
      </w:pPr>
      <w:r>
        <w:rPr>
          <w:rFonts w:ascii="Segoe UI" w:cs="Segoe UI" w:eastAsia="Segoe UI" w:hAnsi="Segoe UI"/>
          <w:color w:val="444444"/>
          <w:sz w:val="20"/>
          <w:szCs w:val="20"/>
        </w:rPr>
        <w:t xml:space="preserve">When introducing or summarizing the framework, content states plainly that this is an organizational design problem, not only a technology problem — language equivalent to “This is not only a technology problem. It is an organizational design problem.” A generator does not let a technology-only framing stand uncorrected in introductory copy.</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About/overview/introductory section, and the opening of any new briefing.</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14   </w:t>
      </w:r>
      <w:r>
        <w:rPr>
          <w:rFonts w:ascii="Georgia" w:cs="Georgia" w:eastAsia="Georgia" w:hAnsi="Georgia"/>
          <w:b/>
          <w:bCs/>
          <w:color w:val="0D2D4F"/>
          <w:sz w:val="24"/>
          <w:szCs w:val="24"/>
        </w:rPr>
        <w:t xml:space="preserve">Modeled vs. Observed, Always Labeled</w:t>
      </w:r>
    </w:p>
    <w:p>
      <w:pPr>
        <w:spacing w:after="100"/>
      </w:pPr>
      <w:r>
        <w:rPr>
          <w:rFonts w:ascii="Segoe UI" w:cs="Segoe UI" w:eastAsia="Segoe UI" w:hAnsi="Segoe UI"/>
          <w:color w:val="444444"/>
          <w:sz w:val="20"/>
          <w:szCs w:val="20"/>
        </w:rPr>
        <w:t xml:space="preserve">Any statistic or finding presented as evidence — the convergence gap, per-pattern deltas, any future readiness or trust metric — is explicitly labeled modeled/estimated or observed/validated at the point it’s stated. A generator never lets a modeled figure read as an empirical fact by omission.</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Every numeric claim, in every doc, dashboard, and briefing.</w:t>
      </w:r>
    </w:p>
    <w:p>
      <w:pPr>
        <w:spacing w:after="0"/>
      </w:pPr>
      <w:r>
        <w:rPr>
          <w:rFonts w:ascii="Segoe UI" w:cs="Segoe UI" w:eastAsia="Segoe UI" w:hAnsi="Segoe UI"/>
          <w:i/>
          <w:iCs/>
          <w:color w:val="888888"/>
          <w:sz w:val="18"/>
          <w:szCs w:val="18"/>
        </w:rPr>
        <w:t xml:space="preserve">The 18–20 point convergence gap is modeled, not observed — already true internally, it just needs that label attached everywhere the number appears.</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15   </w:t>
      </w:r>
      <w:r>
        <w:rPr>
          <w:rFonts w:ascii="Georgia" w:cs="Georgia" w:eastAsia="Georgia" w:hAnsi="Georgia"/>
          <w:b/>
          <w:bCs/>
          <w:color w:val="0D2D4F"/>
          <w:sz w:val="24"/>
          <w:szCs w:val="24"/>
        </w:rPr>
        <w:t xml:space="preserve">No Absolute Claims About Safety or Control</w:t>
      </w:r>
    </w:p>
    <w:p>
      <w:pPr>
        <w:spacing w:after="100"/>
      </w:pPr>
      <w:r>
        <w:rPr>
          <w:rFonts w:ascii="Segoe UI" w:cs="Segoe UI" w:eastAsia="Segoe UI" w:hAnsi="Segoe UI"/>
          <w:color w:val="444444"/>
          <w:sz w:val="20"/>
          <w:szCs w:val="20"/>
        </w:rPr>
        <w:t xml:space="preserve">A generator does not use absolute language — “structurally impossible,” “nothing is a black box,” or equivalents — about risk, safety, or control. It uses calibrated language instead: failure made harder to occur, easier to detect, easier to challenge and contain; decision ownership and escalation staying visible. Calibrated language is honest about residual risk; absolute language overclaims its absence.</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risk-, safety-, or governance-adjacent content.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16   </w:t>
      </w:r>
      <w:r>
        <w:rPr>
          <w:rFonts w:ascii="Georgia" w:cs="Georgia" w:eastAsia="Georgia" w:hAnsi="Georgia"/>
          <w:b/>
          <w:bCs/>
          <w:color w:val="0D2D4F"/>
          <w:sz w:val="24"/>
          <w:szCs w:val="24"/>
        </w:rPr>
        <w:t xml:space="preserve">H% Carries Its Disclaimer</w:t>
      </w:r>
    </w:p>
    <w:p>
      <w:pPr>
        <w:spacing w:after="100"/>
      </w:pPr>
      <w:r>
        <w:rPr>
          <w:rFonts w:ascii="Segoe UI" w:cs="Segoe UI" w:eastAsia="Segoe UI" w:hAnsi="Segoe UI"/>
          <w:color w:val="444444"/>
          <w:sz w:val="20"/>
          <w:szCs w:val="20"/>
        </w:rPr>
        <w:t xml:space="preserve">Any time H% or a human-involvement percentage is introduced or displayed, the content states — or links to a statement, reachable from the same view — that H% is not a headcount-reduction metric and should not be read as “X% fewer people.” A generator does not present an H% figure in isolation without that context nearby.</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The dashboard, any RACI/maturity doc showing H%, any executive summary citing the convergence gap.</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17   </w:t>
      </w:r>
      <w:r>
        <w:rPr>
          <w:rFonts w:ascii="Georgia" w:cs="Georgia" w:eastAsia="Georgia" w:hAnsi="Georgia"/>
          <w:b/>
          <w:bCs/>
          <w:color w:val="0D2D4F"/>
          <w:sz w:val="24"/>
          <w:szCs w:val="24"/>
        </w:rPr>
        <w:t xml:space="preserve">“Designed,” Not “Optimal,” Unless Earned</w:t>
      </w:r>
    </w:p>
    <w:p>
      <w:pPr>
        <w:spacing w:after="100"/>
      </w:pPr>
      <w:r>
        <w:rPr>
          <w:rFonts w:ascii="Segoe UI" w:cs="Segoe UI" w:eastAsia="Segoe UI" w:hAnsi="Segoe UI"/>
          <w:color w:val="444444"/>
          <w:sz w:val="20"/>
          <w:szCs w:val="20"/>
        </w:rPr>
        <w:t xml:space="preserve">A generator defaults to “designed” or “appropriate” rather than “optimal” when describing a maturity target or reference curve. “Optimal” is used only when a specific, justified claim is actually being made that the target is a universal standard — and that claim is stated outright, not implied by word choice alone.</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reference to M3 / Design Intent, or any future maturity target.</w:t>
      </w:r>
    </w:p>
    <w:p>
      <w:pPr>
        <w:pBdr>
          <w:bottom w:val="single" w:color="DDE3EE" w:sz="4"/>
        </w:pBdr>
        <w:spacing w:after="0" w:before="200"/>
      </w:pPr>
    </w:p>
    <w:p>
      <w:pPr>
        <w:spacing w:after="60" w:before="260"/>
      </w:pPr>
      <w:r>
        <w:rPr>
          <w:rFonts w:ascii="Consolas" w:cs="Consolas" w:eastAsia="Consolas" w:hAnsi="Consolas"/>
          <w:b/>
          <w:bCs/>
          <w:color w:val="1B4F8A"/>
          <w:sz w:val="18"/>
          <w:szCs w:val="18"/>
        </w:rPr>
        <w:t xml:space="preserve">RULE 18   </w:t>
      </w:r>
      <w:r>
        <w:rPr>
          <w:rFonts w:ascii="Georgia" w:cs="Georgia" w:eastAsia="Georgia" w:hAnsi="Georgia"/>
          <w:b/>
          <w:bCs/>
          <w:color w:val="0D2D4F"/>
          <w:sz w:val="24"/>
          <w:szCs w:val="24"/>
        </w:rPr>
        <w:t xml:space="preserve">Frame HAL as Origin Story, Not Operating Target</w:t>
      </w:r>
    </w:p>
    <w:p>
      <w:pPr>
        <w:spacing w:after="100"/>
      </w:pPr>
      <w:r>
        <w:rPr>
          <w:rFonts w:ascii="Segoe UI" w:cs="Segoe UI" w:eastAsia="Segoe UI" w:hAnsi="Segoe UI"/>
          <w:color w:val="444444"/>
          <w:sz w:val="20"/>
          <w:szCs w:val="20"/>
        </w:rPr>
        <w:t xml:space="preserve">The HAL 9000 90/10 example is framed as describing how the framework was co-created — its origin story — never as a universal operating target for an adopting organization. Wherever the example appears, it carries language equivalent to “HAL was the warning. This framework is an attempt to build the answer,” rather than presenting the 90/10 split as a prescriptive ratio.</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page or briefing using the HAL example.</w:t>
      </w:r>
    </w:p>
    <w:p>
      <w:pPr>
        <w:pBdr>
          <w:bottom w:val="single" w:color="EEF3FA" w:sz="12"/>
        </w:pBdr>
        <w:spacing w:after="160" w:before="380"/>
      </w:pPr>
      <w:r>
        <w:rPr>
          <w:rFonts w:ascii="Georgia" w:cs="Georgia" w:eastAsia="Georgia" w:hAnsi="Georgia"/>
          <w:b/>
          <w:bCs/>
          <w:color w:val="0D2D4F"/>
          <w:sz w:val="26"/>
          <w:szCs w:val="26"/>
        </w:rPr>
        <w:t xml:space="preserve">WIP Proposal Structure</w:t>
      </w:r>
      <w:r>
        <w:rPr>
          <w:rFonts w:ascii="Segoe UI" w:cs="Segoe UI" w:eastAsia="Segoe UI" w:hAnsi="Segoe UI"/>
          <w:color w:val="888888"/>
          <w:sz w:val="18"/>
          <w:szCs w:val="18"/>
        </w:rPr>
        <w:t xml:space="preserve">   Rule 19</w:t>
      </w:r>
    </w:p>
    <w:p>
      <w:pPr>
        <w:spacing w:after="60" w:before="260"/>
      </w:pPr>
      <w:r>
        <w:rPr>
          <w:rFonts w:ascii="Consolas" w:cs="Consolas" w:eastAsia="Consolas" w:hAnsi="Consolas"/>
          <w:b/>
          <w:bCs/>
          <w:color w:val="1B4F8A"/>
          <w:sz w:val="18"/>
          <w:szCs w:val="18"/>
        </w:rPr>
        <w:t xml:space="preserve">RULE 19   </w:t>
      </w:r>
      <w:r>
        <w:rPr>
          <w:rFonts w:ascii="Georgia" w:cs="Georgia" w:eastAsia="Georgia" w:hAnsi="Georgia"/>
          <w:b/>
          <w:bCs/>
          <w:color w:val="0D2D4F"/>
          <w:sz w:val="24"/>
          <w:szCs w:val="24"/>
        </w:rPr>
        <w:t xml:space="preserve">One Shape for Every WIP Proposal</w:t>
      </w:r>
    </w:p>
    <w:p>
      <w:pPr>
        <w:spacing w:after="100"/>
      </w:pPr>
      <w:r>
        <w:rPr>
          <w:rFonts w:ascii="Segoe UI" w:cs="Segoe UI" w:eastAsia="Segoe UI" w:hAnsi="Segoe UI"/>
          <w:color w:val="444444"/>
          <w:sz w:val="20"/>
          <w:szCs w:val="20"/>
        </w:rPr>
        <w:t xml:space="preserve">Every WIP catalog item that proposes a new concept, standard, or change to the framework follows the same five-section structure, in this order: Why This Now (what prompted this — a real trigger, not a manufactured one), The Problem (what’s wrong with the current state, with a concrete example or mock-up where the proposal is visual), The Recommendation (the proposed fix, shown the same concrete way as the problem), Proposed Tokens (any new values the proposal introduces — colors, names, thresholds — outside the current locked set, noting whether they touch Rule 1 Token Lock or Rule 2 One Pattern Legend), and Build Note (what implementing this would actually require, once approved). A generator does not invent a different section order, rename a section, or add a sixth; a section with nothing real to say is dropped entirely rather than padded out.</w:t>
      </w:r>
    </w:p>
    <w:p>
      <w:pPr>
        <w:spacing w:after="60"/>
      </w:pPr>
      <w:r>
        <w:rPr>
          <w:rFonts w:ascii="Segoe UI" w:cs="Segoe UI" w:eastAsia="Segoe UI" w:hAnsi="Segoe UI"/>
          <w:b/>
          <w:bCs/>
          <w:color w:val="1B4F8A"/>
          <w:sz w:val="18"/>
          <w:szCs w:val="18"/>
        </w:rPr>
        <w:t xml:space="preserve">Applies to: </w:t>
      </w:r>
      <w:r>
        <w:rPr>
          <w:rFonts w:ascii="Segoe UI" w:cs="Segoe UI" w:eastAsia="Segoe UI" w:hAnsi="Segoe UI"/>
          <w:color w:val="888888"/>
          <w:sz w:val="18"/>
          <w:szCs w:val="18"/>
        </w:rPr>
        <w:t xml:space="preserve">Any new WIP catalog item proposing a concept, standard, or change. Reference-only WIP items that propose nothing — GiGi’s own review notes, the compliance audit — aren’t proposals and don’t need this shape.</w:t>
      </w:r>
    </w:p>
    <w:p>
      <w:pPr>
        <w:spacing w:after="0"/>
      </w:pPr>
      <w:r>
        <w:rPr>
          <w:rFonts w:ascii="Segoe UI" w:cs="Segoe UI" w:eastAsia="Segoe UI" w:hAnsi="Segoe UI"/>
          <w:i/>
          <w:iCs/>
          <w:color w:val="888888"/>
          <w:sz w:val="18"/>
          <w:szCs w:val="18"/>
        </w:rPr>
        <w:t xml:space="preserve">Already the shape used by Work Pattern Color Standard, built the day before this rule existed; this rule makes that the standard for every proposal going forward. H% Provenance Badge predates this rule too and uses its own section names — a real, not-yet-closed gap, left as-is unless Tim wants it reshaped to match.</w:t>
      </w:r>
    </w:p>
    <w:p>
      <w:pPr>
        <w:spacing w:after="200" w:before="300"/>
      </w:pPr>
      <w:r>
        <w:rPr>
          <w:rFonts w:ascii="Segoe UI" w:cs="Segoe UI" w:eastAsia="Segoe UI" w:hAnsi="Segoe UI"/>
          <w:i/>
          <w:iCs/>
          <w:color w:val="444444"/>
          <w:sz w:val="20"/>
          <w:szCs w:val="20"/>
        </w:rPr>
        <w:t xml:space="preserve">Any future rule joins this catalog at Rule 20 and onward, whichever category it belongs to — the numbering never restarts, so a citation made today stays correct as the catalog grows.</w:t>
      </w:r>
    </w:p>
    <w:p>
      <w:pPr>
        <w:pBdr>
          <w:top w:val="single" w:color="DDE3EE" w:sz="4"/>
        </w:pBdr>
        <w:spacing w:before="200"/>
      </w:pPr>
    </w:p>
    <w:p>
      <w:pPr>
        <w:spacing w:before="200"/>
        <w:jc w:val="center"/>
      </w:pPr>
      <w:r>
        <w:rPr>
          <w:rFonts w:ascii="Segoe UI" w:cs="Segoe UI" w:eastAsia="Segoe UI" w:hAnsi="Segoe UI"/>
          <w:color w:val="888888"/>
          <w:sz w:val="18"/>
          <w:szCs w:val="18"/>
        </w:rPr>
        <w:t xml:space="preserve">Tim King &amp; Claude  |  Concept — For Joint Review  |  September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2026-09-08T13:54:42.045Z</dcterms:created>
  <dcterms:modified xsi:type="dcterms:W3CDTF">2026-09-08T13:54:42.052Z</dcterms:modified>
</cp:coreProperties>
</file>

<file path=docProps/custom.xml><?xml version="1.0" encoding="utf-8"?>
<Properties xmlns="http://schemas.openxmlformats.org/officeDocument/2006/custom-properties" xmlns:vt="http://schemas.openxmlformats.org/officeDocument/2006/docPropsVTypes"/>
</file>