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Data-to-Insight</w:t>
      </w:r>
    </w:p>
    <w:p>
      <w:pPr>
        <w:spacing w:after="200"/>
      </w:pPr>
      <w:r>
        <w:rPr>
          <w:i/>
          <w:iCs/>
          <w:color w:val="888888"/>
          <w:sz w:val="17"/>
          <w:szCs w:val="17"/>
        </w:rPr>
        <w:t xml:space="preserve">PCF 8.4 — Information &amp; analytics strategy, architecture &amp; lifecycle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6</w:t>
            </w:r>
          </w:p>
        </w:tc>
      </w:tr>
    </w:tbl>
    <w:p>
      <w:pPr>
        <w:spacing w:after="160" w:before="200"/>
      </w:pPr>
      <w:r>
        <w:rPr>
          <w:color w:val="444444"/>
          <w:sz w:val="18"/>
          <w:szCs w:val="18"/>
        </w:rPr>
        <w:t xml:space="preserve">This document reports confirmed R/A/C/I role accountability for the Data-to-Insight value stream (PCF 8.4)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8.4  </w:t>
            </w:r>
            <w:r>
              <w:rPr>
                <w:b/>
                <w:bCs/>
                <w:color w:val="0D2D4F"/>
                <w:sz w:val="14"/>
                <w:szCs w:val="14"/>
              </w:rPr>
              <w:t xml:space="preserve">Manage information</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business information and analytics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33.33%"/>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data, information, and analytic objectives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data, information, and analytic governance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Data &amp; Analytics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Access IT data/analytic capabilities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Data &amp; Analytics</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Chief Data Officer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8.4.2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and maintain business information architecture</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enterprise business information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enterprise data models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and understand external data sources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data ownership and stewardship responsibilities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and evolve enterprise data and information architecture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execute business information lifecycle planning and control</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maintain enterprise information policies, standards,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and execute data administration responsibilities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8.4.4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business information</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control business information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business information feeds and repositories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8.4.4.3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internal usage audits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8.4.4.4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and administer business information access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Data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Data &amp; Analytics</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8.4 — Data-to-Insight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2026-08-09T12:47:33.057Z</dcterms:created>
  <dcterms:modified xsi:type="dcterms:W3CDTF">2026-08-09T12:47:33.057Z</dcterms:modified>
</cp:coreProperties>
</file>

<file path=docProps/custom.xml><?xml version="1.0" encoding="utf-8"?>
<Properties xmlns="http://schemas.openxmlformats.org/officeDocument/2006/custom-properties" xmlns:vt="http://schemas.openxmlformats.org/officeDocument/2006/docPropsVTypes"/>
</file>