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Record-to-Report</w:t>
      </w:r>
    </w:p>
    <w:p>
      <w:pPr>
        <w:spacing w:after="200"/>
      </w:pPr>
      <w:r>
        <w:rPr>
          <w:i/>
          <w:iCs/>
          <w:color w:val="888888"/>
          <w:sz w:val="17"/>
          <w:szCs w:val="17"/>
        </w:rPr>
        <w:t xml:space="preserve">PCF 9.3, 9.8 — General accounting, financial reporting &amp; internal controls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7</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42</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7</w:t>
            </w:r>
          </w:p>
        </w:tc>
      </w:tr>
    </w:tbl>
    <w:p>
      <w:pPr>
        <w:spacing w:after="160" w:before="200"/>
      </w:pPr>
      <w:r>
        <w:rPr>
          <w:color w:val="444444"/>
          <w:sz w:val="18"/>
          <w:szCs w:val="18"/>
        </w:rPr>
        <w:t xml:space="preserve">This document reports confirmed R/A/C/I role accountability for the Record-to-Report value stream (PCF 9.3, 9.8)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9.3  </w:t>
            </w:r>
            <w:r>
              <w:rPr>
                <w:b/>
                <w:bCs/>
                <w:color w:val="0D2D4F"/>
                <w:sz w:val="14"/>
                <w:szCs w:val="14"/>
              </w:rPr>
              <w:t xml:space="preserve">Perform general accounting and reporting</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financial policies and procedures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4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Negotiate service-level agreements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accounting policies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Publish accounting policies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Set and enforce approval limits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common financial systems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9.3.2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general accounting</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chart of accounts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journal entries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allocations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period end adjustments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Post and reconcile intercompany transactions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9.3.2.6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Reconcile general ledger accounts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consolidations and process eliminations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9.3.2.8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trial balance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9.3.2.9</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and post management adjustments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Perform fixed-asset accounting</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1.11%"/>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88.89%"/>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fixed-asset policies and procedures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fixed-asset master data files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and record fixed-asset additions and retires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and record fixed-asset adjustments, enhancements, revaluations, and transfers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and record fixed-asset maintenance and repair expenses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9.3.3.6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Calculate and record depreciation expense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Reconcile fixed-asset ledger</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9.3.3.8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Track fixed-assets including physical inventory</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9.3.3.9</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Provide fixed-asset data to support tax, statutory, and regulatory reporting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9.3.4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financial reporting</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62.5%"/>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2.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business unit financial statements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consolidated financial statements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business unit reporting/review management reports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9.3.4.4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consolidated reporting/review of cost management reports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9.3.4.5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statements for board review</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9.3.4.6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quarterly/annual filings and shareholder reports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9.3.4.7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Produce regulatory reports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9.3.4.8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legal and management consolidation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9.8  </w:t>
            </w:r>
            <w:r>
              <w:rPr>
                <w:b/>
                <w:bCs/>
                <w:color w:val="0D2D4F"/>
                <w:sz w:val="14"/>
                <w:szCs w:val="14"/>
              </w:rPr>
              <w:t xml:space="preserve">Manage internal controls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Establish internal controls, policies, and procedures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6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board of directors and audit committee</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and communicate code of ethics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Assign roles and responsibility for internal controls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business process objectives and risks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entity/unit risk tolerances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9.8.2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Operate controls and monitor compliance with internal controls policies and procedures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50%"/>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Audit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control effectiveness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Remediate control deficiencies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Report on internal controls compliance</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Report to external auditors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Report to regulators, share-/debt-holders, securities exchanges, etc.</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Report to third parties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Report to internal management</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7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9.3, 9.8 — Record-to-Report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2026-08-18T22:40:15.823Z</dcterms:created>
  <dcterms:modified xsi:type="dcterms:W3CDTF">2026-08-18T22:40:15.824Z</dcterms:modified>
</cp:coreProperties>
</file>

<file path=docProps/custom.xml><?xml version="1.0" encoding="utf-8"?>
<Properties xmlns="http://schemas.openxmlformats.org/officeDocument/2006/custom-properties" xmlns:vt="http://schemas.openxmlformats.org/officeDocument/2006/docPropsVTypes"/>
</file>