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0D2D4F" w:val="clear"/>
            <w:tcMar>
              <w:top w:type="dxa" w:w="340"/>
              <w:left w:type="dxa" w:w="400"/>
              <w:bottom w:type="dxa" w:w="320"/>
              <w:right w:type="dxa" w:w="400"/>
            </w:tcMar>
            <w:vAlign w:val="center"/>
          </w:tcPr>
          <w:p>
            <w:pPr>
              <w:spacing w:after="110" w:before="0"/>
              <w:jc w:val="center"/>
            </w:pPr>
            <w:r>
              <w:rPr>
                <w:rFonts w:ascii="DM Mono" w:cs="DM Mono" w:eastAsia="DM Mono" w:hAnsi="DM Mono"/>
                <w:b w:val="false"/>
                <w:bCs w:val="false"/>
                <w:i w:val="false"/>
                <w:iCs w:val="false"/>
                <w:color w:val="9FC2EE"/>
                <w:sz w:val="17"/>
                <w:szCs w:val="17"/>
              </w:rPr>
              <w:t xml:space="preserve">CONCEPT — FOR JOINT REVIEW  ·  TIM KING &amp; GIGI GARCIA  ·  SEPTEMBER 2026</w:t>
            </w:r>
          </w:p>
          <w:p>
            <w:pPr>
              <w:spacing w:after="40" w:before="0"/>
              <w:jc w:val="center"/>
            </w:pPr>
            <w:r>
              <w:rPr>
                <w:rFonts w:ascii="Playfair Display" w:cs="Playfair Display" w:eastAsia="Playfair Display" w:hAnsi="Playfair Display"/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Framework Content Generation Rules</w:t>
            </w:r>
          </w:p>
          <w:p>
            <w:pPr>
              <w:spacing w:after="110" w:before="0"/>
              <w:jc w:val="center"/>
            </w:pPr>
            <w:r>
              <w:rPr>
                <w:rFonts w:ascii="Playfair Display" w:cs="Playfair Display" w:eastAsia="Playfair Display" w:hAnsi="Playfair Display"/>
                <w:b/>
                <w:bCs/>
                <w:i/>
                <w:iCs/>
                <w:color w:val="9FC2EE"/>
                <w:sz w:val="24"/>
                <w:szCs w:val="24"/>
              </w:rPr>
              <w:t xml:space="preserve">Visual System &amp; Hierarchy</w:t>
            </w:r>
          </w:p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/>
                <w:iCs/>
                <w:color w:val="9FC2EE"/>
                <w:sz w:val="20"/>
                <w:szCs w:val="20"/>
              </w:rPr>
              <w:t xml:space="preserve">Formal, checkable rules — derived from GiGi’s own site recommendations — meant to bind any future generator of framework content, human or AI-authored.</w:t>
            </w:r>
          </w:p>
        </w:tc>
      </w:tr>
    </w:tbl>
    <w:p>
      <w:pPr>
        <w:spacing w:after="160" w:before="220"/>
      </w:pP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tcBorders>
              <w:top w:val="none" w:color="FFFFFF" w:sz="0"/>
              <w:left w:val="single" w:color="B8873F" w:sz="24"/>
              <w:bottom w:val="none" w:color="FFFFFF" w:sz="0"/>
              <w:right w:val="none" w:color="FFFFFF" w:sz="0"/>
            </w:tcBorders>
            <w:shd w:fill="FEF3C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DM Sans" w:cs="DM Sans" w:eastAsia="DM Sans" w:hAnsi="DM Sans"/>
                <w:b w:val="false"/>
                <w:bCs w:val="false"/>
                <w:i/>
                <w:iCs/>
                <w:color w:val="7A5A1E"/>
                <w:sz w:val="19"/>
                <w:szCs w:val="19"/>
              </w:rPr>
              <w:t xml:space="preserve">Concept stage — not yet part of the framework. Per the Concept → Feasibility Review → Approved lifecycle established in From Concept to Principle, this is Claude’s feasibility pass only. Nothing here binds any actual content generation until both Tim and GiGi approve it.</w:t>
            </w:r>
          </w:p>
        </w:tc>
      </w:tr>
    </w:tbl>
    <w:p>
      <w:pPr>
        <w:spacing w:after="10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These seven rules turn the six "Visual system &amp; hierarchy" recommendations from GiGi’s review notes into something checkable — not just a style preference, but a set of constraints a content generator (Claude, building a new page or document) can actually be held to. Each rule names what it requires, what it applies to, and, where useful, points at a real page or decision already in the framework that shows the rule in action or in violation.</w:t>
      </w:r>
    </w:p>
    <w:p>
      <w:pPr>
        <w:spacing w:after="60" w:before="260"/>
      </w:pPr>
      <w:r>
        <w:rPr>
          <w:rFonts w:ascii="DM Mono" w:cs="DM Mono" w:eastAsia="DM Mono" w:hAnsi="DM Mono"/>
          <w:b/>
          <w:bCs/>
          <w:color w:val="1B4F8A"/>
          <w:sz w:val="16"/>
          <w:szCs w:val="16"/>
          <w:shd w:fill="EEF3FA" w:val="clear"/>
        </w:rPr>
        <w:t xml:space="preserve"> RULE 1 </w:t>
      </w:r>
      <w:r>
        <w:rPr>
          <w:sz w:val="16"/>
          <w:szCs w:val="16"/>
        </w:rPr>
        <w:t xml:space="preserve">   </w:t>
      </w:r>
      <w:r>
        <w:rPr>
          <w:rFonts w:ascii="Playfair Display" w:cs="Playfair Display" w:eastAsia="Playfair Display" w:hAnsi="Playfair Display"/>
          <w:b/>
          <w:bCs/>
          <w:color w:val="0D2D4F"/>
          <w:sz w:val="23"/>
          <w:szCs w:val="23"/>
        </w:rPr>
        <w:t xml:space="preserve">Token Lock</w:t>
      </w:r>
    </w:p>
    <w:p>
      <w:pPr>
        <w:spacing w:after="6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Every framework artifact — HTML page, docx, or PDF — draws its colors and fonts exclusively from the standing token set. Colors: navy #1B4F8A, navy-d #0D2D4F, navy-l #EEF3FA, gray #444, light gray #888, border #DDE3EE, and amber #B8873F / amber-bg #FEF3C7 (reserved for draft/pending status only — never used decoratively). Fonts: Playfair Display for headlines and serif emphasis, DM Sans for body and UI text, DM Mono for labels, badges, and section numbers. A generator does not introduce a new color or font for a single artifact; a genuinely new visual need becomes its own proposal, not a local fix.</w:t>
      </w: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8"/>
          <w:szCs w:val="18"/>
        </w:rPr>
        <w:t xml:space="preserve">Every new HTML page, docx build, or PDF the framework produces.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Already the de facto practice across the dashboard, docs site, and every docx/PDF built to date — this rule just makes it binding rather than assumed.</w:t>
      </w:r>
    </w:p>
    <w:p>
      <w:pPr>
        <w:spacing w:after="60" w:before="260"/>
      </w:pPr>
      <w:r>
        <w:rPr>
          <w:rFonts w:ascii="DM Mono" w:cs="DM Mono" w:eastAsia="DM Mono" w:hAnsi="DM Mono"/>
          <w:b/>
          <w:bCs/>
          <w:color w:val="1B4F8A"/>
          <w:sz w:val="16"/>
          <w:szCs w:val="16"/>
          <w:shd w:fill="EEF3FA" w:val="clear"/>
        </w:rPr>
        <w:t xml:space="preserve"> RULE 2 </w:t>
      </w:r>
      <w:r>
        <w:rPr>
          <w:sz w:val="16"/>
          <w:szCs w:val="16"/>
        </w:rPr>
        <w:t xml:space="preserve">   </w:t>
      </w:r>
      <w:r>
        <w:rPr>
          <w:rFonts w:ascii="Playfair Display" w:cs="Playfair Display" w:eastAsia="Playfair Display" w:hAnsi="Playfair Display"/>
          <w:b/>
          <w:bCs/>
          <w:color w:val="0D2D4F"/>
          <w:sz w:val="23"/>
          <w:szCs w:val="23"/>
        </w:rPr>
        <w:t xml:space="preserve">One Pattern Legend</w:t>
      </w:r>
    </w:p>
    <w:p>
      <w:pPr>
        <w:spacing w:after="6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Anywhere the five HITL patterns (Decision, Knowledge, Document, Transaction, Exception) are referenced beyond a single passing mention, the content uses one fixed color-and-label mapping and either displays or links to the canonical pattern legend. A generator does not invent a new shorthand, abbreviation, or color for a pattern, and does not assume the reader already knows the mapping.</w:t>
      </w: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8"/>
          <w:szCs w:val="18"/>
        </w:rPr>
        <w:t xml:space="preserve">Any page or document referencing pattern types — the dashboard, methodology page, maturity/RACI docs, any future role or readiness page.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Real gap today: patterns currently read “more like a legend than building blocks” (GiGi’s own words) — no single reusable legend component exists yet.</w:t>
      </w:r>
    </w:p>
    <w:p>
      <w:pPr>
        <w:spacing w:after="60" w:before="260"/>
      </w:pPr>
      <w:r>
        <w:rPr>
          <w:rFonts w:ascii="DM Mono" w:cs="DM Mono" w:eastAsia="DM Mono" w:hAnsi="DM Mono"/>
          <w:b/>
          <w:bCs/>
          <w:color w:val="1B4F8A"/>
          <w:sz w:val="16"/>
          <w:szCs w:val="16"/>
          <w:shd w:fill="EEF3FA" w:val="clear"/>
        </w:rPr>
        <w:t xml:space="preserve"> RULE 3 </w:t>
      </w:r>
      <w:r>
        <w:rPr>
          <w:sz w:val="16"/>
          <w:szCs w:val="16"/>
        </w:rPr>
        <w:t xml:space="preserve">   </w:t>
      </w:r>
      <w:r>
        <w:rPr>
          <w:rFonts w:ascii="Playfair Display" w:cs="Playfair Display" w:eastAsia="Playfair Display" w:hAnsi="Playfair Display"/>
          <w:b/>
          <w:bCs/>
          <w:color w:val="0D2D4F"/>
          <w:sz w:val="23"/>
          <w:szCs w:val="23"/>
        </w:rPr>
        <w:t xml:space="preserve">Extract the Load-Bearing Claim</w:t>
      </w:r>
    </w:p>
    <w:p>
      <w:pPr>
        <w:spacing w:after="6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Before finalizing any section of prose, the generator identifies that section’s actual claim — a number, a finding, a governing statement — and renders it separately, in the standing pull-quote/callout treatment, rather than leaving it buried inside a paragraph.</w:t>
      </w: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8"/>
          <w:szCs w:val="18"/>
        </w:rPr>
        <w:t xml:space="preserve">Any section built around a specific finding or number.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Reference case: the 18–20 point convergence gap belongs in a callout, the way the HAL 9000 line already does — today it still sits in a sentence.</w:t>
      </w:r>
    </w:p>
    <w:p>
      <w:pPr>
        <w:spacing w:after="60" w:before="260"/>
      </w:pPr>
      <w:r>
        <w:rPr>
          <w:rFonts w:ascii="DM Mono" w:cs="DM Mono" w:eastAsia="DM Mono" w:hAnsi="DM Mono"/>
          <w:b/>
          <w:bCs/>
          <w:color w:val="1B4F8A"/>
          <w:sz w:val="16"/>
          <w:szCs w:val="16"/>
          <w:shd w:fill="EEF3FA" w:val="clear"/>
        </w:rPr>
        <w:t xml:space="preserve"> RULE 4 </w:t>
      </w:r>
      <w:r>
        <w:rPr>
          <w:sz w:val="16"/>
          <w:szCs w:val="16"/>
        </w:rPr>
        <w:t xml:space="preserve">   </w:t>
      </w:r>
      <w:r>
        <w:rPr>
          <w:rFonts w:ascii="Playfair Display" w:cs="Playfair Display" w:eastAsia="Playfair Display" w:hAnsi="Playfair Display"/>
          <w:b/>
          <w:bCs/>
          <w:color w:val="0D2D4F"/>
          <w:sz w:val="23"/>
          <w:szCs w:val="23"/>
        </w:rPr>
        <w:t xml:space="preserve">Callout Budget</w:t>
      </w:r>
    </w:p>
    <w:p>
      <w:pPr>
        <w:spacing w:after="6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No single page or document carries more than three callout or pull-quote boxes. If a draft produces more candidates than that, the generator ranks them by how load-bearing the underlying claim actually is and demotes the rest back to plain prose — it does not keep all of them.</w:t>
      </w: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8"/>
          <w:szCs w:val="18"/>
        </w:rPr>
        <w:t xml:space="preserve">Every generated page or document, without exception.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A self-check worth running on our own recent work: an early draft of Talking Through Your Questions had four boxed callouts on one page before this rule existed.</w:t>
      </w:r>
    </w:p>
    <w:p>
      <w:pPr>
        <w:spacing w:after="60" w:before="260"/>
      </w:pPr>
      <w:r>
        <w:rPr>
          <w:rFonts w:ascii="DM Mono" w:cs="DM Mono" w:eastAsia="DM Mono" w:hAnsi="DM Mono"/>
          <w:b/>
          <w:bCs/>
          <w:color w:val="1B4F8A"/>
          <w:sz w:val="16"/>
          <w:szCs w:val="16"/>
          <w:shd w:fill="EEF3FA" w:val="clear"/>
        </w:rPr>
        <w:t xml:space="preserve"> RULE 5 </w:t>
      </w:r>
      <w:r>
        <w:rPr>
          <w:sz w:val="16"/>
          <w:szCs w:val="16"/>
        </w:rPr>
        <w:t xml:space="preserve">   </w:t>
      </w:r>
      <w:r>
        <w:rPr>
          <w:rFonts w:ascii="Playfair Display" w:cs="Playfair Display" w:eastAsia="Playfair Display" w:hAnsi="Playfair Display"/>
          <w:b/>
          <w:bCs/>
          <w:color w:val="0D2D4F"/>
          <w:sz w:val="23"/>
          <w:szCs w:val="23"/>
        </w:rPr>
        <w:t xml:space="preserve">Standing Type Scale as Default</w:t>
      </w:r>
    </w:p>
    <w:p>
      <w:pPr>
        <w:spacing w:after="6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New content starts from the current, already-downsized type scale as its baseline — masthead H1 22–28px, H2 16–20px, body 13–14.5px, table header 11px, table body 12px, caption 12px — never a full-size print or Word default that then needs its own downsizing pass later.</w:t>
      </w: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8"/>
          <w:szCs w:val="18"/>
        </w:rPr>
        <w:t xml:space="preserve">Any new document type: the Readiness Table, Trust-dimension work, remaining domain RACI docs, People-side extension pages.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The August 5 downsizing pass across all 13 maturity docs and 7 RACI docs was this rule, applied reactively after the fact — the point is to stop needing that pass at all.</w:t>
      </w:r>
    </w:p>
    <w:p>
      <w:pPr>
        <w:spacing w:after="60" w:before="260"/>
      </w:pPr>
      <w:r>
        <w:rPr>
          <w:rFonts w:ascii="DM Mono" w:cs="DM Mono" w:eastAsia="DM Mono" w:hAnsi="DM Mono"/>
          <w:b/>
          <w:bCs/>
          <w:color w:val="1B4F8A"/>
          <w:sz w:val="16"/>
          <w:szCs w:val="16"/>
          <w:shd w:fill="EEF3FA" w:val="clear"/>
        </w:rPr>
        <w:t xml:space="preserve"> RULE 6 </w:t>
      </w:r>
      <w:r>
        <w:rPr>
          <w:sz w:val="16"/>
          <w:szCs w:val="16"/>
        </w:rPr>
        <w:t xml:space="preserve">   </w:t>
      </w:r>
      <w:r>
        <w:rPr>
          <w:rFonts w:ascii="Playfair Display" w:cs="Playfair Display" w:eastAsia="Playfair Display" w:hAnsi="Playfair Display"/>
          <w:b/>
          <w:bCs/>
          <w:color w:val="0D2D4F"/>
          <w:sz w:val="23"/>
          <w:szCs w:val="23"/>
        </w:rPr>
        <w:t xml:space="preserve">Protect the Signature Line</w:t>
      </w:r>
    </w:p>
    <w:p>
      <w:pPr>
        <w:spacing w:after="6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Wherever the framework masthead appears, "Where human judgment belongs" is set on its own line, visually distinct in weight or color from the framework name beside it — never merged into the same sentence or run together with other boilerplate text.</w:t>
      </w: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8"/>
          <w:szCs w:val="18"/>
        </w:rPr>
        <w:t xml:space="preserve">Every masthead: the live dashboard, the docs site, every WIP page.</w:t>
      </w:r>
    </w:p>
    <w:p>
      <w:pPr>
        <w:spacing w:after="140"/>
      </w:pPr>
    </w:p>
    <w:p>
      <w:pPr>
        <w:spacing w:after="60" w:before="260"/>
      </w:pPr>
      <w:r>
        <w:rPr>
          <w:rFonts w:ascii="DM Mono" w:cs="DM Mono" w:eastAsia="DM Mono" w:hAnsi="DM Mono"/>
          <w:b/>
          <w:bCs/>
          <w:color w:val="1B4F8A"/>
          <w:sz w:val="16"/>
          <w:szCs w:val="16"/>
          <w:shd w:fill="EEF3FA" w:val="clear"/>
        </w:rPr>
        <w:t xml:space="preserve"> RULE 7 </w:t>
      </w:r>
      <w:r>
        <w:rPr>
          <w:sz w:val="16"/>
          <w:szCs w:val="16"/>
        </w:rPr>
        <w:t xml:space="preserve">   </w:t>
      </w:r>
      <w:r>
        <w:rPr>
          <w:rFonts w:ascii="Playfair Display" w:cs="Playfair Display" w:eastAsia="Playfair Display" w:hAnsi="Playfair Display"/>
          <w:b/>
          <w:bCs/>
          <w:color w:val="0D2D4F"/>
          <w:sz w:val="23"/>
          <w:szCs w:val="23"/>
        </w:rPr>
        <w:t xml:space="preserve">The Executive Layer Never Replaces the Technical Layer</w:t>
      </w:r>
    </w:p>
    <w:p>
      <w:pPr>
        <w:spacing w:after="6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Any simplified, executive-facing version of technical content — a briefing, a summary card, a pull-statement layer — links back to its full technical source. A generator may summarize; it may never publish a summary as a substitute with no path back to the underlying rigor.</w:t>
      </w: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8"/>
          <w:szCs w:val="18"/>
        </w:rPr>
        <w:t xml:space="preserve">The CHRO-facing briefing series, and any future executive-summary layer built on top of existing technical pages.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This is the concrete, already-designed answer to GiGi’s own Question 12 — not yet shown to her.</w:t>
      </w:r>
    </w:p>
    <w:p>
      <w:pPr>
        <w:pBdr>
          <w:bottom w:val="single" w:color="DDE3EE" w:sz="4" w:space="1"/>
        </w:pBdr>
        <w:spacing w:after="100" w:before="100"/>
      </w:pPr>
    </w:p>
    <w:p>
      <w:pPr>
        <w:spacing w:after="19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If these seven are approved, the same treatment — specific, checkable rules rather than general advice — would follow for Navigation &amp; Structure and Language &amp; Precision next, completing the set drawn from GiGi’s full site-recommendations summary.</w:t>
      </w:r>
    </w:p>
    <w:sectPr>
      <w:footerReference w:type="default" r:id="rId7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3EE" w:sz="4" w:space="6"/>
      </w:pBdr>
      <w:jc w:val="center"/>
    </w:pPr>
    <w:r>
      <w:rPr>
        <w:rFonts w:ascii="DM Sans" w:cs="DM Sans" w:eastAsia="DM Sans" w:hAnsi="DM Sans"/>
        <w:b w:val="false"/>
        <w:bCs w:val="false"/>
        <w:i w:val="false"/>
        <w:iCs w:val="false"/>
        <w:color w:val="888888"/>
        <w:sz w:val="17"/>
        <w:szCs w:val="17"/>
      </w:rPr>
      <w:t xml:space="preserve">For joint review — Tim King and GiGi Garcia  ·  © Timothy P. King 2026 · developed with the assistance of Claude (Anthropic)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44444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2026-09-05T17:28:04.885Z</dcterms:created>
  <dcterms:modified xsi:type="dcterms:W3CDTF">2026-09-05T17:28:04.896Z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