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sz w:val="60"/>
        </w:rPr>
        <w:t>SCALE-SETI</w:t>
      </w:r>
    </w:p>
    <w:p>
      <w:pPr>
        <w:jc w:val="center"/>
      </w:pPr>
      <w:r>
        <w:rPr>
          <w:rFonts w:ascii="Aptos Display" w:hAnsi="Aptos Display"/>
          <w:b/>
          <w:sz w:val="40"/>
        </w:rPr>
        <w:t>Phase-1 Design Package</w:t>
      </w:r>
    </w:p>
    <w:p>
      <w:pPr>
        <w:jc w:val="center"/>
      </w:pPr>
      <w:r>
        <w:rPr>
          <w:sz w:val="28"/>
        </w:rPr>
        <w:t>Version 0.3 - Stage-1A Engineering Freeze</w:t>
      </w:r>
    </w:p>
    <w:p/>
    <w:p>
      <w:pPr>
        <w:jc w:val="center"/>
      </w:pPr>
      <w:r>
        <w:rPr>
          <w:i/>
        </w:rPr>
        <w:t>Companion to Formal Technical Review - Revision 5</w:t>
      </w:r>
    </w:p>
    <w:p>
      <w:pPr>
        <w:spacing w:before="400"/>
        <w:jc w:val="center"/>
      </w:pPr>
      <w:r>
        <w:rPr>
          <w:sz w:val="22"/>
        </w:rPr>
        <w:t>Tim Boccaleri</w:t>
        <w:br/>
        <w:t>September 2026</w:t>
      </w:r>
    </w:p>
    <w:p>
      <w:pPr>
        <w:spacing w:before="700"/>
        <w:jc w:val="center"/>
      </w:pPr>
      <w:r>
        <w:rPr>
          <w:b/>
          <w:sz w:val="22"/>
        </w:rPr>
        <w:t>ENGINEERING DEVELOPMENT DOCUMENT</w:t>
      </w:r>
    </w:p>
    <w:p>
      <w:pPr>
        <w:jc w:val="center"/>
      </w:pPr>
      <w:r>
        <w:rPr>
          <w:i/>
          <w:sz w:val="19"/>
        </w:rPr>
        <w:t>Phase 1 validates a conventional microscopic communication bench, leakage controls, blinding, data integrity, and reproducibility. It is not evidence of cross-scale communication.</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D9EAF7"/>
          </w:tcPr>
          <w:p>
            <w:r/>
            <w:r>
              <w:rPr>
                <w:rFonts w:ascii="Aptos" w:hAnsi="Aptos"/>
                <w:b/>
                <w:sz w:val="18"/>
              </w:rPr>
              <w:t>Item</w:t>
            </w:r>
          </w:p>
        </w:tc>
        <w:tc>
          <w:tcPr>
            <w:tcW w:type="dxa" w:w="8064"/>
            <w:vAlign w:val="center"/>
            <w:shd w:fill="D9EAF7"/>
          </w:tcPr>
          <w:p>
            <w:r/>
            <w:r>
              <w:rPr>
                <w:rFonts w:ascii="Aptos" w:hAnsi="Aptos"/>
                <w:b/>
                <w:sz w:val="18"/>
              </w:rPr>
              <w:t>Value</w:t>
            </w:r>
          </w:p>
        </w:tc>
      </w:tr>
      <w:tr>
        <w:trPr>
          <w:cantSplit/>
        </w:trPr>
        <w:tc>
          <w:tcPr>
            <w:tcW w:type="dxa" w:w="2304"/>
            <w:vAlign w:val="center"/>
          </w:tcPr>
          <w:p>
            <w:r/>
            <w:r>
              <w:rPr>
                <w:rFonts w:ascii="Aptos" w:hAnsi="Aptos"/>
                <w:b w:val="0"/>
                <w:sz w:val="18"/>
              </w:rPr>
              <w:t>Document</w:t>
            </w:r>
          </w:p>
        </w:tc>
        <w:tc>
          <w:tcPr>
            <w:tcW w:type="dxa" w:w="8064"/>
            <w:vAlign w:val="center"/>
          </w:tcPr>
          <w:p>
            <w:r/>
            <w:r>
              <w:rPr>
                <w:rFonts w:ascii="Aptos" w:hAnsi="Aptos"/>
                <w:b w:val="0"/>
                <w:sz w:val="18"/>
              </w:rPr>
              <w:t>Scale-SETI Phase-1 Design Package</w:t>
            </w:r>
          </w:p>
        </w:tc>
      </w:tr>
      <w:tr>
        <w:trPr>
          <w:cantSplit/>
        </w:trPr>
        <w:tc>
          <w:tcPr>
            <w:tcW w:type="dxa" w:w="2304"/>
            <w:vAlign w:val="center"/>
          </w:tcPr>
          <w:p>
            <w:r/>
            <w:r>
              <w:rPr>
                <w:rFonts w:ascii="Aptos" w:hAnsi="Aptos"/>
                <w:b w:val="0"/>
                <w:sz w:val="18"/>
              </w:rPr>
              <w:t>Version</w:t>
            </w:r>
          </w:p>
        </w:tc>
        <w:tc>
          <w:tcPr>
            <w:tcW w:type="dxa" w:w="8064"/>
            <w:vAlign w:val="center"/>
          </w:tcPr>
          <w:p>
            <w:r>
              <w:t>v0.3</w:t>
            </w:r>
          </w:p>
        </w:tc>
      </w:tr>
      <w:tr>
        <w:trPr>
          <w:cantSplit/>
        </w:trPr>
        <w:tc>
          <w:tcPr>
            <w:tcW w:type="dxa" w:w="2304"/>
            <w:vAlign w:val="center"/>
          </w:tcPr>
          <w:p>
            <w:r/>
            <w:r>
              <w:rPr>
                <w:rFonts w:ascii="Aptos" w:hAnsi="Aptos"/>
                <w:b w:val="0"/>
                <w:sz w:val="18"/>
              </w:rPr>
              <w:t>Status</w:t>
            </w:r>
          </w:p>
        </w:tc>
        <w:tc>
          <w:tcPr>
            <w:tcW w:type="dxa" w:w="8064"/>
            <w:vAlign w:val="center"/>
          </w:tcPr>
          <w:p>
            <w:r/>
            <w:r>
              <w:rPr>
                <w:rFonts w:ascii="Aptos" w:hAnsi="Aptos"/>
                <w:b w:val="0"/>
                <w:sz w:val="18"/>
              </w:rPr>
              <w:t>Engineering draft for technical review</w:t>
            </w:r>
          </w:p>
        </w:tc>
      </w:tr>
      <w:tr>
        <w:trPr>
          <w:cantSplit/>
        </w:trPr>
        <w:tc>
          <w:tcPr>
            <w:tcW w:type="dxa" w:w="2304"/>
            <w:vAlign w:val="center"/>
          </w:tcPr>
          <w:p>
            <w:r/>
            <w:r>
              <w:rPr>
                <w:rFonts w:ascii="Aptos" w:hAnsi="Aptos"/>
                <w:b w:val="0"/>
                <w:sz w:val="18"/>
              </w:rPr>
              <w:t>Parent document</w:t>
            </w:r>
          </w:p>
        </w:tc>
        <w:tc>
          <w:tcPr>
            <w:tcW w:type="dxa" w:w="8064"/>
            <w:vAlign w:val="center"/>
          </w:tcPr>
          <w:p>
            <w:r/>
            <w:r>
              <w:rPr>
                <w:rFonts w:ascii="Aptos" w:hAnsi="Aptos"/>
                <w:b w:val="0"/>
                <w:sz w:val="18"/>
              </w:rPr>
              <w:t>Scale-SETI Formal Technical Review - Revision 5</w:t>
            </w:r>
          </w:p>
        </w:tc>
      </w:tr>
      <w:tr>
        <w:trPr>
          <w:cantSplit/>
        </w:trPr>
        <w:tc>
          <w:tcPr>
            <w:tcW w:type="dxa" w:w="2304"/>
            <w:vAlign w:val="center"/>
          </w:tcPr>
          <w:p>
            <w:r/>
            <w:r>
              <w:rPr>
                <w:rFonts w:ascii="Aptos" w:hAnsi="Aptos"/>
                <w:b w:val="0"/>
                <w:sz w:val="18"/>
              </w:rPr>
              <w:t>Purpose</w:t>
            </w:r>
          </w:p>
        </w:tc>
        <w:tc>
          <w:tcPr>
            <w:tcW w:type="dxa" w:w="8064"/>
            <w:vAlign w:val="center"/>
          </w:tcPr>
          <w:p>
            <w:r/>
            <w:r>
              <w:rPr>
                <w:rFonts w:ascii="Aptos" w:hAnsi="Aptos"/>
                <w:b w:val="0"/>
                <w:sz w:val="18"/>
              </w:rPr>
              <w:t>Convert the Phase-1 concept into a reproducible laboratory implementation package</w:t>
            </w:r>
          </w:p>
        </w:tc>
      </w:tr>
      <w:tr>
        <w:trPr>
          <w:cantSplit/>
        </w:trPr>
        <w:tc>
          <w:tcPr>
            <w:tcW w:type="dxa" w:w="2304"/>
            <w:vAlign w:val="center"/>
          </w:tcPr>
          <w:p>
            <w:r>
              <w:t>Change from v0.2</w:t>
            </w:r>
          </w:p>
        </w:tc>
        <w:tc>
          <w:tcPr>
            <w:tcW w:type="dxa" w:w="8064"/>
            <w:vAlign w:val="center"/>
          </w:tcPr>
          <w:p>
            <w:r>
              <w:t>Freezes the Stage-1A reference implementation; adds component-level fluidic/electrical specifications, dimensioned bench layout, normative JSON schemas, and a deterministic 100-trial synthetic dry-run package.</w:t>
            </w:r>
          </w:p>
        </w:tc>
      </w:tr>
    </w:tbl>
    <w:p>
      <w:pPr>
        <w:spacing w:after="40"/>
      </w:pPr>
    </w:p>
    <w:p>
      <w:pPr>
        <w:pStyle w:val="Heading1"/>
        <w:keepNext/>
      </w:pPr>
      <w:r>
        <w:t>1. Scope and Phase-1 Boundary</w:t>
      </w:r>
    </w:p>
    <w:p>
      <w:pPr>
        <w:spacing w:after="100" w:line="247" w:lineRule="auto"/>
      </w:pPr>
      <w:r>
        <w:rPr>
          <w:rFonts w:ascii="Aptos" w:hAnsi="Aptos"/>
          <w:b w:val="0"/>
          <w:i w:val="0"/>
          <w:sz w:val="19"/>
        </w:rPr>
        <w:t>Phase 1 does not attempt to demonstrate cross-scale communication. It validates the experimental machinery required before such a search could be interpreted responsibly. The laboratory must first prove that it can generate unpredictable challenges, send them through a known microscopic communication path, capture receiver data without challenge leakage, quantify ordinary coupling paths, score trials only after the observation window closes, preserve immutable artifacts, and reproduce the procedure independently.</w:t>
      </w:r>
    </w:p>
    <w:p>
      <w:pPr>
        <w:spacing w:after="100" w:line="247" w:lineRule="auto"/>
      </w:pPr>
      <w:r>
        <w:rPr>
          <w:rFonts w:ascii="Aptos" w:hAnsi="Aptos"/>
          <w:b w:val="0"/>
          <w:i w:val="0"/>
          <w:sz w:val="19"/>
        </w:rPr>
        <w:t>The Phase-1 reference implementation uses an ion or molecular communication path because that class of system is experimentally grounded and can be physically blocked, sham-driven, delayed, replayed, and instrumented. The same protocol can later be ported to more fundamental interfaces only after the reference bench satisfies all acceptance gates.</w:t>
      </w:r>
    </w:p>
    <w:p>
      <w:pPr>
        <w:pStyle w:val="Heading1"/>
        <w:keepNext/>
      </w:pPr>
      <w:r>
        <w:t>2. Requirements and Traceability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vAlign w:val="center"/>
            <w:shd w:fill="D9EAF7"/>
          </w:tcPr>
          <w:p>
            <w:r/>
            <w:r>
              <w:rPr>
                <w:rFonts w:ascii="Aptos" w:hAnsi="Aptos"/>
                <w:b/>
                <w:sz w:val="15"/>
              </w:rPr>
              <w:t>ID</w:t>
            </w:r>
          </w:p>
        </w:tc>
        <w:tc>
          <w:tcPr>
            <w:tcW w:type="dxa" w:w="3600"/>
            <w:vAlign w:val="center"/>
            <w:shd w:fill="D9EAF7"/>
          </w:tcPr>
          <w:p>
            <w:r/>
            <w:r>
              <w:rPr>
                <w:rFonts w:ascii="Aptos" w:hAnsi="Aptos"/>
                <w:b/>
                <w:sz w:val="15"/>
              </w:rPr>
              <w:t>Requirement</w:t>
            </w:r>
          </w:p>
        </w:tc>
        <w:tc>
          <w:tcPr>
            <w:tcW w:type="dxa" w:w="4320"/>
            <w:vAlign w:val="center"/>
            <w:shd w:fill="D9EAF7"/>
          </w:tcPr>
          <w:p>
            <w:r/>
            <w:r>
              <w:rPr>
                <w:rFonts w:ascii="Aptos" w:hAnsi="Aptos"/>
                <w:b/>
                <w:sz w:val="15"/>
              </w:rPr>
              <w:t>Verification</w:t>
            </w:r>
          </w:p>
        </w:tc>
        <w:tc>
          <w:tcPr>
            <w:tcW w:type="dxa" w:w="1008"/>
            <w:vAlign w:val="center"/>
            <w:shd w:fill="D9EAF7"/>
          </w:tcPr>
          <w:p>
            <w:r/>
            <w:r>
              <w:rPr>
                <w:rFonts w:ascii="Aptos" w:hAnsi="Aptos"/>
                <w:b/>
                <w:sz w:val="15"/>
              </w:rPr>
              <w:t>Gate</w:t>
            </w:r>
          </w:p>
        </w:tc>
      </w:tr>
      <w:tr>
        <w:trPr>
          <w:cantSplit/>
        </w:trPr>
        <w:tc>
          <w:tcPr>
            <w:tcW w:type="dxa" w:w="1008"/>
            <w:vAlign w:val="center"/>
          </w:tcPr>
          <w:p>
            <w:r/>
            <w:r>
              <w:rPr>
                <w:rFonts w:ascii="Aptos" w:hAnsi="Aptos"/>
                <w:b w:val="0"/>
                <w:sz w:val="15"/>
              </w:rPr>
              <w:t>PH1-R01</w:t>
            </w:r>
          </w:p>
        </w:tc>
        <w:tc>
          <w:tcPr>
            <w:tcW w:type="dxa" w:w="3600"/>
            <w:vAlign w:val="center"/>
          </w:tcPr>
          <w:p>
            <w:r/>
            <w:r>
              <w:rPr>
                <w:rFonts w:ascii="Aptos" w:hAnsi="Aptos"/>
                <w:b w:val="0"/>
                <w:sz w:val="15"/>
              </w:rPr>
              <w:t>Generate a fresh challenge only after ARM</w:t>
            </w:r>
          </w:p>
        </w:tc>
        <w:tc>
          <w:tcPr>
            <w:tcW w:type="dxa" w:w="4320"/>
            <w:vAlign w:val="center"/>
          </w:tcPr>
          <w:p>
            <w:r/>
            <w:r>
              <w:rPr>
                <w:rFonts w:ascii="Aptos" w:hAnsi="Aptos"/>
                <w:b w:val="0"/>
                <w:sz w:val="15"/>
              </w:rPr>
              <w:t>RNG audit, timestamp audit, challenge commitment</w:t>
            </w:r>
          </w:p>
        </w:tc>
        <w:tc>
          <w:tcPr>
            <w:tcW w:type="dxa" w:w="1008"/>
            <w:vAlign w:val="center"/>
          </w:tcPr>
          <w:p>
            <w:r/>
            <w:r>
              <w:rPr>
                <w:rFonts w:ascii="Aptos" w:hAnsi="Aptos"/>
                <w:b w:val="0"/>
                <w:sz w:val="15"/>
              </w:rPr>
              <w:t>A4/A5</w:t>
            </w:r>
          </w:p>
        </w:tc>
      </w:tr>
      <w:tr>
        <w:trPr>
          <w:cantSplit/>
        </w:trPr>
        <w:tc>
          <w:tcPr>
            <w:tcW w:type="dxa" w:w="1008"/>
            <w:vAlign w:val="center"/>
          </w:tcPr>
          <w:p>
            <w:r/>
            <w:r>
              <w:rPr>
                <w:rFonts w:ascii="Aptos" w:hAnsi="Aptos"/>
                <w:b w:val="0"/>
                <w:sz w:val="15"/>
              </w:rPr>
              <w:t>PH1-R02</w:t>
            </w:r>
          </w:p>
        </w:tc>
        <w:tc>
          <w:tcPr>
            <w:tcW w:type="dxa" w:w="3600"/>
            <w:vAlign w:val="center"/>
          </w:tcPr>
          <w:p>
            <w:r/>
            <w:r>
              <w:rPr>
                <w:rFonts w:ascii="Aptos" w:hAnsi="Aptos"/>
                <w:b w:val="0"/>
                <w:sz w:val="15"/>
              </w:rPr>
              <w:t>Receiver analysis cannot access challenge plaintext before CLOSE</w:t>
            </w:r>
          </w:p>
        </w:tc>
        <w:tc>
          <w:tcPr>
            <w:tcW w:type="dxa" w:w="4320"/>
            <w:vAlign w:val="center"/>
          </w:tcPr>
          <w:p>
            <w:r/>
            <w:r>
              <w:rPr>
                <w:rFonts w:ascii="Aptos" w:hAnsi="Aptos"/>
                <w:b w:val="0"/>
                <w:sz w:val="15"/>
              </w:rPr>
              <w:t>Access-control test, packet capture, code review</w:t>
            </w:r>
          </w:p>
        </w:tc>
        <w:tc>
          <w:tcPr>
            <w:tcW w:type="dxa" w:w="1008"/>
            <w:vAlign w:val="center"/>
          </w:tcPr>
          <w:p>
            <w:r/>
            <w:r>
              <w:rPr>
                <w:rFonts w:ascii="Aptos" w:hAnsi="Aptos"/>
                <w:b w:val="0"/>
                <w:sz w:val="15"/>
              </w:rPr>
              <w:t>A4</w:t>
            </w:r>
          </w:p>
        </w:tc>
      </w:tr>
      <w:tr>
        <w:trPr>
          <w:cantSplit/>
        </w:trPr>
        <w:tc>
          <w:tcPr>
            <w:tcW w:type="dxa" w:w="1008"/>
            <w:vAlign w:val="center"/>
          </w:tcPr>
          <w:p>
            <w:r/>
            <w:r>
              <w:rPr>
                <w:rFonts w:ascii="Aptos" w:hAnsi="Aptos"/>
                <w:b w:val="0"/>
                <w:sz w:val="15"/>
              </w:rPr>
              <w:t>PH1-R03</w:t>
            </w:r>
          </w:p>
        </w:tc>
        <w:tc>
          <w:tcPr>
            <w:tcW w:type="dxa" w:w="3600"/>
            <w:vAlign w:val="center"/>
          </w:tcPr>
          <w:p>
            <w:r/>
            <w:r>
              <w:rPr>
                <w:rFonts w:ascii="Aptos" w:hAnsi="Aptos"/>
                <w:b w:val="0"/>
                <w:sz w:val="15"/>
              </w:rPr>
              <w:t>Known-link positive controls meet calibrated BER target</w:t>
            </w:r>
          </w:p>
        </w:tc>
        <w:tc>
          <w:tcPr>
            <w:tcW w:type="dxa" w:w="4320"/>
            <w:vAlign w:val="center"/>
          </w:tcPr>
          <w:p>
            <w:r/>
            <w:r>
              <w:rPr>
                <w:rFonts w:ascii="Aptos" w:hAnsi="Aptos"/>
                <w:b w:val="0"/>
                <w:sz w:val="15"/>
              </w:rPr>
              <w:t>At least 1,000,000 transmitted bits or justified equivalent</w:t>
            </w:r>
          </w:p>
        </w:tc>
        <w:tc>
          <w:tcPr>
            <w:tcW w:type="dxa" w:w="1008"/>
            <w:vAlign w:val="center"/>
          </w:tcPr>
          <w:p>
            <w:r/>
            <w:r>
              <w:rPr>
                <w:rFonts w:ascii="Aptos" w:hAnsi="Aptos"/>
                <w:b w:val="0"/>
                <w:sz w:val="15"/>
              </w:rPr>
              <w:t>A2</w:t>
            </w:r>
          </w:p>
        </w:tc>
      </w:tr>
      <w:tr>
        <w:trPr>
          <w:cantSplit/>
        </w:trPr>
        <w:tc>
          <w:tcPr>
            <w:tcW w:type="dxa" w:w="1008"/>
            <w:vAlign w:val="center"/>
          </w:tcPr>
          <w:p>
            <w:r/>
            <w:r>
              <w:rPr>
                <w:rFonts w:ascii="Aptos" w:hAnsi="Aptos"/>
                <w:b w:val="0"/>
                <w:sz w:val="15"/>
              </w:rPr>
              <w:t>PH1-R04</w:t>
            </w:r>
          </w:p>
        </w:tc>
        <w:tc>
          <w:tcPr>
            <w:tcW w:type="dxa" w:w="3600"/>
            <w:vAlign w:val="center"/>
          </w:tcPr>
          <w:p>
            <w:r/>
            <w:r>
              <w:rPr>
                <w:rFonts w:ascii="Aptos" w:hAnsi="Aptos"/>
                <w:b w:val="0"/>
                <w:sz w:val="15"/>
              </w:rPr>
              <w:t>Blocked-path and sham trials establish empirical false-positive floor</w:t>
            </w:r>
          </w:p>
        </w:tc>
        <w:tc>
          <w:tcPr>
            <w:tcW w:type="dxa" w:w="4320"/>
            <w:vAlign w:val="center"/>
          </w:tcPr>
          <w:p>
            <w:r/>
            <w:r>
              <w:rPr>
                <w:rFonts w:ascii="Aptos" w:hAnsi="Aptos"/>
                <w:b w:val="0"/>
                <w:sz w:val="15"/>
              </w:rPr>
              <w:t>At least 1,000 blinded controls before escalation</w:t>
            </w:r>
          </w:p>
        </w:tc>
        <w:tc>
          <w:tcPr>
            <w:tcW w:type="dxa" w:w="1008"/>
            <w:vAlign w:val="center"/>
          </w:tcPr>
          <w:p>
            <w:r/>
            <w:r>
              <w:rPr>
                <w:rFonts w:ascii="Aptos" w:hAnsi="Aptos"/>
                <w:b w:val="0"/>
                <w:sz w:val="15"/>
              </w:rPr>
              <w:t>A4</w:t>
            </w:r>
          </w:p>
        </w:tc>
      </w:tr>
      <w:tr>
        <w:trPr>
          <w:cantSplit/>
        </w:trPr>
        <w:tc>
          <w:tcPr>
            <w:tcW w:type="dxa" w:w="1008"/>
            <w:vAlign w:val="center"/>
          </w:tcPr>
          <w:p>
            <w:r/>
            <w:r>
              <w:rPr>
                <w:rFonts w:ascii="Aptos" w:hAnsi="Aptos"/>
                <w:b w:val="0"/>
                <w:sz w:val="15"/>
              </w:rPr>
              <w:t>PH1-R05</w:t>
            </w:r>
          </w:p>
        </w:tc>
        <w:tc>
          <w:tcPr>
            <w:tcW w:type="dxa" w:w="3600"/>
            <w:vAlign w:val="center"/>
          </w:tcPr>
          <w:p>
            <w:r/>
            <w:r>
              <w:rPr>
                <w:rFonts w:ascii="Aptos" w:hAnsi="Aptos"/>
                <w:b w:val="0"/>
                <w:sz w:val="15"/>
              </w:rPr>
              <w:t>Environmental channels are captured with receiver data</w:t>
            </w:r>
          </w:p>
        </w:tc>
        <w:tc>
          <w:tcPr>
            <w:tcW w:type="dxa" w:w="4320"/>
            <w:vAlign w:val="center"/>
          </w:tcPr>
          <w:p>
            <w:r/>
            <w:r>
              <w:rPr>
                <w:rFonts w:ascii="Aptos" w:hAnsi="Aptos"/>
                <w:b w:val="0"/>
                <w:sz w:val="15"/>
              </w:rPr>
              <w:t>Telemetry completeness and synchronization audit</w:t>
            </w:r>
          </w:p>
        </w:tc>
        <w:tc>
          <w:tcPr>
            <w:tcW w:type="dxa" w:w="1008"/>
            <w:vAlign w:val="center"/>
          </w:tcPr>
          <w:p>
            <w:r/>
            <w:r>
              <w:rPr>
                <w:rFonts w:ascii="Aptos" w:hAnsi="Aptos"/>
                <w:b w:val="0"/>
                <w:sz w:val="15"/>
              </w:rPr>
              <w:t>A3/A5</w:t>
            </w:r>
          </w:p>
        </w:tc>
      </w:tr>
      <w:tr>
        <w:trPr>
          <w:cantSplit/>
        </w:trPr>
        <w:tc>
          <w:tcPr>
            <w:tcW w:type="dxa" w:w="1008"/>
            <w:vAlign w:val="center"/>
          </w:tcPr>
          <w:p>
            <w:r/>
            <w:r>
              <w:rPr>
                <w:rFonts w:ascii="Aptos" w:hAnsi="Aptos"/>
                <w:b w:val="0"/>
                <w:sz w:val="15"/>
              </w:rPr>
              <w:t>PH1-R06</w:t>
            </w:r>
          </w:p>
        </w:tc>
        <w:tc>
          <w:tcPr>
            <w:tcW w:type="dxa" w:w="3600"/>
            <w:vAlign w:val="center"/>
          </w:tcPr>
          <w:p>
            <w:r/>
            <w:r>
              <w:rPr>
                <w:rFonts w:ascii="Aptos" w:hAnsi="Aptos"/>
                <w:b w:val="0"/>
                <w:sz w:val="15"/>
              </w:rPr>
              <w:t>Trial artifacts are immutable after capture close</w:t>
            </w:r>
          </w:p>
        </w:tc>
        <w:tc>
          <w:tcPr>
            <w:tcW w:type="dxa" w:w="4320"/>
            <w:vAlign w:val="center"/>
          </w:tcPr>
          <w:p>
            <w:r/>
            <w:r>
              <w:rPr>
                <w:rFonts w:ascii="Aptos" w:hAnsi="Aptos"/>
                <w:b w:val="0"/>
                <w:sz w:val="15"/>
              </w:rPr>
              <w:t>SHA-256 manifest, append-only archive, audit log</w:t>
            </w:r>
          </w:p>
        </w:tc>
        <w:tc>
          <w:tcPr>
            <w:tcW w:type="dxa" w:w="1008"/>
            <w:vAlign w:val="center"/>
          </w:tcPr>
          <w:p>
            <w:r/>
            <w:r>
              <w:rPr>
                <w:rFonts w:ascii="Aptos" w:hAnsi="Aptos"/>
                <w:b w:val="0"/>
                <w:sz w:val="15"/>
              </w:rPr>
              <w:t>A0/A5</w:t>
            </w:r>
          </w:p>
        </w:tc>
      </w:tr>
      <w:tr>
        <w:trPr>
          <w:cantSplit/>
        </w:trPr>
        <w:tc>
          <w:tcPr>
            <w:tcW w:type="dxa" w:w="1008"/>
            <w:vAlign w:val="center"/>
          </w:tcPr>
          <w:p>
            <w:r/>
            <w:r>
              <w:rPr>
                <w:rFonts w:ascii="Aptos" w:hAnsi="Aptos"/>
                <w:b w:val="0"/>
                <w:sz w:val="15"/>
              </w:rPr>
              <w:t>PH1-R07</w:t>
            </w:r>
          </w:p>
        </w:tc>
        <w:tc>
          <w:tcPr>
            <w:tcW w:type="dxa" w:w="3600"/>
            <w:vAlign w:val="center"/>
          </w:tcPr>
          <w:p>
            <w:r/>
            <w:r>
              <w:rPr>
                <w:rFonts w:ascii="Aptos" w:hAnsi="Aptos"/>
                <w:b w:val="0"/>
                <w:sz w:val="15"/>
              </w:rPr>
              <w:t>A second implementation can reproduce the written procedure</w:t>
            </w:r>
          </w:p>
        </w:tc>
        <w:tc>
          <w:tcPr>
            <w:tcW w:type="dxa" w:w="4320"/>
            <w:vAlign w:val="center"/>
          </w:tcPr>
          <w:p>
            <w:r/>
            <w:r>
              <w:rPr>
                <w:rFonts w:ascii="Aptos" w:hAnsi="Aptos"/>
                <w:b w:val="0"/>
                <w:sz w:val="15"/>
              </w:rPr>
              <w:t>External dry-run / replication review</w:t>
            </w:r>
          </w:p>
        </w:tc>
        <w:tc>
          <w:tcPr>
            <w:tcW w:type="dxa" w:w="1008"/>
            <w:vAlign w:val="center"/>
          </w:tcPr>
          <w:p>
            <w:r/>
            <w:r>
              <w:rPr>
                <w:rFonts w:ascii="Aptos" w:hAnsi="Aptos"/>
                <w:b w:val="0"/>
                <w:sz w:val="15"/>
              </w:rPr>
              <w:t>A6</w:t>
            </w:r>
          </w:p>
        </w:tc>
      </w:tr>
      <w:tr>
        <w:trPr>
          <w:cantSplit/>
        </w:trPr>
        <w:tc>
          <w:tcPr>
            <w:tcW w:type="dxa" w:w="1008"/>
            <w:vAlign w:val="center"/>
          </w:tcPr>
          <w:p>
            <w:r/>
            <w:r>
              <w:rPr>
                <w:rFonts w:ascii="Aptos" w:hAnsi="Aptos"/>
                <w:b w:val="0"/>
                <w:sz w:val="15"/>
              </w:rPr>
              <w:t>PH1-R08</w:t>
            </w:r>
          </w:p>
        </w:tc>
        <w:tc>
          <w:tcPr>
            <w:tcW w:type="dxa" w:w="3600"/>
            <w:vAlign w:val="center"/>
          </w:tcPr>
          <w:p>
            <w:r/>
            <w:r>
              <w:rPr>
                <w:rFonts w:ascii="Aptos" w:hAnsi="Aptos"/>
                <w:b w:val="0"/>
                <w:sz w:val="15"/>
              </w:rPr>
              <w:t>Intentional challenge paths are physically enumerable</w:t>
            </w:r>
          </w:p>
        </w:tc>
        <w:tc>
          <w:tcPr>
            <w:tcW w:type="dxa" w:w="4320"/>
            <w:vAlign w:val="center"/>
          </w:tcPr>
          <w:p>
            <w:r/>
            <w:r>
              <w:rPr>
                <w:rFonts w:ascii="Aptos" w:hAnsi="Aptos"/>
                <w:b w:val="0"/>
                <w:sz w:val="15"/>
              </w:rPr>
              <w:t>Wiring, fluidic, software, and network path review</w:t>
            </w:r>
          </w:p>
        </w:tc>
        <w:tc>
          <w:tcPr>
            <w:tcW w:type="dxa" w:w="1008"/>
            <w:vAlign w:val="center"/>
          </w:tcPr>
          <w:p>
            <w:r/>
            <w:r>
              <w:rPr>
                <w:rFonts w:ascii="Aptos" w:hAnsi="Aptos"/>
                <w:b w:val="0"/>
                <w:sz w:val="15"/>
              </w:rPr>
              <w:t>A3</w:t>
            </w:r>
          </w:p>
        </w:tc>
      </w:tr>
      <w:tr>
        <w:trPr>
          <w:cantSplit/>
        </w:trPr>
        <w:tc>
          <w:tcPr>
            <w:tcW w:type="dxa" w:w="1008"/>
            <w:vAlign w:val="center"/>
          </w:tcPr>
          <w:p>
            <w:r/>
            <w:r>
              <w:rPr>
                <w:rFonts w:ascii="Aptos" w:hAnsi="Aptos"/>
                <w:b w:val="0"/>
                <w:sz w:val="15"/>
              </w:rPr>
              <w:t>PH1-R09</w:t>
            </w:r>
          </w:p>
        </w:tc>
        <w:tc>
          <w:tcPr>
            <w:tcW w:type="dxa" w:w="3600"/>
            <w:vAlign w:val="center"/>
          </w:tcPr>
          <w:p>
            <w:r/>
            <w:r>
              <w:rPr>
                <w:rFonts w:ascii="Aptos" w:hAnsi="Aptos"/>
                <w:b w:val="0"/>
                <w:sz w:val="15"/>
              </w:rPr>
              <w:t>Every analog/digital I/O point is uniquely labeled and documented</w:t>
            </w:r>
          </w:p>
        </w:tc>
        <w:tc>
          <w:tcPr>
            <w:tcW w:type="dxa" w:w="4320"/>
            <w:vAlign w:val="center"/>
          </w:tcPr>
          <w:p>
            <w:r/>
            <w:r>
              <w:rPr>
                <w:rFonts w:ascii="Aptos" w:hAnsi="Aptos"/>
                <w:b w:val="0"/>
                <w:sz w:val="15"/>
              </w:rPr>
              <w:t>I/O map and cable schedule inspection</w:t>
            </w:r>
          </w:p>
        </w:tc>
        <w:tc>
          <w:tcPr>
            <w:tcW w:type="dxa" w:w="1008"/>
            <w:vAlign w:val="center"/>
          </w:tcPr>
          <w:p>
            <w:r/>
            <w:r>
              <w:rPr>
                <w:rFonts w:ascii="Aptos" w:hAnsi="Aptos"/>
                <w:b w:val="0"/>
                <w:sz w:val="15"/>
              </w:rPr>
              <w:t>A0</w:t>
            </w:r>
          </w:p>
        </w:tc>
      </w:tr>
      <w:tr>
        <w:trPr>
          <w:cantSplit/>
        </w:trPr>
        <w:tc>
          <w:tcPr>
            <w:tcW w:type="dxa" w:w="1008"/>
            <w:vAlign w:val="center"/>
          </w:tcPr>
          <w:p>
            <w:r/>
            <w:r>
              <w:rPr>
                <w:rFonts w:ascii="Aptos" w:hAnsi="Aptos"/>
                <w:b w:val="0"/>
                <w:sz w:val="15"/>
              </w:rPr>
              <w:t>PH1-R10</w:t>
            </w:r>
          </w:p>
        </w:tc>
        <w:tc>
          <w:tcPr>
            <w:tcW w:type="dxa" w:w="3600"/>
            <w:vAlign w:val="center"/>
          </w:tcPr>
          <w:p>
            <w:r/>
            <w:r>
              <w:rPr>
                <w:rFonts w:ascii="Aptos" w:hAnsi="Aptos"/>
                <w:b w:val="0"/>
                <w:sz w:val="15"/>
              </w:rPr>
              <w:t>Trial mode is blinded from the receiver/analysis path until CLOSE</w:t>
            </w:r>
          </w:p>
        </w:tc>
        <w:tc>
          <w:tcPr>
            <w:tcW w:type="dxa" w:w="4320"/>
            <w:vAlign w:val="center"/>
          </w:tcPr>
          <w:p>
            <w:r/>
            <w:r>
              <w:rPr>
                <w:rFonts w:ascii="Aptos" w:hAnsi="Aptos"/>
                <w:b w:val="0"/>
                <w:sz w:val="15"/>
              </w:rPr>
              <w:t>Randomization audit and sealed condition record</w:t>
            </w:r>
          </w:p>
        </w:tc>
        <w:tc>
          <w:tcPr>
            <w:tcW w:type="dxa" w:w="1008"/>
            <w:vAlign w:val="center"/>
          </w:tcPr>
          <w:p>
            <w:r/>
            <w:r>
              <w:rPr>
                <w:rFonts w:ascii="Aptos" w:hAnsi="Aptos"/>
                <w:b w:val="0"/>
                <w:sz w:val="15"/>
              </w:rPr>
              <w:t>A4</w:t>
            </w:r>
          </w:p>
        </w:tc>
      </w:tr>
    </w:tbl>
    <w:p>
      <w:pPr>
        <w:spacing w:after="40"/>
      </w:pPr>
    </w:p>
    <w:p>
      <w:pPr>
        <w:pStyle w:val="Heading1"/>
        <w:keepNext/>
      </w:pPr>
      <w:r>
        <w:t>3. Reference Architecture</w:t>
      </w:r>
    </w:p>
    <w:p>
      <w:pPr>
        <w:spacing w:after="100" w:line="247" w:lineRule="auto"/>
      </w:pPr>
      <w:r>
        <w:rPr>
          <w:rFonts w:ascii="Aptos" w:hAnsi="Aptos"/>
          <w:b w:val="0"/>
          <w:i w:val="0"/>
          <w:sz w:val="19"/>
        </w:rPr>
        <w:t>The reference architecture separates challenge generation, transmission, microscopic interface, reception, telemetry, capture, and scoring. The physical implementation may vary, but the trust boundaries may not be collapsed during confirmatory trials.</w:t>
      </w:r>
    </w:p>
    <w:p>
      <w:pPr>
        <w:jc w:val="center"/>
      </w:pPr>
      <w:r>
        <w:drawing>
          <wp:inline xmlns:a="http://schemas.openxmlformats.org/drawingml/2006/main" xmlns:pic="http://schemas.openxmlformats.org/drawingml/2006/picture">
            <wp:extent cx="6035040" cy="702457"/>
            <wp:docPr id="1" name="Picture 1"/>
            <wp:cNvGraphicFramePr>
              <a:graphicFrameLocks noChangeAspect="1"/>
            </wp:cNvGraphicFramePr>
            <a:graphic>
              <a:graphicData uri="http://schemas.openxmlformats.org/drawingml/2006/picture">
                <pic:pic>
                  <pic:nvPicPr>
                    <pic:cNvPr id="0" name="fig1_reference_architecture.png"/>
                    <pic:cNvPicPr/>
                  </pic:nvPicPr>
                  <pic:blipFill>
                    <a:blip r:embed="rId9"/>
                    <a:stretch>
                      <a:fillRect/>
                    </a:stretch>
                  </pic:blipFill>
                  <pic:spPr>
                    <a:xfrm>
                      <a:off x="0" y="0"/>
                      <a:ext cx="6035040" cy="702457"/>
                    </a:xfrm>
                    <a:prstGeom prst="rect"/>
                  </pic:spPr>
                </pic:pic>
              </a:graphicData>
            </a:graphic>
          </wp:inline>
        </w:drawing>
      </w:r>
    </w:p>
    <w:p>
      <w:pPr>
        <w:jc w:val="center"/>
      </w:pPr>
      <w:r>
        <w:rPr>
          <w:rFonts w:ascii="Aptos" w:hAnsi="Aptos"/>
          <w:i/>
          <w:sz w:val="17"/>
        </w:rPr>
        <w:t>Figure 1. Phase-1 reference architecture.</w:t>
      </w:r>
    </w:p>
    <w:p>
      <w:pPr>
        <w:pStyle w:val="Heading1"/>
        <w:keepNext/>
      </w:pPr>
      <w:r>
        <w:t>4. Physical Zones and Isolation Boundaries</w:t>
      </w:r>
    </w:p>
    <w:p>
      <w:pPr>
        <w:spacing w:after="100" w:line="247" w:lineRule="auto"/>
      </w:pPr>
      <w:r>
        <w:rPr>
          <w:rFonts w:ascii="Aptos" w:hAnsi="Aptos"/>
          <w:b w:val="0"/>
          <w:i w:val="0"/>
          <w:sz w:val="19"/>
        </w:rPr>
        <w:t>The bench is divided into three zones. Zone A contains challenge generation and transmission functions. Zone B contains the microscopic interface and receiver front end. Zone C contains independent acquisition, telemetry aggregation, archival, and post-close analysis transfer.</w:t>
      </w:r>
    </w:p>
    <w:p>
      <w:pPr>
        <w:pStyle w:val="ListBullet"/>
        <w:spacing w:after="40"/>
      </w:pPr>
      <w:r>
        <w:rPr>
          <w:rFonts w:ascii="Aptos" w:hAnsi="Aptos"/>
          <w:sz w:val="18"/>
        </w:rPr>
        <w:t>Zone A - Challenge / TX: challenge authority, TX host, waveform source, source-measure unit, transmitter driver, and intentional stimulus side.</w:t>
      </w:r>
    </w:p>
    <w:p>
      <w:pPr>
        <w:pStyle w:val="ListBullet"/>
        <w:spacing w:after="40"/>
      </w:pPr>
      <w:r>
        <w:rPr>
          <w:rFonts w:ascii="Aptos" w:hAnsi="Aptos"/>
          <w:sz w:val="18"/>
        </w:rPr>
        <w:t>Zone B - Interface / RX: microfluidic path, receiver sensor, preamplifier, shielding, and local environmental probes.</w:t>
      </w:r>
    </w:p>
    <w:p>
      <w:pPr>
        <w:pStyle w:val="ListBullet"/>
        <w:spacing w:after="40"/>
      </w:pPr>
      <w:r>
        <w:rPr>
          <w:rFonts w:ascii="Aptos" w:hAnsi="Aptos"/>
          <w:sz w:val="18"/>
        </w:rPr>
        <w:t>Zone C - DAQ / Archive: independent acquisition host, telemetry aggregator, raw storage, append-only archive, and controlled post-close export.</w:t>
      </w:r>
    </w:p>
    <w:p>
      <w:pPr>
        <w:spacing w:after="100" w:line="247" w:lineRule="auto"/>
      </w:pPr>
      <w:r>
        <w:rPr>
          <w:rFonts w:ascii="Aptos" w:hAnsi="Aptos"/>
          <w:b w:val="0"/>
          <w:i w:val="0"/>
          <w:sz w:val="19"/>
        </w:rPr>
        <w:t>During blocked-path and confirmatory trials, Zone A must have no routable data path to Zone C. Shared mains power is treated as a potential coupling path and is either separated, isolated, or instrumented.</w:t>
      </w:r>
    </w:p>
    <w:p>
      <w:pPr>
        <w:jc w:val="center"/>
      </w:pPr>
      <w:r>
        <w:drawing>
          <wp:inline xmlns:a="http://schemas.openxmlformats.org/drawingml/2006/main" xmlns:pic="http://schemas.openxmlformats.org/drawingml/2006/picture">
            <wp:extent cx="5852160" cy="977325"/>
            <wp:docPr id="2" name="Picture 2"/>
            <wp:cNvGraphicFramePr>
              <a:graphicFrameLocks noChangeAspect="1"/>
            </wp:cNvGraphicFramePr>
            <a:graphic>
              <a:graphicData uri="http://schemas.openxmlformats.org/drawingml/2006/picture">
                <pic:pic>
                  <pic:nvPicPr>
                    <pic:cNvPr id="0" name="fig2_zone_isolation.png"/>
                    <pic:cNvPicPr/>
                  </pic:nvPicPr>
                  <pic:blipFill>
                    <a:blip r:embed="rId10"/>
                    <a:stretch>
                      <a:fillRect/>
                    </a:stretch>
                  </pic:blipFill>
                  <pic:spPr>
                    <a:xfrm>
                      <a:off x="0" y="0"/>
                      <a:ext cx="5852160" cy="977325"/>
                    </a:xfrm>
                    <a:prstGeom prst="rect"/>
                  </pic:spPr>
                </pic:pic>
              </a:graphicData>
            </a:graphic>
          </wp:inline>
        </w:drawing>
      </w:r>
    </w:p>
    <w:p>
      <w:pPr>
        <w:jc w:val="center"/>
      </w:pPr>
      <w:r>
        <w:rPr>
          <w:rFonts w:ascii="Aptos" w:hAnsi="Aptos"/>
          <w:i/>
          <w:sz w:val="17"/>
        </w:rPr>
        <w:t>Figure 2. Zone and trust-boundary model.</w:t>
      </w:r>
    </w:p>
    <w:p>
      <w:pPr>
        <w:pStyle w:val="Heading1"/>
        <w:keepNext/>
      </w:pPr>
      <w:r>
        <w:t>5. Cable and Wiring Schedule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936"/>
            <w:vAlign w:val="center"/>
            <w:shd w:fill="D9EAF7"/>
          </w:tcPr>
          <w:p>
            <w:r/>
            <w:r>
              <w:rPr>
                <w:rFonts w:ascii="Aptos" w:hAnsi="Aptos"/>
                <w:b/>
                <w:sz w:val="13"/>
              </w:rPr>
              <w:t>Cable</w:t>
            </w:r>
          </w:p>
        </w:tc>
        <w:tc>
          <w:tcPr>
            <w:tcW w:type="dxa" w:w="1656"/>
            <w:vAlign w:val="center"/>
            <w:shd w:fill="D9EAF7"/>
          </w:tcPr>
          <w:p>
            <w:r/>
            <w:r>
              <w:rPr>
                <w:rFonts w:ascii="Aptos" w:hAnsi="Aptos"/>
                <w:b/>
                <w:sz w:val="13"/>
              </w:rPr>
              <w:t>From</w:t>
            </w:r>
          </w:p>
        </w:tc>
        <w:tc>
          <w:tcPr>
            <w:tcW w:type="dxa" w:w="1800"/>
            <w:vAlign w:val="center"/>
            <w:shd w:fill="D9EAF7"/>
          </w:tcPr>
          <w:p>
            <w:r/>
            <w:r>
              <w:rPr>
                <w:rFonts w:ascii="Aptos" w:hAnsi="Aptos"/>
                <w:b/>
                <w:sz w:val="13"/>
              </w:rPr>
              <w:t>To</w:t>
            </w:r>
          </w:p>
        </w:tc>
        <w:tc>
          <w:tcPr>
            <w:tcW w:type="dxa" w:w="1656"/>
            <w:vAlign w:val="center"/>
            <w:shd w:fill="D9EAF7"/>
          </w:tcPr>
          <w:p>
            <w:r/>
            <w:r>
              <w:rPr>
                <w:rFonts w:ascii="Aptos" w:hAnsi="Aptos"/>
                <w:b/>
                <w:sz w:val="13"/>
              </w:rPr>
              <w:t>Signal</w:t>
            </w:r>
          </w:p>
        </w:tc>
        <w:tc>
          <w:tcPr>
            <w:tcW w:type="dxa" w:w="1584"/>
            <w:vAlign w:val="center"/>
            <w:shd w:fill="D9EAF7"/>
          </w:tcPr>
          <w:p>
            <w:r/>
            <w:r>
              <w:rPr>
                <w:rFonts w:ascii="Aptos" w:hAnsi="Aptos"/>
                <w:b/>
                <w:sz w:val="13"/>
              </w:rPr>
              <w:t>Medium</w:t>
            </w:r>
          </w:p>
        </w:tc>
        <w:tc>
          <w:tcPr>
            <w:tcW w:type="dxa" w:w="2880"/>
            <w:vAlign w:val="center"/>
            <w:shd w:fill="D9EAF7"/>
          </w:tcPr>
          <w:p>
            <w:r/>
            <w:r>
              <w:rPr>
                <w:rFonts w:ascii="Aptos" w:hAnsi="Aptos"/>
                <w:b/>
                <w:sz w:val="13"/>
              </w:rPr>
              <w:t>Isolation / note</w:t>
            </w:r>
          </w:p>
        </w:tc>
      </w:tr>
      <w:tr>
        <w:trPr>
          <w:cantSplit/>
        </w:trPr>
        <w:tc>
          <w:tcPr>
            <w:tcW w:type="dxa" w:w="936"/>
            <w:vAlign w:val="center"/>
          </w:tcPr>
          <w:p>
            <w:r/>
            <w:r>
              <w:rPr>
                <w:rFonts w:ascii="Aptos" w:hAnsi="Aptos"/>
                <w:b w:val="0"/>
                <w:sz w:val="13"/>
              </w:rPr>
              <w:t>CBL-001</w:t>
            </w:r>
          </w:p>
        </w:tc>
        <w:tc>
          <w:tcPr>
            <w:tcW w:type="dxa" w:w="1656"/>
            <w:vAlign w:val="center"/>
          </w:tcPr>
          <w:p>
            <w:r/>
            <w:r>
              <w:rPr>
                <w:rFonts w:ascii="Aptos" w:hAnsi="Aptos"/>
                <w:b w:val="0"/>
                <w:sz w:val="13"/>
              </w:rPr>
              <w:t>TX Host</w:t>
            </w:r>
          </w:p>
        </w:tc>
        <w:tc>
          <w:tcPr>
            <w:tcW w:type="dxa" w:w="1800"/>
            <w:vAlign w:val="center"/>
          </w:tcPr>
          <w:p>
            <w:r/>
            <w:r>
              <w:rPr>
                <w:rFonts w:ascii="Aptos" w:hAnsi="Aptos"/>
                <w:b w:val="0"/>
                <w:sz w:val="13"/>
              </w:rPr>
              <w:t>Waveform Source</w:t>
            </w:r>
          </w:p>
        </w:tc>
        <w:tc>
          <w:tcPr>
            <w:tcW w:type="dxa" w:w="1656"/>
            <w:vAlign w:val="center"/>
          </w:tcPr>
          <w:p>
            <w:r/>
            <w:r>
              <w:rPr>
                <w:rFonts w:ascii="Aptos" w:hAnsi="Aptos"/>
                <w:b w:val="0"/>
                <w:sz w:val="13"/>
              </w:rPr>
              <w:t>SCPI/control</w:t>
            </w:r>
          </w:p>
        </w:tc>
        <w:tc>
          <w:tcPr>
            <w:tcW w:type="dxa" w:w="1584"/>
            <w:vAlign w:val="center"/>
          </w:tcPr>
          <w:p>
            <w:r/>
            <w:r>
              <w:rPr>
                <w:rFonts w:ascii="Aptos" w:hAnsi="Aptos"/>
                <w:b w:val="0"/>
                <w:sz w:val="13"/>
              </w:rPr>
              <w:t>USB or isolated Ethernet</w:t>
            </w:r>
          </w:p>
        </w:tc>
        <w:tc>
          <w:tcPr>
            <w:tcW w:type="dxa" w:w="2880"/>
            <w:vAlign w:val="center"/>
          </w:tcPr>
          <w:p>
            <w:r/>
            <w:r>
              <w:rPr>
                <w:rFonts w:ascii="Aptos" w:hAnsi="Aptos"/>
                <w:b w:val="0"/>
                <w:sz w:val="13"/>
              </w:rPr>
              <w:t>Disabled/disconnected during blinded capture if not required</w:t>
            </w:r>
          </w:p>
        </w:tc>
      </w:tr>
      <w:tr>
        <w:trPr>
          <w:cantSplit/>
        </w:trPr>
        <w:tc>
          <w:tcPr>
            <w:tcW w:type="dxa" w:w="936"/>
            <w:vAlign w:val="center"/>
          </w:tcPr>
          <w:p>
            <w:r/>
            <w:r>
              <w:rPr>
                <w:rFonts w:ascii="Aptos" w:hAnsi="Aptos"/>
                <w:b w:val="0"/>
                <w:sz w:val="13"/>
              </w:rPr>
              <w:t>CBL-002</w:t>
            </w:r>
          </w:p>
        </w:tc>
        <w:tc>
          <w:tcPr>
            <w:tcW w:type="dxa" w:w="1656"/>
            <w:vAlign w:val="center"/>
          </w:tcPr>
          <w:p>
            <w:r/>
            <w:r>
              <w:rPr>
                <w:rFonts w:ascii="Aptos" w:hAnsi="Aptos"/>
                <w:b w:val="0"/>
                <w:sz w:val="13"/>
              </w:rPr>
              <w:t>Waveform Source CH1</w:t>
            </w:r>
          </w:p>
        </w:tc>
        <w:tc>
          <w:tcPr>
            <w:tcW w:type="dxa" w:w="1800"/>
            <w:vAlign w:val="center"/>
          </w:tcPr>
          <w:p>
            <w:r/>
            <w:r>
              <w:rPr>
                <w:rFonts w:ascii="Aptos" w:hAnsi="Aptos"/>
                <w:b w:val="0"/>
                <w:sz w:val="13"/>
              </w:rPr>
              <w:t>TX Driver / injection electrode</w:t>
            </w:r>
          </w:p>
        </w:tc>
        <w:tc>
          <w:tcPr>
            <w:tcW w:type="dxa" w:w="1656"/>
            <w:vAlign w:val="center"/>
          </w:tcPr>
          <w:p>
            <w:r/>
            <w:r>
              <w:rPr>
                <w:rFonts w:ascii="Aptos" w:hAnsi="Aptos"/>
                <w:b w:val="0"/>
                <w:sz w:val="13"/>
              </w:rPr>
              <w:t>Analog modulation</w:t>
            </w:r>
          </w:p>
        </w:tc>
        <w:tc>
          <w:tcPr>
            <w:tcW w:type="dxa" w:w="1584"/>
            <w:vAlign w:val="center"/>
          </w:tcPr>
          <w:p>
            <w:r/>
            <w:r>
              <w:rPr>
                <w:rFonts w:ascii="Aptos" w:hAnsi="Aptos"/>
                <w:b w:val="0"/>
                <w:sz w:val="13"/>
              </w:rPr>
              <w:t>Shielded coax</w:t>
            </w:r>
          </w:p>
        </w:tc>
        <w:tc>
          <w:tcPr>
            <w:tcW w:type="dxa" w:w="2880"/>
            <w:vAlign w:val="center"/>
          </w:tcPr>
          <w:p>
            <w:r/>
            <w:r>
              <w:rPr>
                <w:rFonts w:ascii="Aptos" w:hAnsi="Aptos"/>
                <w:b w:val="0"/>
                <w:sz w:val="13"/>
              </w:rPr>
              <w:t>Intentional TX path</w:t>
            </w:r>
          </w:p>
        </w:tc>
      </w:tr>
      <w:tr>
        <w:trPr>
          <w:cantSplit/>
        </w:trPr>
        <w:tc>
          <w:tcPr>
            <w:tcW w:type="dxa" w:w="936"/>
            <w:vAlign w:val="center"/>
          </w:tcPr>
          <w:p>
            <w:r/>
            <w:r>
              <w:rPr>
                <w:rFonts w:ascii="Aptos" w:hAnsi="Aptos"/>
                <w:b w:val="0"/>
                <w:sz w:val="13"/>
              </w:rPr>
              <w:t>CBL-003</w:t>
            </w:r>
          </w:p>
        </w:tc>
        <w:tc>
          <w:tcPr>
            <w:tcW w:type="dxa" w:w="1656"/>
            <w:vAlign w:val="center"/>
          </w:tcPr>
          <w:p>
            <w:r/>
            <w:r>
              <w:rPr>
                <w:rFonts w:ascii="Aptos" w:hAnsi="Aptos"/>
                <w:b w:val="0"/>
                <w:sz w:val="13"/>
              </w:rPr>
              <w:t>SMU HI/LO</w:t>
            </w:r>
          </w:p>
        </w:tc>
        <w:tc>
          <w:tcPr>
            <w:tcW w:type="dxa" w:w="1800"/>
            <w:vAlign w:val="center"/>
          </w:tcPr>
          <w:p>
            <w:r/>
            <w:r>
              <w:rPr>
                <w:rFonts w:ascii="Aptos" w:hAnsi="Aptos"/>
                <w:b w:val="0"/>
                <w:sz w:val="13"/>
              </w:rPr>
              <w:t>TX electrode / sensor bias fixture</w:t>
            </w:r>
          </w:p>
        </w:tc>
        <w:tc>
          <w:tcPr>
            <w:tcW w:type="dxa" w:w="1656"/>
            <w:vAlign w:val="center"/>
          </w:tcPr>
          <w:p>
            <w:r/>
            <w:r>
              <w:rPr>
                <w:rFonts w:ascii="Aptos" w:hAnsi="Aptos"/>
                <w:b w:val="0"/>
                <w:sz w:val="13"/>
              </w:rPr>
              <w:t>DC bias / source-measure</w:t>
            </w:r>
          </w:p>
        </w:tc>
        <w:tc>
          <w:tcPr>
            <w:tcW w:type="dxa" w:w="1584"/>
            <w:vAlign w:val="center"/>
          </w:tcPr>
          <w:p>
            <w:r/>
            <w:r>
              <w:rPr>
                <w:rFonts w:ascii="Aptos" w:hAnsi="Aptos"/>
                <w:b w:val="0"/>
                <w:sz w:val="13"/>
              </w:rPr>
              <w:t>Triax</w:t>
            </w:r>
          </w:p>
        </w:tc>
        <w:tc>
          <w:tcPr>
            <w:tcW w:type="dxa" w:w="2880"/>
            <w:vAlign w:val="center"/>
          </w:tcPr>
          <w:p>
            <w:r/>
            <w:r>
              <w:rPr>
                <w:rFonts w:ascii="Aptos" w:hAnsi="Aptos"/>
                <w:b w:val="0"/>
                <w:sz w:val="13"/>
              </w:rPr>
              <w:t>Guarded; document shield termination</w:t>
            </w:r>
          </w:p>
        </w:tc>
      </w:tr>
      <w:tr>
        <w:trPr>
          <w:cantSplit/>
        </w:trPr>
        <w:tc>
          <w:tcPr>
            <w:tcW w:type="dxa" w:w="936"/>
            <w:vAlign w:val="center"/>
          </w:tcPr>
          <w:p>
            <w:r/>
            <w:r>
              <w:rPr>
                <w:rFonts w:ascii="Aptos" w:hAnsi="Aptos"/>
                <w:b w:val="0"/>
                <w:sz w:val="13"/>
              </w:rPr>
              <w:t>CBL-004</w:t>
            </w:r>
          </w:p>
        </w:tc>
        <w:tc>
          <w:tcPr>
            <w:tcW w:type="dxa" w:w="1656"/>
            <w:vAlign w:val="center"/>
          </w:tcPr>
          <w:p>
            <w:r/>
            <w:r>
              <w:rPr>
                <w:rFonts w:ascii="Aptos" w:hAnsi="Aptos"/>
                <w:b w:val="0"/>
                <w:sz w:val="13"/>
              </w:rPr>
              <w:t>Receiver Sensor</w:t>
            </w:r>
          </w:p>
        </w:tc>
        <w:tc>
          <w:tcPr>
            <w:tcW w:type="dxa" w:w="1800"/>
            <w:vAlign w:val="center"/>
          </w:tcPr>
          <w:p>
            <w:r/>
            <w:r>
              <w:rPr>
                <w:rFonts w:ascii="Aptos" w:hAnsi="Aptos"/>
                <w:b w:val="0"/>
                <w:sz w:val="13"/>
              </w:rPr>
              <w:t>Low-noise preamp</w:t>
            </w:r>
          </w:p>
        </w:tc>
        <w:tc>
          <w:tcPr>
            <w:tcW w:type="dxa" w:w="1656"/>
            <w:vAlign w:val="center"/>
          </w:tcPr>
          <w:p>
            <w:r/>
            <w:r>
              <w:rPr>
                <w:rFonts w:ascii="Aptos" w:hAnsi="Aptos"/>
                <w:b w:val="0"/>
                <w:sz w:val="13"/>
              </w:rPr>
              <w:t>Sensor output</w:t>
            </w:r>
          </w:p>
        </w:tc>
        <w:tc>
          <w:tcPr>
            <w:tcW w:type="dxa" w:w="1584"/>
            <w:vAlign w:val="center"/>
          </w:tcPr>
          <w:p>
            <w:r/>
            <w:r>
              <w:rPr>
                <w:rFonts w:ascii="Aptos" w:hAnsi="Aptos"/>
                <w:b w:val="0"/>
                <w:sz w:val="13"/>
              </w:rPr>
              <w:t>Triax / shielded pair</w:t>
            </w:r>
          </w:p>
        </w:tc>
        <w:tc>
          <w:tcPr>
            <w:tcW w:type="dxa" w:w="2880"/>
            <w:vAlign w:val="center"/>
          </w:tcPr>
          <w:p>
            <w:r/>
            <w:r>
              <w:rPr>
                <w:rFonts w:ascii="Aptos" w:hAnsi="Aptos"/>
                <w:b w:val="0"/>
                <w:sz w:val="13"/>
              </w:rPr>
              <w:t>Zone B only</w:t>
            </w:r>
          </w:p>
        </w:tc>
      </w:tr>
      <w:tr>
        <w:trPr>
          <w:cantSplit/>
        </w:trPr>
        <w:tc>
          <w:tcPr>
            <w:tcW w:type="dxa" w:w="936"/>
            <w:vAlign w:val="center"/>
          </w:tcPr>
          <w:p>
            <w:r/>
            <w:r>
              <w:rPr>
                <w:rFonts w:ascii="Aptos" w:hAnsi="Aptos"/>
                <w:b w:val="0"/>
                <w:sz w:val="13"/>
              </w:rPr>
              <w:t>CBL-005</w:t>
            </w:r>
          </w:p>
        </w:tc>
        <w:tc>
          <w:tcPr>
            <w:tcW w:type="dxa" w:w="1656"/>
            <w:vAlign w:val="center"/>
          </w:tcPr>
          <w:p>
            <w:r/>
            <w:r>
              <w:rPr>
                <w:rFonts w:ascii="Aptos" w:hAnsi="Aptos"/>
                <w:b w:val="0"/>
                <w:sz w:val="13"/>
              </w:rPr>
              <w:t>Preamp OUT</w:t>
            </w:r>
          </w:p>
        </w:tc>
        <w:tc>
          <w:tcPr>
            <w:tcW w:type="dxa" w:w="1800"/>
            <w:vAlign w:val="center"/>
          </w:tcPr>
          <w:p>
            <w:r/>
            <w:r>
              <w:rPr>
                <w:rFonts w:ascii="Aptos" w:hAnsi="Aptos"/>
                <w:b w:val="0"/>
                <w:sz w:val="13"/>
              </w:rPr>
              <w:t>DAQ AI0</w:t>
            </w:r>
          </w:p>
        </w:tc>
        <w:tc>
          <w:tcPr>
            <w:tcW w:type="dxa" w:w="1656"/>
            <w:vAlign w:val="center"/>
          </w:tcPr>
          <w:p>
            <w:r/>
            <w:r>
              <w:rPr>
                <w:rFonts w:ascii="Aptos" w:hAnsi="Aptos"/>
                <w:b w:val="0"/>
                <w:sz w:val="13"/>
              </w:rPr>
              <w:t>Receiver analog</w:t>
            </w:r>
          </w:p>
        </w:tc>
        <w:tc>
          <w:tcPr>
            <w:tcW w:type="dxa" w:w="1584"/>
            <w:vAlign w:val="center"/>
          </w:tcPr>
          <w:p>
            <w:r/>
            <w:r>
              <w:rPr>
                <w:rFonts w:ascii="Aptos" w:hAnsi="Aptos"/>
                <w:b w:val="0"/>
                <w:sz w:val="13"/>
              </w:rPr>
              <w:t>Coax</w:t>
            </w:r>
          </w:p>
        </w:tc>
        <w:tc>
          <w:tcPr>
            <w:tcW w:type="dxa" w:w="2880"/>
            <w:vAlign w:val="center"/>
          </w:tcPr>
          <w:p>
            <w:r/>
            <w:r>
              <w:rPr>
                <w:rFonts w:ascii="Aptos" w:hAnsi="Aptos"/>
                <w:b w:val="0"/>
                <w:sz w:val="13"/>
              </w:rPr>
              <w:t>Prefer isolated front end</w:t>
            </w:r>
          </w:p>
        </w:tc>
      </w:tr>
      <w:tr>
        <w:trPr>
          <w:cantSplit/>
        </w:trPr>
        <w:tc>
          <w:tcPr>
            <w:tcW w:type="dxa" w:w="936"/>
            <w:vAlign w:val="center"/>
          </w:tcPr>
          <w:p>
            <w:r/>
            <w:r>
              <w:rPr>
                <w:rFonts w:ascii="Aptos" w:hAnsi="Aptos"/>
                <w:b w:val="0"/>
                <w:sz w:val="13"/>
              </w:rPr>
              <w:t>CBL-006</w:t>
            </w:r>
          </w:p>
        </w:tc>
        <w:tc>
          <w:tcPr>
            <w:tcW w:type="dxa" w:w="1656"/>
            <w:vAlign w:val="center"/>
          </w:tcPr>
          <w:p>
            <w:r/>
            <w:r>
              <w:rPr>
                <w:rFonts w:ascii="Aptos" w:hAnsi="Aptos"/>
                <w:b w:val="0"/>
                <w:sz w:val="13"/>
              </w:rPr>
              <w:t>Temperature probe</w:t>
            </w:r>
          </w:p>
        </w:tc>
        <w:tc>
          <w:tcPr>
            <w:tcW w:type="dxa" w:w="1800"/>
            <w:vAlign w:val="center"/>
          </w:tcPr>
          <w:p>
            <w:r/>
            <w:r>
              <w:rPr>
                <w:rFonts w:ascii="Aptos" w:hAnsi="Aptos"/>
                <w:b w:val="0"/>
                <w:sz w:val="13"/>
              </w:rPr>
              <w:t>DAQ AI1</w:t>
            </w:r>
          </w:p>
        </w:tc>
        <w:tc>
          <w:tcPr>
            <w:tcW w:type="dxa" w:w="1656"/>
            <w:vAlign w:val="center"/>
          </w:tcPr>
          <w:p>
            <w:r/>
            <w:r>
              <w:rPr>
                <w:rFonts w:ascii="Aptos" w:hAnsi="Aptos"/>
                <w:b w:val="0"/>
                <w:sz w:val="13"/>
              </w:rPr>
              <w:t>Temperature</w:t>
            </w:r>
          </w:p>
        </w:tc>
        <w:tc>
          <w:tcPr>
            <w:tcW w:type="dxa" w:w="1584"/>
            <w:vAlign w:val="center"/>
          </w:tcPr>
          <w:p>
            <w:r/>
            <w:r>
              <w:rPr>
                <w:rFonts w:ascii="Aptos" w:hAnsi="Aptos"/>
                <w:b w:val="0"/>
                <w:sz w:val="13"/>
              </w:rPr>
              <w:t>Sensor lead</w:t>
            </w:r>
          </w:p>
        </w:tc>
        <w:tc>
          <w:tcPr>
            <w:tcW w:type="dxa" w:w="2880"/>
            <w:vAlign w:val="center"/>
          </w:tcPr>
          <w:p>
            <w:r/>
            <w:r>
              <w:rPr>
                <w:rFonts w:ascii="Aptos" w:hAnsi="Aptos"/>
                <w:b w:val="0"/>
                <w:sz w:val="13"/>
              </w:rPr>
              <w:t>Telemetry</w:t>
            </w:r>
          </w:p>
        </w:tc>
      </w:tr>
      <w:tr>
        <w:trPr>
          <w:cantSplit/>
        </w:trPr>
        <w:tc>
          <w:tcPr>
            <w:tcW w:type="dxa" w:w="936"/>
            <w:vAlign w:val="center"/>
          </w:tcPr>
          <w:p>
            <w:r/>
            <w:r>
              <w:rPr>
                <w:rFonts w:ascii="Aptos" w:hAnsi="Aptos"/>
                <w:b w:val="0"/>
                <w:sz w:val="13"/>
              </w:rPr>
              <w:t>CBL-007</w:t>
            </w:r>
          </w:p>
        </w:tc>
        <w:tc>
          <w:tcPr>
            <w:tcW w:type="dxa" w:w="1656"/>
            <w:vAlign w:val="center"/>
          </w:tcPr>
          <w:p>
            <w:r/>
            <w:r>
              <w:rPr>
                <w:rFonts w:ascii="Aptos" w:hAnsi="Aptos"/>
                <w:b w:val="0"/>
                <w:sz w:val="13"/>
              </w:rPr>
              <w:t>Vibration sensor</w:t>
            </w:r>
          </w:p>
        </w:tc>
        <w:tc>
          <w:tcPr>
            <w:tcW w:type="dxa" w:w="1800"/>
            <w:vAlign w:val="center"/>
          </w:tcPr>
          <w:p>
            <w:r/>
            <w:r>
              <w:rPr>
                <w:rFonts w:ascii="Aptos" w:hAnsi="Aptos"/>
                <w:b w:val="0"/>
                <w:sz w:val="13"/>
              </w:rPr>
              <w:t>DAQ AI2</w:t>
            </w:r>
          </w:p>
        </w:tc>
        <w:tc>
          <w:tcPr>
            <w:tcW w:type="dxa" w:w="1656"/>
            <w:vAlign w:val="center"/>
          </w:tcPr>
          <w:p>
            <w:r/>
            <w:r>
              <w:rPr>
                <w:rFonts w:ascii="Aptos" w:hAnsi="Aptos"/>
                <w:b w:val="0"/>
                <w:sz w:val="13"/>
              </w:rPr>
              <w:t>Accelerometer</w:t>
            </w:r>
          </w:p>
        </w:tc>
        <w:tc>
          <w:tcPr>
            <w:tcW w:type="dxa" w:w="1584"/>
            <w:vAlign w:val="center"/>
          </w:tcPr>
          <w:p>
            <w:r/>
            <w:r>
              <w:rPr>
                <w:rFonts w:ascii="Aptos" w:hAnsi="Aptos"/>
                <w:b w:val="0"/>
                <w:sz w:val="13"/>
              </w:rPr>
              <w:t>Shielded pair</w:t>
            </w:r>
          </w:p>
        </w:tc>
        <w:tc>
          <w:tcPr>
            <w:tcW w:type="dxa" w:w="2880"/>
            <w:vAlign w:val="center"/>
          </w:tcPr>
          <w:p>
            <w:r/>
            <w:r>
              <w:rPr>
                <w:rFonts w:ascii="Aptos" w:hAnsi="Aptos"/>
                <w:b w:val="0"/>
                <w:sz w:val="13"/>
              </w:rPr>
              <w:t>Telemetry</w:t>
            </w:r>
          </w:p>
        </w:tc>
      </w:tr>
      <w:tr>
        <w:trPr>
          <w:cantSplit/>
        </w:trPr>
        <w:tc>
          <w:tcPr>
            <w:tcW w:type="dxa" w:w="936"/>
            <w:vAlign w:val="center"/>
          </w:tcPr>
          <w:p>
            <w:r/>
            <w:r>
              <w:rPr>
                <w:rFonts w:ascii="Aptos" w:hAnsi="Aptos"/>
                <w:b w:val="0"/>
                <w:sz w:val="13"/>
              </w:rPr>
              <w:t>CBL-008</w:t>
            </w:r>
          </w:p>
        </w:tc>
        <w:tc>
          <w:tcPr>
            <w:tcW w:type="dxa" w:w="1656"/>
            <w:vAlign w:val="center"/>
          </w:tcPr>
          <w:p>
            <w:r/>
            <w:r>
              <w:rPr>
                <w:rFonts w:ascii="Aptos" w:hAnsi="Aptos"/>
                <w:b w:val="0"/>
                <w:sz w:val="13"/>
              </w:rPr>
              <w:t>EM probe</w:t>
            </w:r>
          </w:p>
        </w:tc>
        <w:tc>
          <w:tcPr>
            <w:tcW w:type="dxa" w:w="1800"/>
            <w:vAlign w:val="center"/>
          </w:tcPr>
          <w:p>
            <w:r/>
            <w:r>
              <w:rPr>
                <w:rFonts w:ascii="Aptos" w:hAnsi="Aptos"/>
                <w:b w:val="0"/>
                <w:sz w:val="13"/>
              </w:rPr>
              <w:t>DAQ AI3</w:t>
            </w:r>
          </w:p>
        </w:tc>
        <w:tc>
          <w:tcPr>
            <w:tcW w:type="dxa" w:w="1656"/>
            <w:vAlign w:val="center"/>
          </w:tcPr>
          <w:p>
            <w:r/>
            <w:r>
              <w:rPr>
                <w:rFonts w:ascii="Aptos" w:hAnsi="Aptos"/>
                <w:b w:val="0"/>
                <w:sz w:val="13"/>
              </w:rPr>
              <w:t>RF/EM envelope</w:t>
            </w:r>
          </w:p>
        </w:tc>
        <w:tc>
          <w:tcPr>
            <w:tcW w:type="dxa" w:w="1584"/>
            <w:vAlign w:val="center"/>
          </w:tcPr>
          <w:p>
            <w:r/>
            <w:r>
              <w:rPr>
                <w:rFonts w:ascii="Aptos" w:hAnsi="Aptos"/>
                <w:b w:val="0"/>
                <w:sz w:val="13"/>
              </w:rPr>
              <w:t>Coax</w:t>
            </w:r>
          </w:p>
        </w:tc>
        <w:tc>
          <w:tcPr>
            <w:tcW w:type="dxa" w:w="2880"/>
            <w:vAlign w:val="center"/>
          </w:tcPr>
          <w:p>
            <w:r/>
            <w:r>
              <w:rPr>
                <w:rFonts w:ascii="Aptos" w:hAnsi="Aptos"/>
                <w:b w:val="0"/>
                <w:sz w:val="13"/>
              </w:rPr>
              <w:t>Telemetry</w:t>
            </w:r>
          </w:p>
        </w:tc>
      </w:tr>
      <w:tr>
        <w:trPr>
          <w:cantSplit/>
        </w:trPr>
        <w:tc>
          <w:tcPr>
            <w:tcW w:type="dxa" w:w="936"/>
            <w:vAlign w:val="center"/>
          </w:tcPr>
          <w:p>
            <w:r/>
            <w:r>
              <w:rPr>
                <w:rFonts w:ascii="Aptos" w:hAnsi="Aptos"/>
                <w:b w:val="0"/>
                <w:sz w:val="13"/>
              </w:rPr>
              <w:t>CBL-009</w:t>
            </w:r>
          </w:p>
        </w:tc>
        <w:tc>
          <w:tcPr>
            <w:tcW w:type="dxa" w:w="1656"/>
            <w:vAlign w:val="center"/>
          </w:tcPr>
          <w:p>
            <w:r/>
            <w:r>
              <w:rPr>
                <w:rFonts w:ascii="Aptos" w:hAnsi="Aptos"/>
                <w:b w:val="0"/>
                <w:sz w:val="13"/>
              </w:rPr>
              <w:t>Acoustic sensor</w:t>
            </w:r>
          </w:p>
        </w:tc>
        <w:tc>
          <w:tcPr>
            <w:tcW w:type="dxa" w:w="1800"/>
            <w:vAlign w:val="center"/>
          </w:tcPr>
          <w:p>
            <w:r/>
            <w:r>
              <w:rPr>
                <w:rFonts w:ascii="Aptos" w:hAnsi="Aptos"/>
                <w:b w:val="0"/>
                <w:sz w:val="13"/>
              </w:rPr>
              <w:t>DAQ AI4</w:t>
            </w:r>
          </w:p>
        </w:tc>
        <w:tc>
          <w:tcPr>
            <w:tcW w:type="dxa" w:w="1656"/>
            <w:vAlign w:val="center"/>
          </w:tcPr>
          <w:p>
            <w:r/>
            <w:r>
              <w:rPr>
                <w:rFonts w:ascii="Aptos" w:hAnsi="Aptos"/>
                <w:b w:val="0"/>
                <w:sz w:val="13"/>
              </w:rPr>
              <w:t>Acoustic envelope</w:t>
            </w:r>
          </w:p>
        </w:tc>
        <w:tc>
          <w:tcPr>
            <w:tcW w:type="dxa" w:w="1584"/>
            <w:vAlign w:val="center"/>
          </w:tcPr>
          <w:p>
            <w:r/>
            <w:r>
              <w:rPr>
                <w:rFonts w:ascii="Aptos" w:hAnsi="Aptos"/>
                <w:b w:val="0"/>
                <w:sz w:val="13"/>
              </w:rPr>
              <w:t>Shielded pair</w:t>
            </w:r>
          </w:p>
        </w:tc>
        <w:tc>
          <w:tcPr>
            <w:tcW w:type="dxa" w:w="2880"/>
            <w:vAlign w:val="center"/>
          </w:tcPr>
          <w:p>
            <w:r/>
            <w:r>
              <w:rPr>
                <w:rFonts w:ascii="Aptos" w:hAnsi="Aptos"/>
                <w:b w:val="0"/>
                <w:sz w:val="13"/>
              </w:rPr>
              <w:t>Telemetry</w:t>
            </w:r>
          </w:p>
        </w:tc>
      </w:tr>
      <w:tr>
        <w:trPr>
          <w:cantSplit/>
        </w:trPr>
        <w:tc>
          <w:tcPr>
            <w:tcW w:type="dxa" w:w="936"/>
            <w:vAlign w:val="center"/>
          </w:tcPr>
          <w:p>
            <w:r/>
            <w:r>
              <w:rPr>
                <w:rFonts w:ascii="Aptos" w:hAnsi="Aptos"/>
                <w:b w:val="0"/>
                <w:sz w:val="13"/>
              </w:rPr>
              <w:t>CBL-010</w:t>
            </w:r>
          </w:p>
        </w:tc>
        <w:tc>
          <w:tcPr>
            <w:tcW w:type="dxa" w:w="1656"/>
            <w:vAlign w:val="center"/>
          </w:tcPr>
          <w:p>
            <w:r/>
            <w:r>
              <w:rPr>
                <w:rFonts w:ascii="Aptos" w:hAnsi="Aptos"/>
                <w:b w:val="0"/>
                <w:sz w:val="13"/>
              </w:rPr>
              <w:t>Optical sensor</w:t>
            </w:r>
          </w:p>
        </w:tc>
        <w:tc>
          <w:tcPr>
            <w:tcW w:type="dxa" w:w="1800"/>
            <w:vAlign w:val="center"/>
          </w:tcPr>
          <w:p>
            <w:r/>
            <w:r>
              <w:rPr>
                <w:rFonts w:ascii="Aptos" w:hAnsi="Aptos"/>
                <w:b w:val="0"/>
                <w:sz w:val="13"/>
              </w:rPr>
              <w:t>DAQ AI5</w:t>
            </w:r>
          </w:p>
        </w:tc>
        <w:tc>
          <w:tcPr>
            <w:tcW w:type="dxa" w:w="1656"/>
            <w:vAlign w:val="center"/>
          </w:tcPr>
          <w:p>
            <w:r/>
            <w:r>
              <w:rPr>
                <w:rFonts w:ascii="Aptos" w:hAnsi="Aptos"/>
                <w:b w:val="0"/>
                <w:sz w:val="13"/>
              </w:rPr>
              <w:t>Light level</w:t>
            </w:r>
          </w:p>
        </w:tc>
        <w:tc>
          <w:tcPr>
            <w:tcW w:type="dxa" w:w="1584"/>
            <w:vAlign w:val="center"/>
          </w:tcPr>
          <w:p>
            <w:r/>
            <w:r>
              <w:rPr>
                <w:rFonts w:ascii="Aptos" w:hAnsi="Aptos"/>
                <w:b w:val="0"/>
                <w:sz w:val="13"/>
              </w:rPr>
              <w:t>Shielded pair</w:t>
            </w:r>
          </w:p>
        </w:tc>
        <w:tc>
          <w:tcPr>
            <w:tcW w:type="dxa" w:w="2880"/>
            <w:vAlign w:val="center"/>
          </w:tcPr>
          <w:p>
            <w:r/>
            <w:r>
              <w:rPr>
                <w:rFonts w:ascii="Aptos" w:hAnsi="Aptos"/>
                <w:b w:val="0"/>
                <w:sz w:val="13"/>
              </w:rPr>
              <w:t>Telemetry</w:t>
            </w:r>
          </w:p>
        </w:tc>
      </w:tr>
      <w:tr>
        <w:trPr>
          <w:cantSplit/>
        </w:trPr>
        <w:tc>
          <w:tcPr>
            <w:tcW w:type="dxa" w:w="936"/>
            <w:vAlign w:val="center"/>
          </w:tcPr>
          <w:p>
            <w:r/>
            <w:r>
              <w:rPr>
                <w:rFonts w:ascii="Aptos" w:hAnsi="Aptos"/>
                <w:b w:val="0"/>
                <w:sz w:val="13"/>
              </w:rPr>
              <w:t>CBL-011</w:t>
            </w:r>
          </w:p>
        </w:tc>
        <w:tc>
          <w:tcPr>
            <w:tcW w:type="dxa" w:w="1656"/>
            <w:vAlign w:val="center"/>
          </w:tcPr>
          <w:p>
            <w:r/>
            <w:r>
              <w:rPr>
                <w:rFonts w:ascii="Aptos" w:hAnsi="Aptos"/>
                <w:b w:val="0"/>
                <w:sz w:val="13"/>
              </w:rPr>
              <w:t>TX current monitor</w:t>
            </w:r>
          </w:p>
        </w:tc>
        <w:tc>
          <w:tcPr>
            <w:tcW w:type="dxa" w:w="1800"/>
            <w:vAlign w:val="center"/>
          </w:tcPr>
          <w:p>
            <w:r/>
            <w:r>
              <w:rPr>
                <w:rFonts w:ascii="Aptos" w:hAnsi="Aptos"/>
                <w:b w:val="0"/>
                <w:sz w:val="13"/>
              </w:rPr>
              <w:t>DAQ AI6</w:t>
            </w:r>
          </w:p>
        </w:tc>
        <w:tc>
          <w:tcPr>
            <w:tcW w:type="dxa" w:w="1656"/>
            <w:vAlign w:val="center"/>
          </w:tcPr>
          <w:p>
            <w:r/>
            <w:r>
              <w:rPr>
                <w:rFonts w:ascii="Aptos" w:hAnsi="Aptos"/>
                <w:b w:val="0"/>
                <w:sz w:val="13"/>
              </w:rPr>
              <w:t>TX current proxy</w:t>
            </w:r>
          </w:p>
        </w:tc>
        <w:tc>
          <w:tcPr>
            <w:tcW w:type="dxa" w:w="1584"/>
            <w:vAlign w:val="center"/>
          </w:tcPr>
          <w:p>
            <w:r/>
            <w:r>
              <w:rPr>
                <w:rFonts w:ascii="Aptos" w:hAnsi="Aptos"/>
                <w:b w:val="0"/>
                <w:sz w:val="13"/>
              </w:rPr>
              <w:t>Isolated analog</w:t>
            </w:r>
          </w:p>
        </w:tc>
        <w:tc>
          <w:tcPr>
            <w:tcW w:type="dxa" w:w="2880"/>
            <w:vAlign w:val="center"/>
          </w:tcPr>
          <w:p>
            <w:r/>
            <w:r>
              <w:rPr>
                <w:rFonts w:ascii="Aptos" w:hAnsi="Aptos"/>
                <w:b w:val="0"/>
                <w:sz w:val="13"/>
              </w:rPr>
              <w:t>Physical telemetry only; no challenge plaintext</w:t>
            </w:r>
          </w:p>
        </w:tc>
      </w:tr>
      <w:tr>
        <w:trPr>
          <w:cantSplit/>
        </w:trPr>
        <w:tc>
          <w:tcPr>
            <w:tcW w:type="dxa" w:w="936"/>
            <w:vAlign w:val="center"/>
          </w:tcPr>
          <w:p>
            <w:r/>
            <w:r>
              <w:rPr>
                <w:rFonts w:ascii="Aptos" w:hAnsi="Aptos"/>
                <w:b w:val="0"/>
                <w:sz w:val="13"/>
              </w:rPr>
              <w:t>CBL-012</w:t>
            </w:r>
          </w:p>
        </w:tc>
        <w:tc>
          <w:tcPr>
            <w:tcW w:type="dxa" w:w="1656"/>
            <w:vAlign w:val="center"/>
          </w:tcPr>
          <w:p>
            <w:r/>
            <w:r>
              <w:rPr>
                <w:rFonts w:ascii="Aptos" w:hAnsi="Aptos"/>
                <w:b w:val="0"/>
                <w:sz w:val="13"/>
              </w:rPr>
              <w:t>Mains/power monitor</w:t>
            </w:r>
          </w:p>
        </w:tc>
        <w:tc>
          <w:tcPr>
            <w:tcW w:type="dxa" w:w="1800"/>
            <w:vAlign w:val="center"/>
          </w:tcPr>
          <w:p>
            <w:r/>
            <w:r>
              <w:rPr>
                <w:rFonts w:ascii="Aptos" w:hAnsi="Aptos"/>
                <w:b w:val="0"/>
                <w:sz w:val="13"/>
              </w:rPr>
              <w:t>DAQ AI7</w:t>
            </w:r>
          </w:p>
        </w:tc>
        <w:tc>
          <w:tcPr>
            <w:tcW w:type="dxa" w:w="1656"/>
            <w:vAlign w:val="center"/>
          </w:tcPr>
          <w:p>
            <w:r/>
            <w:r>
              <w:rPr>
                <w:rFonts w:ascii="Aptos" w:hAnsi="Aptos"/>
                <w:b w:val="0"/>
                <w:sz w:val="13"/>
              </w:rPr>
              <w:t>Power/ground telemetry</w:t>
            </w:r>
          </w:p>
        </w:tc>
        <w:tc>
          <w:tcPr>
            <w:tcW w:type="dxa" w:w="1584"/>
            <w:vAlign w:val="center"/>
          </w:tcPr>
          <w:p>
            <w:r/>
            <w:r>
              <w:rPr>
                <w:rFonts w:ascii="Aptos" w:hAnsi="Aptos"/>
                <w:b w:val="0"/>
                <w:sz w:val="13"/>
              </w:rPr>
              <w:t>Isolated sensor</w:t>
            </w:r>
          </w:p>
        </w:tc>
        <w:tc>
          <w:tcPr>
            <w:tcW w:type="dxa" w:w="2880"/>
            <w:vAlign w:val="center"/>
          </w:tcPr>
          <w:p>
            <w:r/>
            <w:r>
              <w:rPr>
                <w:rFonts w:ascii="Aptos" w:hAnsi="Aptos"/>
                <w:b w:val="0"/>
                <w:sz w:val="13"/>
              </w:rPr>
              <w:t>Coupling-path monitoring</w:t>
            </w:r>
          </w:p>
        </w:tc>
      </w:tr>
      <w:tr>
        <w:trPr>
          <w:cantSplit/>
        </w:trPr>
        <w:tc>
          <w:tcPr>
            <w:tcW w:type="dxa" w:w="936"/>
            <w:vAlign w:val="center"/>
          </w:tcPr>
          <w:p>
            <w:r/>
            <w:r>
              <w:rPr>
                <w:rFonts w:ascii="Aptos" w:hAnsi="Aptos"/>
                <w:b w:val="0"/>
                <w:sz w:val="13"/>
              </w:rPr>
              <w:t>CBL-013</w:t>
            </w:r>
          </w:p>
        </w:tc>
        <w:tc>
          <w:tcPr>
            <w:tcW w:type="dxa" w:w="1656"/>
            <w:vAlign w:val="center"/>
          </w:tcPr>
          <w:p>
            <w:r/>
            <w:r>
              <w:rPr>
                <w:rFonts w:ascii="Aptos" w:hAnsi="Aptos"/>
                <w:b w:val="0"/>
                <w:sz w:val="13"/>
              </w:rPr>
              <w:t>Flow/pressure sensor</w:t>
            </w:r>
          </w:p>
        </w:tc>
        <w:tc>
          <w:tcPr>
            <w:tcW w:type="dxa" w:w="1800"/>
            <w:vAlign w:val="center"/>
          </w:tcPr>
          <w:p>
            <w:r/>
            <w:r>
              <w:rPr>
                <w:rFonts w:ascii="Aptos" w:hAnsi="Aptos"/>
                <w:b w:val="0"/>
                <w:sz w:val="13"/>
              </w:rPr>
              <w:t>DAQ AI8</w:t>
            </w:r>
          </w:p>
        </w:tc>
        <w:tc>
          <w:tcPr>
            <w:tcW w:type="dxa" w:w="1656"/>
            <w:vAlign w:val="center"/>
          </w:tcPr>
          <w:p>
            <w:r/>
            <w:r>
              <w:rPr>
                <w:rFonts w:ascii="Aptos" w:hAnsi="Aptos"/>
                <w:b w:val="0"/>
                <w:sz w:val="13"/>
              </w:rPr>
              <w:t>Fluidic telemetry</w:t>
            </w:r>
          </w:p>
        </w:tc>
        <w:tc>
          <w:tcPr>
            <w:tcW w:type="dxa" w:w="1584"/>
            <w:vAlign w:val="center"/>
          </w:tcPr>
          <w:p>
            <w:r/>
            <w:r>
              <w:rPr>
                <w:rFonts w:ascii="Aptos" w:hAnsi="Aptos"/>
                <w:b w:val="0"/>
                <w:sz w:val="13"/>
              </w:rPr>
              <w:t>Shielded pair</w:t>
            </w:r>
          </w:p>
        </w:tc>
        <w:tc>
          <w:tcPr>
            <w:tcW w:type="dxa" w:w="2880"/>
            <w:vAlign w:val="center"/>
          </w:tcPr>
          <w:p>
            <w:r/>
            <w:r>
              <w:rPr>
                <w:rFonts w:ascii="Aptos" w:hAnsi="Aptos"/>
                <w:b w:val="0"/>
                <w:sz w:val="13"/>
              </w:rPr>
              <w:t>Interface-state monitoring</w:t>
            </w:r>
          </w:p>
        </w:tc>
      </w:tr>
      <w:tr>
        <w:trPr>
          <w:cantSplit/>
        </w:trPr>
        <w:tc>
          <w:tcPr>
            <w:tcW w:type="dxa" w:w="936"/>
            <w:vAlign w:val="center"/>
          </w:tcPr>
          <w:p>
            <w:r/>
            <w:r>
              <w:rPr>
                <w:rFonts w:ascii="Aptos" w:hAnsi="Aptos"/>
                <w:b w:val="0"/>
                <w:sz w:val="13"/>
              </w:rPr>
              <w:t>CBL-014</w:t>
            </w:r>
          </w:p>
        </w:tc>
        <w:tc>
          <w:tcPr>
            <w:tcW w:type="dxa" w:w="1656"/>
            <w:vAlign w:val="center"/>
          </w:tcPr>
          <w:p>
            <w:r/>
            <w:r>
              <w:rPr>
                <w:rFonts w:ascii="Aptos" w:hAnsi="Aptos"/>
                <w:b w:val="0"/>
                <w:sz w:val="13"/>
              </w:rPr>
              <w:t>DAQ timing output</w:t>
            </w:r>
          </w:p>
        </w:tc>
        <w:tc>
          <w:tcPr>
            <w:tcW w:type="dxa" w:w="1800"/>
            <w:vAlign w:val="center"/>
          </w:tcPr>
          <w:p>
            <w:r/>
            <w:r>
              <w:rPr>
                <w:rFonts w:ascii="Aptos" w:hAnsi="Aptos"/>
                <w:b w:val="0"/>
                <w:sz w:val="13"/>
              </w:rPr>
              <w:t>Local marker recorder</w:t>
            </w:r>
          </w:p>
        </w:tc>
        <w:tc>
          <w:tcPr>
            <w:tcW w:type="dxa" w:w="1656"/>
            <w:vAlign w:val="center"/>
          </w:tcPr>
          <w:p>
            <w:r/>
            <w:r>
              <w:rPr>
                <w:rFonts w:ascii="Aptos" w:hAnsi="Aptos"/>
                <w:b w:val="0"/>
                <w:sz w:val="13"/>
              </w:rPr>
              <w:t>Trial timing marker</w:t>
            </w:r>
          </w:p>
        </w:tc>
        <w:tc>
          <w:tcPr>
            <w:tcW w:type="dxa" w:w="1584"/>
            <w:vAlign w:val="center"/>
          </w:tcPr>
          <w:p>
            <w:r/>
            <w:r>
              <w:rPr>
                <w:rFonts w:ascii="Aptos" w:hAnsi="Aptos"/>
                <w:b w:val="0"/>
                <w:sz w:val="13"/>
              </w:rPr>
              <w:t>Digital</w:t>
            </w:r>
          </w:p>
        </w:tc>
        <w:tc>
          <w:tcPr>
            <w:tcW w:type="dxa" w:w="2880"/>
            <w:vAlign w:val="center"/>
          </w:tcPr>
          <w:p>
            <w:r/>
            <w:r>
              <w:rPr>
                <w:rFonts w:ascii="Aptos" w:hAnsi="Aptos"/>
                <w:b w:val="0"/>
                <w:sz w:val="13"/>
              </w:rPr>
              <w:t>No challenge data content</w:t>
            </w:r>
          </w:p>
        </w:tc>
      </w:tr>
      <w:tr>
        <w:trPr>
          <w:cantSplit/>
        </w:trPr>
        <w:tc>
          <w:tcPr>
            <w:tcW w:type="dxa" w:w="936"/>
            <w:vAlign w:val="center"/>
          </w:tcPr>
          <w:p>
            <w:r/>
            <w:r>
              <w:rPr>
                <w:rFonts w:ascii="Aptos" w:hAnsi="Aptos"/>
                <w:b w:val="0"/>
                <w:sz w:val="13"/>
              </w:rPr>
              <w:t>CBL-015</w:t>
            </w:r>
          </w:p>
        </w:tc>
        <w:tc>
          <w:tcPr>
            <w:tcW w:type="dxa" w:w="1656"/>
            <w:vAlign w:val="center"/>
          </w:tcPr>
          <w:p>
            <w:r/>
            <w:r>
              <w:rPr>
                <w:rFonts w:ascii="Aptos" w:hAnsi="Aptos"/>
                <w:b w:val="0"/>
                <w:sz w:val="13"/>
              </w:rPr>
              <w:t>Pump controller</w:t>
            </w:r>
          </w:p>
        </w:tc>
        <w:tc>
          <w:tcPr>
            <w:tcW w:type="dxa" w:w="1800"/>
            <w:vAlign w:val="center"/>
          </w:tcPr>
          <w:p>
            <w:r/>
            <w:r>
              <w:rPr>
                <w:rFonts w:ascii="Aptos" w:hAnsi="Aptos"/>
                <w:b w:val="0"/>
                <w:sz w:val="13"/>
              </w:rPr>
              <w:t>Pump</w:t>
            </w:r>
          </w:p>
        </w:tc>
        <w:tc>
          <w:tcPr>
            <w:tcW w:type="dxa" w:w="1656"/>
            <w:vAlign w:val="center"/>
          </w:tcPr>
          <w:p>
            <w:r/>
            <w:r>
              <w:rPr>
                <w:rFonts w:ascii="Aptos" w:hAnsi="Aptos"/>
                <w:b w:val="0"/>
                <w:sz w:val="13"/>
              </w:rPr>
              <w:t>Flow command</w:t>
            </w:r>
          </w:p>
        </w:tc>
        <w:tc>
          <w:tcPr>
            <w:tcW w:type="dxa" w:w="1584"/>
            <w:vAlign w:val="center"/>
          </w:tcPr>
          <w:p>
            <w:r/>
            <w:r>
              <w:rPr>
                <w:rFonts w:ascii="Aptos" w:hAnsi="Aptos"/>
                <w:b w:val="0"/>
                <w:sz w:val="13"/>
              </w:rPr>
              <w:t>Vendor cable</w:t>
            </w:r>
          </w:p>
        </w:tc>
        <w:tc>
          <w:tcPr>
            <w:tcW w:type="dxa" w:w="2880"/>
            <w:vAlign w:val="center"/>
          </w:tcPr>
          <w:p>
            <w:r/>
            <w:r>
              <w:rPr>
                <w:rFonts w:ascii="Aptos" w:hAnsi="Aptos"/>
                <w:b w:val="0"/>
                <w:sz w:val="13"/>
              </w:rPr>
              <w:t>Zone A; schedule logged</w:t>
            </w:r>
          </w:p>
        </w:tc>
      </w:tr>
      <w:tr>
        <w:trPr>
          <w:cantSplit/>
        </w:trPr>
        <w:tc>
          <w:tcPr>
            <w:tcW w:type="dxa" w:w="936"/>
            <w:vAlign w:val="center"/>
          </w:tcPr>
          <w:p>
            <w:r/>
            <w:r>
              <w:rPr>
                <w:rFonts w:ascii="Aptos" w:hAnsi="Aptos"/>
                <w:b w:val="0"/>
                <w:sz w:val="13"/>
              </w:rPr>
              <w:t>CBL-016</w:t>
            </w:r>
          </w:p>
        </w:tc>
        <w:tc>
          <w:tcPr>
            <w:tcW w:type="dxa" w:w="1656"/>
            <w:vAlign w:val="center"/>
          </w:tcPr>
          <w:p>
            <w:r/>
            <w:r>
              <w:rPr>
                <w:rFonts w:ascii="Aptos" w:hAnsi="Aptos"/>
                <w:b w:val="0"/>
                <w:sz w:val="13"/>
              </w:rPr>
              <w:t>Valve controller</w:t>
            </w:r>
          </w:p>
        </w:tc>
        <w:tc>
          <w:tcPr>
            <w:tcW w:type="dxa" w:w="1800"/>
            <w:vAlign w:val="center"/>
          </w:tcPr>
          <w:p>
            <w:r/>
            <w:r>
              <w:rPr>
                <w:rFonts w:ascii="Aptos" w:hAnsi="Aptos"/>
                <w:b w:val="0"/>
                <w:sz w:val="13"/>
              </w:rPr>
              <w:t>Selector valve</w:t>
            </w:r>
          </w:p>
        </w:tc>
        <w:tc>
          <w:tcPr>
            <w:tcW w:type="dxa" w:w="1656"/>
            <w:vAlign w:val="center"/>
          </w:tcPr>
          <w:p>
            <w:r/>
            <w:r>
              <w:rPr>
                <w:rFonts w:ascii="Aptos" w:hAnsi="Aptos"/>
                <w:b w:val="0"/>
                <w:sz w:val="13"/>
              </w:rPr>
              <w:t>State command</w:t>
            </w:r>
          </w:p>
        </w:tc>
        <w:tc>
          <w:tcPr>
            <w:tcW w:type="dxa" w:w="1584"/>
            <w:vAlign w:val="center"/>
          </w:tcPr>
          <w:p>
            <w:r/>
            <w:r>
              <w:rPr>
                <w:rFonts w:ascii="Aptos" w:hAnsi="Aptos"/>
                <w:b w:val="0"/>
                <w:sz w:val="13"/>
              </w:rPr>
              <w:t>Vendor cable</w:t>
            </w:r>
          </w:p>
        </w:tc>
        <w:tc>
          <w:tcPr>
            <w:tcW w:type="dxa" w:w="2880"/>
            <w:vAlign w:val="center"/>
          </w:tcPr>
          <w:p>
            <w:r/>
            <w:r>
              <w:rPr>
                <w:rFonts w:ascii="Aptos" w:hAnsi="Aptos"/>
                <w:b w:val="0"/>
                <w:sz w:val="13"/>
              </w:rPr>
              <w:t>Zone A; state transitions logged</w:t>
            </w:r>
          </w:p>
        </w:tc>
      </w:tr>
      <w:tr>
        <w:trPr>
          <w:cantSplit/>
        </w:trPr>
        <w:tc>
          <w:tcPr>
            <w:tcW w:type="dxa" w:w="936"/>
            <w:vAlign w:val="center"/>
          </w:tcPr>
          <w:p>
            <w:r/>
            <w:r>
              <w:rPr>
                <w:rFonts w:ascii="Aptos" w:hAnsi="Aptos"/>
                <w:b w:val="0"/>
                <w:sz w:val="13"/>
              </w:rPr>
              <w:t>CBL-017</w:t>
            </w:r>
          </w:p>
        </w:tc>
        <w:tc>
          <w:tcPr>
            <w:tcW w:type="dxa" w:w="1656"/>
            <w:vAlign w:val="center"/>
          </w:tcPr>
          <w:p>
            <w:r/>
            <w:r>
              <w:rPr>
                <w:rFonts w:ascii="Aptos" w:hAnsi="Aptos"/>
                <w:b w:val="0"/>
                <w:sz w:val="13"/>
              </w:rPr>
              <w:t>DAQ Host</w:t>
            </w:r>
          </w:p>
        </w:tc>
        <w:tc>
          <w:tcPr>
            <w:tcW w:type="dxa" w:w="1800"/>
            <w:vAlign w:val="center"/>
          </w:tcPr>
          <w:p>
            <w:r/>
            <w:r>
              <w:rPr>
                <w:rFonts w:ascii="Aptos" w:hAnsi="Aptos"/>
                <w:b w:val="0"/>
                <w:sz w:val="13"/>
              </w:rPr>
              <w:t>Immutable archive</w:t>
            </w:r>
          </w:p>
        </w:tc>
        <w:tc>
          <w:tcPr>
            <w:tcW w:type="dxa" w:w="1656"/>
            <w:vAlign w:val="center"/>
          </w:tcPr>
          <w:p>
            <w:r/>
            <w:r>
              <w:rPr>
                <w:rFonts w:ascii="Aptos" w:hAnsi="Aptos"/>
                <w:b w:val="0"/>
                <w:sz w:val="13"/>
              </w:rPr>
              <w:t>Artifact transfer</w:t>
            </w:r>
          </w:p>
        </w:tc>
        <w:tc>
          <w:tcPr>
            <w:tcW w:type="dxa" w:w="1584"/>
            <w:vAlign w:val="center"/>
          </w:tcPr>
          <w:p>
            <w:r/>
            <w:r>
              <w:rPr>
                <w:rFonts w:ascii="Aptos" w:hAnsi="Aptos"/>
                <w:b w:val="0"/>
                <w:sz w:val="13"/>
              </w:rPr>
              <w:t>Dedicated storage link</w:t>
            </w:r>
          </w:p>
        </w:tc>
        <w:tc>
          <w:tcPr>
            <w:tcW w:type="dxa" w:w="2880"/>
            <w:vAlign w:val="center"/>
          </w:tcPr>
          <w:p>
            <w:r/>
            <w:r>
              <w:rPr>
                <w:rFonts w:ascii="Aptos" w:hAnsi="Aptos"/>
                <w:b w:val="0"/>
                <w:sz w:val="13"/>
              </w:rPr>
              <w:t>Controlled / one-way where practical</w:t>
            </w:r>
          </w:p>
        </w:tc>
      </w:tr>
      <w:tr>
        <w:trPr>
          <w:cantSplit/>
        </w:trPr>
        <w:tc>
          <w:tcPr>
            <w:tcW w:type="dxa" w:w="936"/>
            <w:vAlign w:val="center"/>
          </w:tcPr>
          <w:p>
            <w:r/>
            <w:r>
              <w:rPr>
                <w:rFonts w:ascii="Aptos" w:hAnsi="Aptos"/>
                <w:b w:val="0"/>
                <w:sz w:val="13"/>
              </w:rPr>
              <w:t>CBL-018</w:t>
            </w:r>
          </w:p>
        </w:tc>
        <w:tc>
          <w:tcPr>
            <w:tcW w:type="dxa" w:w="1656"/>
            <w:vAlign w:val="center"/>
          </w:tcPr>
          <w:p>
            <w:r/>
            <w:r>
              <w:rPr>
                <w:rFonts w:ascii="Aptos" w:hAnsi="Aptos"/>
                <w:b w:val="0"/>
                <w:sz w:val="13"/>
              </w:rPr>
              <w:t>Challenge Authority</w:t>
            </w:r>
          </w:p>
        </w:tc>
        <w:tc>
          <w:tcPr>
            <w:tcW w:type="dxa" w:w="1800"/>
            <w:vAlign w:val="center"/>
          </w:tcPr>
          <w:p>
            <w:r/>
            <w:r>
              <w:rPr>
                <w:rFonts w:ascii="Aptos" w:hAnsi="Aptos"/>
                <w:b w:val="0"/>
                <w:sz w:val="13"/>
              </w:rPr>
              <w:t>TX Host</w:t>
            </w:r>
          </w:p>
        </w:tc>
        <w:tc>
          <w:tcPr>
            <w:tcW w:type="dxa" w:w="1656"/>
            <w:vAlign w:val="center"/>
          </w:tcPr>
          <w:p>
            <w:r/>
            <w:r>
              <w:rPr>
                <w:rFonts w:ascii="Aptos" w:hAnsi="Aptos"/>
                <w:b w:val="0"/>
                <w:sz w:val="13"/>
              </w:rPr>
              <w:t>Sealed challenge receipt</w:t>
            </w:r>
          </w:p>
        </w:tc>
        <w:tc>
          <w:tcPr>
            <w:tcW w:type="dxa" w:w="1584"/>
            <w:vAlign w:val="center"/>
          </w:tcPr>
          <w:p>
            <w:r/>
            <w:r>
              <w:rPr>
                <w:rFonts w:ascii="Aptos" w:hAnsi="Aptos"/>
                <w:b w:val="0"/>
                <w:sz w:val="13"/>
              </w:rPr>
              <w:t>Signed removable media / controlled link</w:t>
            </w:r>
          </w:p>
        </w:tc>
        <w:tc>
          <w:tcPr>
            <w:tcW w:type="dxa" w:w="2880"/>
            <w:vAlign w:val="center"/>
          </w:tcPr>
          <w:p>
            <w:r/>
            <w:r>
              <w:rPr>
                <w:rFonts w:ascii="Aptos" w:hAnsi="Aptos"/>
                <w:b w:val="0"/>
                <w:sz w:val="13"/>
              </w:rPr>
              <w:t>Challenge plaintext unavailable to Zone C</w:t>
            </w:r>
          </w:p>
        </w:tc>
      </w:tr>
      <w:tr>
        <w:trPr>
          <w:cantSplit/>
        </w:trPr>
        <w:tc>
          <w:tcPr>
            <w:tcW w:type="dxa" w:w="936"/>
            <w:vAlign w:val="center"/>
          </w:tcPr>
          <w:p>
            <w:r/>
            <w:r>
              <w:rPr>
                <w:rFonts w:ascii="Aptos" w:hAnsi="Aptos"/>
                <w:b w:val="0"/>
                <w:sz w:val="13"/>
              </w:rPr>
              <w:t>CBL-019</w:t>
            </w:r>
          </w:p>
        </w:tc>
        <w:tc>
          <w:tcPr>
            <w:tcW w:type="dxa" w:w="1656"/>
            <w:vAlign w:val="center"/>
          </w:tcPr>
          <w:p>
            <w:r/>
            <w:r>
              <w:rPr>
                <w:rFonts w:ascii="Aptos" w:hAnsi="Aptos"/>
                <w:b w:val="0"/>
                <w:sz w:val="13"/>
              </w:rPr>
              <w:t>DAQ Host</w:t>
            </w:r>
          </w:p>
        </w:tc>
        <w:tc>
          <w:tcPr>
            <w:tcW w:type="dxa" w:w="1800"/>
            <w:vAlign w:val="center"/>
          </w:tcPr>
          <w:p>
            <w:r/>
            <w:r>
              <w:rPr>
                <w:rFonts w:ascii="Aptos" w:hAnsi="Aptos"/>
                <w:b w:val="0"/>
                <w:sz w:val="13"/>
              </w:rPr>
              <w:t>Export station</w:t>
            </w:r>
          </w:p>
        </w:tc>
        <w:tc>
          <w:tcPr>
            <w:tcW w:type="dxa" w:w="1656"/>
            <w:vAlign w:val="center"/>
          </w:tcPr>
          <w:p>
            <w:r/>
            <w:r>
              <w:rPr>
                <w:rFonts w:ascii="Aptos" w:hAnsi="Aptos"/>
                <w:b w:val="0"/>
                <w:sz w:val="13"/>
              </w:rPr>
              <w:t>Sealed trial bundle</w:t>
            </w:r>
          </w:p>
        </w:tc>
        <w:tc>
          <w:tcPr>
            <w:tcW w:type="dxa" w:w="1584"/>
            <w:vAlign w:val="center"/>
          </w:tcPr>
          <w:p>
            <w:r/>
            <w:r>
              <w:rPr>
                <w:rFonts w:ascii="Aptos" w:hAnsi="Aptos"/>
                <w:b w:val="0"/>
                <w:sz w:val="13"/>
              </w:rPr>
              <w:t>Signed removable media / optical path</w:t>
            </w:r>
          </w:p>
        </w:tc>
        <w:tc>
          <w:tcPr>
            <w:tcW w:type="dxa" w:w="2880"/>
            <w:vAlign w:val="center"/>
          </w:tcPr>
          <w:p>
            <w:r/>
            <w:r>
              <w:rPr>
                <w:rFonts w:ascii="Aptos" w:hAnsi="Aptos"/>
                <w:b w:val="0"/>
                <w:sz w:val="13"/>
              </w:rPr>
              <w:t>Transfer only after CLOSE</w:t>
            </w:r>
          </w:p>
        </w:tc>
      </w:tr>
      <w:tr>
        <w:trPr>
          <w:cantSplit/>
        </w:trPr>
        <w:tc>
          <w:tcPr>
            <w:tcW w:type="dxa" w:w="936"/>
            <w:vAlign w:val="center"/>
          </w:tcPr>
          <w:p>
            <w:r/>
            <w:r>
              <w:rPr>
                <w:rFonts w:ascii="Aptos" w:hAnsi="Aptos"/>
                <w:b w:val="0"/>
                <w:sz w:val="13"/>
              </w:rPr>
              <w:t>CBL-020</w:t>
            </w:r>
          </w:p>
        </w:tc>
        <w:tc>
          <w:tcPr>
            <w:tcW w:type="dxa" w:w="1656"/>
            <w:vAlign w:val="center"/>
          </w:tcPr>
          <w:p>
            <w:r/>
            <w:r>
              <w:rPr>
                <w:rFonts w:ascii="Aptos" w:hAnsi="Aptos"/>
                <w:b w:val="0"/>
                <w:sz w:val="13"/>
              </w:rPr>
              <w:t>Export station</w:t>
            </w:r>
          </w:p>
        </w:tc>
        <w:tc>
          <w:tcPr>
            <w:tcW w:type="dxa" w:w="1800"/>
            <w:vAlign w:val="center"/>
          </w:tcPr>
          <w:p>
            <w:r/>
            <w:r>
              <w:rPr>
                <w:rFonts w:ascii="Aptos" w:hAnsi="Aptos"/>
                <w:b w:val="0"/>
                <w:sz w:val="13"/>
              </w:rPr>
              <w:t>Analysis Vault</w:t>
            </w:r>
          </w:p>
        </w:tc>
        <w:tc>
          <w:tcPr>
            <w:tcW w:type="dxa" w:w="1656"/>
            <w:vAlign w:val="center"/>
          </w:tcPr>
          <w:p>
            <w:r/>
            <w:r>
              <w:rPr>
                <w:rFonts w:ascii="Aptos" w:hAnsi="Aptos"/>
                <w:b w:val="0"/>
                <w:sz w:val="13"/>
              </w:rPr>
              <w:t>Trial bundle + post-close unseal</w:t>
            </w:r>
          </w:p>
        </w:tc>
        <w:tc>
          <w:tcPr>
            <w:tcW w:type="dxa" w:w="1584"/>
            <w:vAlign w:val="center"/>
          </w:tcPr>
          <w:p>
            <w:r/>
            <w:r>
              <w:rPr>
                <w:rFonts w:ascii="Aptos" w:hAnsi="Aptos"/>
                <w:b w:val="0"/>
                <w:sz w:val="13"/>
              </w:rPr>
              <w:t>Offline transfer</w:t>
            </w:r>
          </w:p>
        </w:tc>
        <w:tc>
          <w:tcPr>
            <w:tcW w:type="dxa" w:w="2880"/>
            <w:vAlign w:val="center"/>
          </w:tcPr>
          <w:p>
            <w:r/>
            <w:r>
              <w:rPr>
                <w:rFonts w:ascii="Aptos" w:hAnsi="Aptos"/>
                <w:b w:val="0"/>
                <w:sz w:val="13"/>
              </w:rPr>
              <w:t>Scoring begins only after validation</w:t>
            </w:r>
          </w:p>
        </w:tc>
      </w:tr>
    </w:tbl>
    <w:p>
      <w:pPr>
        <w:spacing w:after="40"/>
      </w:pPr>
    </w:p>
    <w:p>
      <w:pPr>
        <w:spacing w:after="100" w:line="247" w:lineRule="auto"/>
      </w:pPr>
      <w:r>
        <w:rPr>
          <w:rFonts w:ascii="Aptos" w:hAnsi="Aptos"/>
          <w:b w:val="0"/>
          <w:i w:val="0"/>
          <w:sz w:val="19"/>
        </w:rPr>
        <w:t>All cables receive durable labels at both ends. Unused network interfaces, radios, Bluetooth, Wi-Fi, and management channels are disabled for confirmatory operation unless explicitly listed in the frozen manifest.</w:t>
      </w:r>
    </w:p>
    <w:p>
      <w:pPr>
        <w:pStyle w:val="Heading1"/>
        <w:keepNext/>
      </w:pPr>
      <w:r>
        <w:t>6. Reference I/O Map</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shd w:fill="D9EAF7"/>
          </w:tcPr>
          <w:p>
            <w:r/>
            <w:r>
              <w:rPr>
                <w:rFonts w:ascii="Aptos" w:hAnsi="Aptos"/>
                <w:b/>
                <w:sz w:val="14"/>
              </w:rPr>
              <w:t>I/O</w:t>
            </w:r>
          </w:p>
        </w:tc>
        <w:tc>
          <w:tcPr>
            <w:tcW w:type="dxa" w:w="1656"/>
            <w:vAlign w:val="center"/>
            <w:shd w:fill="D9EAF7"/>
          </w:tcPr>
          <w:p>
            <w:r/>
            <w:r>
              <w:rPr>
                <w:rFonts w:ascii="Aptos" w:hAnsi="Aptos"/>
                <w:b/>
                <w:sz w:val="14"/>
              </w:rPr>
              <w:t>Name</w:t>
            </w:r>
          </w:p>
        </w:tc>
        <w:tc>
          <w:tcPr>
            <w:tcW w:type="dxa" w:w="2160"/>
            <w:vAlign w:val="center"/>
            <w:shd w:fill="D9EAF7"/>
          </w:tcPr>
          <w:p>
            <w:r/>
            <w:r>
              <w:rPr>
                <w:rFonts w:ascii="Aptos" w:hAnsi="Aptos"/>
                <w:b/>
                <w:sz w:val="14"/>
              </w:rPr>
              <w:t>Source / destination</w:t>
            </w:r>
          </w:p>
        </w:tc>
        <w:tc>
          <w:tcPr>
            <w:tcW w:type="dxa" w:w="1440"/>
            <w:vAlign w:val="center"/>
            <w:shd w:fill="D9EAF7"/>
          </w:tcPr>
          <w:p>
            <w:r/>
            <w:r>
              <w:rPr>
                <w:rFonts w:ascii="Aptos" w:hAnsi="Aptos"/>
                <w:b/>
                <w:sz w:val="14"/>
              </w:rPr>
              <w:t>Range</w:t>
            </w:r>
          </w:p>
        </w:tc>
        <w:tc>
          <w:tcPr>
            <w:tcW w:type="dxa" w:w="1584"/>
            <w:vAlign w:val="center"/>
            <w:shd w:fill="D9EAF7"/>
          </w:tcPr>
          <w:p>
            <w:r/>
            <w:r>
              <w:rPr>
                <w:rFonts w:ascii="Aptos" w:hAnsi="Aptos"/>
                <w:b/>
                <w:sz w:val="14"/>
              </w:rPr>
              <w:t>Minimum rate</w:t>
            </w:r>
          </w:p>
        </w:tc>
        <w:tc>
          <w:tcPr>
            <w:tcW w:type="dxa" w:w="2592"/>
            <w:vAlign w:val="center"/>
            <w:shd w:fill="D9EAF7"/>
          </w:tcPr>
          <w:p>
            <w:r/>
            <w:r>
              <w:rPr>
                <w:rFonts w:ascii="Aptos" w:hAnsi="Aptos"/>
                <w:b/>
                <w:sz w:val="14"/>
              </w:rPr>
              <w:t>Role</w:t>
            </w:r>
          </w:p>
        </w:tc>
      </w:tr>
      <w:tr>
        <w:trPr>
          <w:cantSplit/>
        </w:trPr>
        <w:tc>
          <w:tcPr>
            <w:tcW w:type="dxa" w:w="792"/>
            <w:vAlign w:val="center"/>
          </w:tcPr>
          <w:p>
            <w:r/>
            <w:r>
              <w:rPr>
                <w:rFonts w:ascii="Aptos" w:hAnsi="Aptos"/>
                <w:b w:val="0"/>
                <w:sz w:val="14"/>
              </w:rPr>
              <w:t>AI0</w:t>
            </w:r>
          </w:p>
        </w:tc>
        <w:tc>
          <w:tcPr>
            <w:tcW w:type="dxa" w:w="1656"/>
            <w:vAlign w:val="center"/>
          </w:tcPr>
          <w:p>
            <w:r/>
            <w:r>
              <w:rPr>
                <w:rFonts w:ascii="Aptos" w:hAnsi="Aptos"/>
                <w:b w:val="0"/>
                <w:sz w:val="14"/>
              </w:rPr>
              <w:t>RX_MAIN</w:t>
            </w:r>
          </w:p>
        </w:tc>
        <w:tc>
          <w:tcPr>
            <w:tcW w:type="dxa" w:w="2160"/>
            <w:vAlign w:val="center"/>
          </w:tcPr>
          <w:p>
            <w:r/>
            <w:r>
              <w:rPr>
                <w:rFonts w:ascii="Aptos" w:hAnsi="Aptos"/>
                <w:b w:val="0"/>
                <w:sz w:val="14"/>
              </w:rPr>
              <w:t>Receiver preamp</w:t>
            </w:r>
          </w:p>
        </w:tc>
        <w:tc>
          <w:tcPr>
            <w:tcW w:type="dxa" w:w="1440"/>
            <w:vAlign w:val="center"/>
          </w:tcPr>
          <w:p>
            <w:r/>
            <w:r>
              <w:rPr>
                <w:rFonts w:ascii="Aptos" w:hAnsi="Aptos"/>
                <w:b w:val="0"/>
                <w:sz w:val="14"/>
              </w:rPr>
              <w:t>±1 V or sensor-specific</w:t>
            </w:r>
          </w:p>
        </w:tc>
        <w:tc>
          <w:tcPr>
            <w:tcW w:type="dxa" w:w="1584"/>
            <w:vAlign w:val="center"/>
          </w:tcPr>
          <w:p>
            <w:r/>
            <w:r>
              <w:rPr>
                <w:rFonts w:ascii="Aptos" w:hAnsi="Aptos"/>
                <w:b w:val="0"/>
                <w:sz w:val="14"/>
              </w:rPr>
              <w:t>10 kS/s initial</w:t>
            </w:r>
          </w:p>
        </w:tc>
        <w:tc>
          <w:tcPr>
            <w:tcW w:type="dxa" w:w="2592"/>
            <w:vAlign w:val="center"/>
          </w:tcPr>
          <w:p>
            <w:r/>
            <w:r>
              <w:rPr>
                <w:rFonts w:ascii="Aptos" w:hAnsi="Aptos"/>
                <w:b w:val="0"/>
                <w:sz w:val="14"/>
              </w:rPr>
              <w:t>Primary receiver signal</w:t>
            </w:r>
          </w:p>
        </w:tc>
      </w:tr>
      <w:tr>
        <w:trPr>
          <w:cantSplit/>
        </w:trPr>
        <w:tc>
          <w:tcPr>
            <w:tcW w:type="dxa" w:w="792"/>
            <w:vAlign w:val="center"/>
          </w:tcPr>
          <w:p>
            <w:r/>
            <w:r>
              <w:rPr>
                <w:rFonts w:ascii="Aptos" w:hAnsi="Aptos"/>
                <w:b w:val="0"/>
                <w:sz w:val="14"/>
              </w:rPr>
              <w:t>AI1</w:t>
            </w:r>
          </w:p>
        </w:tc>
        <w:tc>
          <w:tcPr>
            <w:tcW w:type="dxa" w:w="1656"/>
            <w:vAlign w:val="center"/>
          </w:tcPr>
          <w:p>
            <w:r/>
            <w:r>
              <w:rPr>
                <w:rFonts w:ascii="Aptos" w:hAnsi="Aptos"/>
                <w:b w:val="0"/>
                <w:sz w:val="14"/>
              </w:rPr>
              <w:t>TEMP_IF</w:t>
            </w:r>
          </w:p>
        </w:tc>
        <w:tc>
          <w:tcPr>
            <w:tcW w:type="dxa" w:w="2160"/>
            <w:vAlign w:val="center"/>
          </w:tcPr>
          <w:p>
            <w:r/>
            <w:r>
              <w:rPr>
                <w:rFonts w:ascii="Aptos" w:hAnsi="Aptos"/>
                <w:b w:val="0"/>
                <w:sz w:val="14"/>
              </w:rPr>
              <w:t>Interface temperature</w:t>
            </w:r>
          </w:p>
        </w:tc>
        <w:tc>
          <w:tcPr>
            <w:tcW w:type="dxa" w:w="1440"/>
            <w:vAlign w:val="center"/>
          </w:tcPr>
          <w:p>
            <w:r/>
            <w:r>
              <w:rPr>
                <w:rFonts w:ascii="Aptos" w:hAnsi="Aptos"/>
                <w:b w:val="0"/>
                <w:sz w:val="14"/>
              </w:rPr>
              <w:t>Sensor-specific</w:t>
            </w:r>
          </w:p>
        </w:tc>
        <w:tc>
          <w:tcPr>
            <w:tcW w:type="dxa" w:w="1584"/>
            <w:vAlign w:val="center"/>
          </w:tcPr>
          <w:p>
            <w:r/>
            <w:r>
              <w:rPr>
                <w:rFonts w:ascii="Aptos" w:hAnsi="Aptos"/>
                <w:b w:val="0"/>
                <w:sz w:val="14"/>
              </w:rPr>
              <w:t>10 S/s</w:t>
            </w:r>
          </w:p>
        </w:tc>
        <w:tc>
          <w:tcPr>
            <w:tcW w:type="dxa" w:w="2592"/>
            <w:vAlign w:val="center"/>
          </w:tcPr>
          <w:p>
            <w:r/>
            <w:r>
              <w:rPr>
                <w:rFonts w:ascii="Aptos" w:hAnsi="Aptos"/>
                <w:b w:val="0"/>
                <w:sz w:val="14"/>
              </w:rPr>
              <w:t>Thermal telemetry</w:t>
            </w:r>
          </w:p>
        </w:tc>
      </w:tr>
      <w:tr>
        <w:trPr>
          <w:cantSplit/>
        </w:trPr>
        <w:tc>
          <w:tcPr>
            <w:tcW w:type="dxa" w:w="792"/>
            <w:vAlign w:val="center"/>
          </w:tcPr>
          <w:p>
            <w:r/>
            <w:r>
              <w:rPr>
                <w:rFonts w:ascii="Aptos" w:hAnsi="Aptos"/>
                <w:b w:val="0"/>
                <w:sz w:val="14"/>
              </w:rPr>
              <w:t>AI2</w:t>
            </w:r>
          </w:p>
        </w:tc>
        <w:tc>
          <w:tcPr>
            <w:tcW w:type="dxa" w:w="1656"/>
            <w:vAlign w:val="center"/>
          </w:tcPr>
          <w:p>
            <w:r/>
            <w:r>
              <w:rPr>
                <w:rFonts w:ascii="Aptos" w:hAnsi="Aptos"/>
                <w:b w:val="0"/>
                <w:sz w:val="14"/>
              </w:rPr>
              <w:t>VIB_IF</w:t>
            </w:r>
          </w:p>
        </w:tc>
        <w:tc>
          <w:tcPr>
            <w:tcW w:type="dxa" w:w="2160"/>
            <w:vAlign w:val="center"/>
          </w:tcPr>
          <w:p>
            <w:r/>
            <w:r>
              <w:rPr>
                <w:rFonts w:ascii="Aptos" w:hAnsi="Aptos"/>
                <w:b w:val="0"/>
                <w:sz w:val="14"/>
              </w:rPr>
              <w:t>Interface vibration</w:t>
            </w:r>
          </w:p>
        </w:tc>
        <w:tc>
          <w:tcPr>
            <w:tcW w:type="dxa" w:w="1440"/>
            <w:vAlign w:val="center"/>
          </w:tcPr>
          <w:p>
            <w:r/>
            <w:r>
              <w:rPr>
                <w:rFonts w:ascii="Aptos" w:hAnsi="Aptos"/>
                <w:b w:val="0"/>
                <w:sz w:val="14"/>
              </w:rPr>
              <w:t>±5 V</w:t>
            </w:r>
          </w:p>
        </w:tc>
        <w:tc>
          <w:tcPr>
            <w:tcW w:type="dxa" w:w="1584"/>
            <w:vAlign w:val="center"/>
          </w:tcPr>
          <w:p>
            <w:r/>
            <w:r>
              <w:rPr>
                <w:rFonts w:ascii="Aptos" w:hAnsi="Aptos"/>
                <w:b w:val="0"/>
                <w:sz w:val="14"/>
              </w:rPr>
              <w:t>5 kS/s</w:t>
            </w:r>
          </w:p>
        </w:tc>
        <w:tc>
          <w:tcPr>
            <w:tcW w:type="dxa" w:w="2592"/>
            <w:vAlign w:val="center"/>
          </w:tcPr>
          <w:p>
            <w:r/>
            <w:r>
              <w:rPr>
                <w:rFonts w:ascii="Aptos" w:hAnsi="Aptos"/>
                <w:b w:val="0"/>
                <w:sz w:val="14"/>
              </w:rPr>
              <w:t>Mechanical leakage telemetry</w:t>
            </w:r>
          </w:p>
        </w:tc>
      </w:tr>
      <w:tr>
        <w:trPr>
          <w:cantSplit/>
        </w:trPr>
        <w:tc>
          <w:tcPr>
            <w:tcW w:type="dxa" w:w="792"/>
            <w:vAlign w:val="center"/>
          </w:tcPr>
          <w:p>
            <w:r/>
            <w:r>
              <w:rPr>
                <w:rFonts w:ascii="Aptos" w:hAnsi="Aptos"/>
                <w:b w:val="0"/>
                <w:sz w:val="14"/>
              </w:rPr>
              <w:t>AI3</w:t>
            </w:r>
          </w:p>
        </w:tc>
        <w:tc>
          <w:tcPr>
            <w:tcW w:type="dxa" w:w="1656"/>
            <w:vAlign w:val="center"/>
          </w:tcPr>
          <w:p>
            <w:r/>
            <w:r>
              <w:rPr>
                <w:rFonts w:ascii="Aptos" w:hAnsi="Aptos"/>
                <w:b w:val="0"/>
                <w:sz w:val="14"/>
              </w:rPr>
              <w:t>EM_IF</w:t>
            </w:r>
          </w:p>
        </w:tc>
        <w:tc>
          <w:tcPr>
            <w:tcW w:type="dxa" w:w="2160"/>
            <w:vAlign w:val="center"/>
          </w:tcPr>
          <w:p>
            <w:r/>
            <w:r>
              <w:rPr>
                <w:rFonts w:ascii="Aptos" w:hAnsi="Aptos"/>
                <w:b w:val="0"/>
                <w:sz w:val="14"/>
              </w:rPr>
              <w:t>Local EM probe</w:t>
            </w:r>
          </w:p>
        </w:tc>
        <w:tc>
          <w:tcPr>
            <w:tcW w:type="dxa" w:w="1440"/>
            <w:vAlign w:val="center"/>
          </w:tcPr>
          <w:p>
            <w:r/>
            <w:r>
              <w:rPr>
                <w:rFonts w:ascii="Aptos" w:hAnsi="Aptos"/>
                <w:b w:val="0"/>
                <w:sz w:val="14"/>
              </w:rPr>
              <w:t>±5 V</w:t>
            </w:r>
          </w:p>
        </w:tc>
        <w:tc>
          <w:tcPr>
            <w:tcW w:type="dxa" w:w="1584"/>
            <w:vAlign w:val="center"/>
          </w:tcPr>
          <w:p>
            <w:r/>
            <w:r>
              <w:rPr>
                <w:rFonts w:ascii="Aptos" w:hAnsi="Aptos"/>
                <w:b w:val="0"/>
                <w:sz w:val="14"/>
              </w:rPr>
              <w:t>100 kS/s</w:t>
            </w:r>
          </w:p>
        </w:tc>
        <w:tc>
          <w:tcPr>
            <w:tcW w:type="dxa" w:w="2592"/>
            <w:vAlign w:val="center"/>
          </w:tcPr>
          <w:p>
            <w:r/>
            <w:r>
              <w:rPr>
                <w:rFonts w:ascii="Aptos" w:hAnsi="Aptos"/>
                <w:b w:val="0"/>
                <w:sz w:val="14"/>
              </w:rPr>
              <w:t>EM leakage telemetry</w:t>
            </w:r>
          </w:p>
        </w:tc>
      </w:tr>
      <w:tr>
        <w:trPr>
          <w:cantSplit/>
        </w:trPr>
        <w:tc>
          <w:tcPr>
            <w:tcW w:type="dxa" w:w="792"/>
            <w:vAlign w:val="center"/>
          </w:tcPr>
          <w:p>
            <w:r/>
            <w:r>
              <w:rPr>
                <w:rFonts w:ascii="Aptos" w:hAnsi="Aptos"/>
                <w:b w:val="0"/>
                <w:sz w:val="14"/>
              </w:rPr>
              <w:t>AI4</w:t>
            </w:r>
          </w:p>
        </w:tc>
        <w:tc>
          <w:tcPr>
            <w:tcW w:type="dxa" w:w="1656"/>
            <w:vAlign w:val="center"/>
          </w:tcPr>
          <w:p>
            <w:r/>
            <w:r>
              <w:rPr>
                <w:rFonts w:ascii="Aptos" w:hAnsi="Aptos"/>
                <w:b w:val="0"/>
                <w:sz w:val="14"/>
              </w:rPr>
              <w:t>ACOUSTIC_IF</w:t>
            </w:r>
          </w:p>
        </w:tc>
        <w:tc>
          <w:tcPr>
            <w:tcW w:type="dxa" w:w="2160"/>
            <w:vAlign w:val="center"/>
          </w:tcPr>
          <w:p>
            <w:r/>
            <w:r>
              <w:rPr>
                <w:rFonts w:ascii="Aptos" w:hAnsi="Aptos"/>
                <w:b w:val="0"/>
                <w:sz w:val="14"/>
              </w:rPr>
              <w:t>Acoustic monitor</w:t>
            </w:r>
          </w:p>
        </w:tc>
        <w:tc>
          <w:tcPr>
            <w:tcW w:type="dxa" w:w="1440"/>
            <w:vAlign w:val="center"/>
          </w:tcPr>
          <w:p>
            <w:r/>
            <w:r>
              <w:rPr>
                <w:rFonts w:ascii="Aptos" w:hAnsi="Aptos"/>
                <w:b w:val="0"/>
                <w:sz w:val="14"/>
              </w:rPr>
              <w:t>±5 V</w:t>
            </w:r>
          </w:p>
        </w:tc>
        <w:tc>
          <w:tcPr>
            <w:tcW w:type="dxa" w:w="1584"/>
            <w:vAlign w:val="center"/>
          </w:tcPr>
          <w:p>
            <w:r/>
            <w:r>
              <w:rPr>
                <w:rFonts w:ascii="Aptos" w:hAnsi="Aptos"/>
                <w:b w:val="0"/>
                <w:sz w:val="14"/>
              </w:rPr>
              <w:t>48 kS/s</w:t>
            </w:r>
          </w:p>
        </w:tc>
        <w:tc>
          <w:tcPr>
            <w:tcW w:type="dxa" w:w="2592"/>
            <w:vAlign w:val="center"/>
          </w:tcPr>
          <w:p>
            <w:r/>
            <w:r>
              <w:rPr>
                <w:rFonts w:ascii="Aptos" w:hAnsi="Aptos"/>
                <w:b w:val="0"/>
                <w:sz w:val="14"/>
              </w:rPr>
              <w:t>Acoustic leakage telemetry</w:t>
            </w:r>
          </w:p>
        </w:tc>
      </w:tr>
      <w:tr>
        <w:trPr>
          <w:cantSplit/>
        </w:trPr>
        <w:tc>
          <w:tcPr>
            <w:tcW w:type="dxa" w:w="792"/>
            <w:vAlign w:val="center"/>
          </w:tcPr>
          <w:p>
            <w:r/>
            <w:r>
              <w:rPr>
                <w:rFonts w:ascii="Aptos" w:hAnsi="Aptos"/>
                <w:b w:val="0"/>
                <w:sz w:val="14"/>
              </w:rPr>
              <w:t>AI5</w:t>
            </w:r>
          </w:p>
        </w:tc>
        <w:tc>
          <w:tcPr>
            <w:tcW w:type="dxa" w:w="1656"/>
            <w:vAlign w:val="center"/>
          </w:tcPr>
          <w:p>
            <w:r/>
            <w:r>
              <w:rPr>
                <w:rFonts w:ascii="Aptos" w:hAnsi="Aptos"/>
                <w:b w:val="0"/>
                <w:sz w:val="14"/>
              </w:rPr>
              <w:t>OPTICAL_IF</w:t>
            </w:r>
          </w:p>
        </w:tc>
        <w:tc>
          <w:tcPr>
            <w:tcW w:type="dxa" w:w="2160"/>
            <w:vAlign w:val="center"/>
          </w:tcPr>
          <w:p>
            <w:r/>
            <w:r>
              <w:rPr>
                <w:rFonts w:ascii="Aptos" w:hAnsi="Aptos"/>
                <w:b w:val="0"/>
                <w:sz w:val="14"/>
              </w:rPr>
              <w:t>Optical monitor</w:t>
            </w:r>
          </w:p>
        </w:tc>
        <w:tc>
          <w:tcPr>
            <w:tcW w:type="dxa" w:w="1440"/>
            <w:vAlign w:val="center"/>
          </w:tcPr>
          <w:p>
            <w:r/>
            <w:r>
              <w:rPr>
                <w:rFonts w:ascii="Aptos" w:hAnsi="Aptos"/>
                <w:b w:val="0"/>
                <w:sz w:val="14"/>
              </w:rPr>
              <w:t>0-5 V</w:t>
            </w:r>
          </w:p>
        </w:tc>
        <w:tc>
          <w:tcPr>
            <w:tcW w:type="dxa" w:w="1584"/>
            <w:vAlign w:val="center"/>
          </w:tcPr>
          <w:p>
            <w:r/>
            <w:r>
              <w:rPr>
                <w:rFonts w:ascii="Aptos" w:hAnsi="Aptos"/>
                <w:b w:val="0"/>
                <w:sz w:val="14"/>
              </w:rPr>
              <w:t>1 kS/s</w:t>
            </w:r>
          </w:p>
        </w:tc>
        <w:tc>
          <w:tcPr>
            <w:tcW w:type="dxa" w:w="2592"/>
            <w:vAlign w:val="center"/>
          </w:tcPr>
          <w:p>
            <w:r/>
            <w:r>
              <w:rPr>
                <w:rFonts w:ascii="Aptos" w:hAnsi="Aptos"/>
                <w:b w:val="0"/>
                <w:sz w:val="14"/>
              </w:rPr>
              <w:t>Optical leakage telemetry</w:t>
            </w:r>
          </w:p>
        </w:tc>
      </w:tr>
      <w:tr>
        <w:trPr>
          <w:cantSplit/>
        </w:trPr>
        <w:tc>
          <w:tcPr>
            <w:tcW w:type="dxa" w:w="792"/>
            <w:vAlign w:val="center"/>
          </w:tcPr>
          <w:p>
            <w:r/>
            <w:r>
              <w:rPr>
                <w:rFonts w:ascii="Aptos" w:hAnsi="Aptos"/>
                <w:b w:val="0"/>
                <w:sz w:val="14"/>
              </w:rPr>
              <w:t>AI6</w:t>
            </w:r>
          </w:p>
        </w:tc>
        <w:tc>
          <w:tcPr>
            <w:tcW w:type="dxa" w:w="1656"/>
            <w:vAlign w:val="center"/>
          </w:tcPr>
          <w:p>
            <w:r/>
            <w:r>
              <w:rPr>
                <w:rFonts w:ascii="Aptos" w:hAnsi="Aptos"/>
                <w:b w:val="0"/>
                <w:sz w:val="14"/>
              </w:rPr>
              <w:t>TX_CURRENT_MON</w:t>
            </w:r>
          </w:p>
        </w:tc>
        <w:tc>
          <w:tcPr>
            <w:tcW w:type="dxa" w:w="2160"/>
            <w:vAlign w:val="center"/>
          </w:tcPr>
          <w:p>
            <w:r/>
            <w:r>
              <w:rPr>
                <w:rFonts w:ascii="Aptos" w:hAnsi="Aptos"/>
                <w:b w:val="0"/>
                <w:sz w:val="14"/>
              </w:rPr>
              <w:t>Isolated TX current proxy</w:t>
            </w:r>
          </w:p>
        </w:tc>
        <w:tc>
          <w:tcPr>
            <w:tcW w:type="dxa" w:w="1440"/>
            <w:vAlign w:val="center"/>
          </w:tcPr>
          <w:p>
            <w:r/>
            <w:r>
              <w:rPr>
                <w:rFonts w:ascii="Aptos" w:hAnsi="Aptos"/>
                <w:b w:val="0"/>
                <w:sz w:val="14"/>
              </w:rPr>
              <w:t>±5 V</w:t>
            </w:r>
          </w:p>
        </w:tc>
        <w:tc>
          <w:tcPr>
            <w:tcW w:type="dxa" w:w="1584"/>
            <w:vAlign w:val="center"/>
          </w:tcPr>
          <w:p>
            <w:r/>
            <w:r>
              <w:rPr>
                <w:rFonts w:ascii="Aptos" w:hAnsi="Aptos"/>
                <w:b w:val="0"/>
                <w:sz w:val="14"/>
              </w:rPr>
              <w:t>10 kS/s</w:t>
            </w:r>
          </w:p>
        </w:tc>
        <w:tc>
          <w:tcPr>
            <w:tcW w:type="dxa" w:w="2592"/>
            <w:vAlign w:val="center"/>
          </w:tcPr>
          <w:p>
            <w:r/>
            <w:r>
              <w:rPr>
                <w:rFonts w:ascii="Aptos" w:hAnsi="Aptos"/>
                <w:b w:val="0"/>
                <w:sz w:val="14"/>
              </w:rPr>
              <w:t>Physical TX telemetry</w:t>
            </w:r>
          </w:p>
        </w:tc>
      </w:tr>
      <w:tr>
        <w:trPr>
          <w:cantSplit/>
        </w:trPr>
        <w:tc>
          <w:tcPr>
            <w:tcW w:type="dxa" w:w="792"/>
            <w:vAlign w:val="center"/>
          </w:tcPr>
          <w:p>
            <w:r/>
            <w:r>
              <w:rPr>
                <w:rFonts w:ascii="Aptos" w:hAnsi="Aptos"/>
                <w:b w:val="0"/>
                <w:sz w:val="14"/>
              </w:rPr>
              <w:t>AI7</w:t>
            </w:r>
          </w:p>
        </w:tc>
        <w:tc>
          <w:tcPr>
            <w:tcW w:type="dxa" w:w="1656"/>
            <w:vAlign w:val="center"/>
          </w:tcPr>
          <w:p>
            <w:r/>
            <w:r>
              <w:rPr>
                <w:rFonts w:ascii="Aptos" w:hAnsi="Aptos"/>
                <w:b w:val="0"/>
                <w:sz w:val="14"/>
              </w:rPr>
              <w:t>POWER_MON</w:t>
            </w:r>
          </w:p>
        </w:tc>
        <w:tc>
          <w:tcPr>
            <w:tcW w:type="dxa" w:w="2160"/>
            <w:vAlign w:val="center"/>
          </w:tcPr>
          <w:p>
            <w:r/>
            <w:r>
              <w:rPr>
                <w:rFonts w:ascii="Aptos" w:hAnsi="Aptos"/>
                <w:b w:val="0"/>
                <w:sz w:val="14"/>
              </w:rPr>
              <w:t>Isolated power monitor</w:t>
            </w:r>
          </w:p>
        </w:tc>
        <w:tc>
          <w:tcPr>
            <w:tcW w:type="dxa" w:w="1440"/>
            <w:vAlign w:val="center"/>
          </w:tcPr>
          <w:p>
            <w:r/>
            <w:r>
              <w:rPr>
                <w:rFonts w:ascii="Aptos" w:hAnsi="Aptos"/>
                <w:b w:val="0"/>
                <w:sz w:val="14"/>
              </w:rPr>
              <w:t>±5 V</w:t>
            </w:r>
          </w:p>
        </w:tc>
        <w:tc>
          <w:tcPr>
            <w:tcW w:type="dxa" w:w="1584"/>
            <w:vAlign w:val="center"/>
          </w:tcPr>
          <w:p>
            <w:r/>
            <w:r>
              <w:rPr>
                <w:rFonts w:ascii="Aptos" w:hAnsi="Aptos"/>
                <w:b w:val="0"/>
                <w:sz w:val="14"/>
              </w:rPr>
              <w:t>5 kS/s</w:t>
            </w:r>
          </w:p>
        </w:tc>
        <w:tc>
          <w:tcPr>
            <w:tcW w:type="dxa" w:w="2592"/>
            <w:vAlign w:val="center"/>
          </w:tcPr>
          <w:p>
            <w:r/>
            <w:r>
              <w:rPr>
                <w:rFonts w:ascii="Aptos" w:hAnsi="Aptos"/>
                <w:b w:val="0"/>
                <w:sz w:val="14"/>
              </w:rPr>
              <w:t>Shared-power coupling telemetry</w:t>
            </w:r>
          </w:p>
        </w:tc>
      </w:tr>
      <w:tr>
        <w:trPr>
          <w:cantSplit/>
        </w:trPr>
        <w:tc>
          <w:tcPr>
            <w:tcW w:type="dxa" w:w="792"/>
            <w:vAlign w:val="center"/>
          </w:tcPr>
          <w:p>
            <w:r/>
            <w:r>
              <w:rPr>
                <w:rFonts w:ascii="Aptos" w:hAnsi="Aptos"/>
                <w:b w:val="0"/>
                <w:sz w:val="14"/>
              </w:rPr>
              <w:t>AI8</w:t>
            </w:r>
          </w:p>
        </w:tc>
        <w:tc>
          <w:tcPr>
            <w:tcW w:type="dxa" w:w="1656"/>
            <w:vAlign w:val="center"/>
          </w:tcPr>
          <w:p>
            <w:r/>
            <w:r>
              <w:rPr>
                <w:rFonts w:ascii="Aptos" w:hAnsi="Aptos"/>
                <w:b w:val="0"/>
                <w:sz w:val="14"/>
              </w:rPr>
              <w:t>FLOW_PRESS</w:t>
            </w:r>
          </w:p>
        </w:tc>
        <w:tc>
          <w:tcPr>
            <w:tcW w:type="dxa" w:w="2160"/>
            <w:vAlign w:val="center"/>
          </w:tcPr>
          <w:p>
            <w:r/>
            <w:r>
              <w:rPr>
                <w:rFonts w:ascii="Aptos" w:hAnsi="Aptos"/>
                <w:b w:val="0"/>
                <w:sz w:val="14"/>
              </w:rPr>
              <w:t>Flow / pressure</w:t>
            </w:r>
          </w:p>
        </w:tc>
        <w:tc>
          <w:tcPr>
            <w:tcW w:type="dxa" w:w="1440"/>
            <w:vAlign w:val="center"/>
          </w:tcPr>
          <w:p>
            <w:r/>
            <w:r>
              <w:rPr>
                <w:rFonts w:ascii="Aptos" w:hAnsi="Aptos"/>
                <w:b w:val="0"/>
                <w:sz w:val="14"/>
              </w:rPr>
              <w:t>0-5 V</w:t>
            </w:r>
          </w:p>
        </w:tc>
        <w:tc>
          <w:tcPr>
            <w:tcW w:type="dxa" w:w="1584"/>
            <w:vAlign w:val="center"/>
          </w:tcPr>
          <w:p>
            <w:r/>
            <w:r>
              <w:rPr>
                <w:rFonts w:ascii="Aptos" w:hAnsi="Aptos"/>
                <w:b w:val="0"/>
                <w:sz w:val="14"/>
              </w:rPr>
              <w:t>1 kS/s</w:t>
            </w:r>
          </w:p>
        </w:tc>
        <w:tc>
          <w:tcPr>
            <w:tcW w:type="dxa" w:w="2592"/>
            <w:vAlign w:val="center"/>
          </w:tcPr>
          <w:p>
            <w:r/>
            <w:r>
              <w:rPr>
                <w:rFonts w:ascii="Aptos" w:hAnsi="Aptos"/>
                <w:b w:val="0"/>
                <w:sz w:val="14"/>
              </w:rPr>
              <w:t>Fluidic-state telemetry</w:t>
            </w:r>
          </w:p>
        </w:tc>
      </w:tr>
      <w:tr>
        <w:trPr>
          <w:cantSplit/>
        </w:trPr>
        <w:tc>
          <w:tcPr>
            <w:tcW w:type="dxa" w:w="792"/>
            <w:vAlign w:val="center"/>
          </w:tcPr>
          <w:p>
            <w:r/>
            <w:r>
              <w:rPr>
                <w:rFonts w:ascii="Aptos" w:hAnsi="Aptos"/>
                <w:b w:val="0"/>
                <w:sz w:val="14"/>
              </w:rPr>
              <w:t>AI9</w:t>
            </w:r>
          </w:p>
        </w:tc>
        <w:tc>
          <w:tcPr>
            <w:tcW w:type="dxa" w:w="1656"/>
            <w:vAlign w:val="center"/>
          </w:tcPr>
          <w:p>
            <w:r/>
            <w:r>
              <w:rPr>
                <w:rFonts w:ascii="Aptos" w:hAnsi="Aptos"/>
                <w:b w:val="0"/>
                <w:sz w:val="14"/>
              </w:rPr>
              <w:t>REF_DUMMY</w:t>
            </w:r>
          </w:p>
        </w:tc>
        <w:tc>
          <w:tcPr>
            <w:tcW w:type="dxa" w:w="2160"/>
            <w:vAlign w:val="center"/>
          </w:tcPr>
          <w:p>
            <w:r/>
            <w:r>
              <w:rPr>
                <w:rFonts w:ascii="Aptos" w:hAnsi="Aptos"/>
                <w:b w:val="0"/>
                <w:sz w:val="14"/>
              </w:rPr>
              <w:t>Dummy sensor channel</w:t>
            </w:r>
          </w:p>
        </w:tc>
        <w:tc>
          <w:tcPr>
            <w:tcW w:type="dxa" w:w="1440"/>
            <w:vAlign w:val="center"/>
          </w:tcPr>
          <w:p>
            <w:r/>
            <w:r>
              <w:rPr>
                <w:rFonts w:ascii="Aptos" w:hAnsi="Aptos"/>
                <w:b w:val="0"/>
                <w:sz w:val="14"/>
              </w:rPr>
              <w:t>±1 V</w:t>
            </w:r>
          </w:p>
        </w:tc>
        <w:tc>
          <w:tcPr>
            <w:tcW w:type="dxa" w:w="1584"/>
            <w:vAlign w:val="center"/>
          </w:tcPr>
          <w:p>
            <w:r/>
            <w:r>
              <w:rPr>
                <w:rFonts w:ascii="Aptos" w:hAnsi="Aptos"/>
                <w:b w:val="0"/>
                <w:sz w:val="14"/>
              </w:rPr>
              <w:t>Match AI0</w:t>
            </w:r>
          </w:p>
        </w:tc>
        <w:tc>
          <w:tcPr>
            <w:tcW w:type="dxa" w:w="2592"/>
            <w:vAlign w:val="center"/>
          </w:tcPr>
          <w:p>
            <w:r/>
            <w:r>
              <w:rPr>
                <w:rFonts w:ascii="Aptos" w:hAnsi="Aptos"/>
                <w:b w:val="0"/>
                <w:sz w:val="14"/>
              </w:rPr>
              <w:t>Common-mode / pipeline control</w:t>
            </w:r>
          </w:p>
        </w:tc>
      </w:tr>
      <w:tr>
        <w:trPr>
          <w:cantSplit/>
        </w:trPr>
        <w:tc>
          <w:tcPr>
            <w:tcW w:type="dxa" w:w="792"/>
            <w:vAlign w:val="center"/>
          </w:tcPr>
          <w:p>
            <w:r/>
            <w:r>
              <w:rPr>
                <w:rFonts w:ascii="Aptos" w:hAnsi="Aptos"/>
                <w:b w:val="0"/>
                <w:sz w:val="14"/>
              </w:rPr>
              <w:t>DI0</w:t>
            </w:r>
          </w:p>
        </w:tc>
        <w:tc>
          <w:tcPr>
            <w:tcW w:type="dxa" w:w="1656"/>
            <w:vAlign w:val="center"/>
          </w:tcPr>
          <w:p>
            <w:r/>
            <w:r>
              <w:rPr>
                <w:rFonts w:ascii="Aptos" w:hAnsi="Aptos"/>
                <w:b w:val="0"/>
                <w:sz w:val="14"/>
              </w:rPr>
              <w:t>TRIAL_ARM</w:t>
            </w:r>
          </w:p>
        </w:tc>
        <w:tc>
          <w:tcPr>
            <w:tcW w:type="dxa" w:w="2160"/>
            <w:vAlign w:val="center"/>
          </w:tcPr>
          <w:p>
            <w:r/>
            <w:r>
              <w:rPr>
                <w:rFonts w:ascii="Aptos" w:hAnsi="Aptos"/>
                <w:b w:val="0"/>
                <w:sz w:val="14"/>
              </w:rPr>
              <w:t>Local state marker</w:t>
            </w:r>
          </w:p>
        </w:tc>
        <w:tc>
          <w:tcPr>
            <w:tcW w:type="dxa" w:w="1440"/>
            <w:vAlign w:val="center"/>
          </w:tcPr>
          <w:p>
            <w:r/>
            <w:r>
              <w:rPr>
                <w:rFonts w:ascii="Aptos" w:hAnsi="Aptos"/>
                <w:b w:val="0"/>
                <w:sz w:val="14"/>
              </w:rPr>
              <w:t>TTL</w:t>
            </w:r>
          </w:p>
        </w:tc>
        <w:tc>
          <w:tcPr>
            <w:tcW w:type="dxa" w:w="1584"/>
            <w:vAlign w:val="center"/>
          </w:tcPr>
          <w:p>
            <w:r/>
            <w:r>
              <w:rPr>
                <w:rFonts w:ascii="Aptos" w:hAnsi="Aptos"/>
                <w:b w:val="0"/>
                <w:sz w:val="14"/>
              </w:rPr>
              <w:t>Event</w:t>
            </w:r>
          </w:p>
        </w:tc>
        <w:tc>
          <w:tcPr>
            <w:tcW w:type="dxa" w:w="2592"/>
            <w:vAlign w:val="center"/>
          </w:tcPr>
          <w:p>
            <w:r/>
            <w:r>
              <w:rPr>
                <w:rFonts w:ascii="Aptos" w:hAnsi="Aptos"/>
                <w:b w:val="0"/>
                <w:sz w:val="14"/>
              </w:rPr>
              <w:t>Trial state</w:t>
            </w:r>
          </w:p>
        </w:tc>
      </w:tr>
      <w:tr>
        <w:trPr>
          <w:cantSplit/>
        </w:trPr>
        <w:tc>
          <w:tcPr>
            <w:tcW w:type="dxa" w:w="792"/>
            <w:vAlign w:val="center"/>
          </w:tcPr>
          <w:p>
            <w:r/>
            <w:r>
              <w:rPr>
                <w:rFonts w:ascii="Aptos" w:hAnsi="Aptos"/>
                <w:b w:val="0"/>
                <w:sz w:val="14"/>
              </w:rPr>
              <w:t>DI1</w:t>
            </w:r>
          </w:p>
        </w:tc>
        <w:tc>
          <w:tcPr>
            <w:tcW w:type="dxa" w:w="1656"/>
            <w:vAlign w:val="center"/>
          </w:tcPr>
          <w:p>
            <w:r/>
            <w:r>
              <w:rPr>
                <w:rFonts w:ascii="Aptos" w:hAnsi="Aptos"/>
                <w:b w:val="0"/>
                <w:sz w:val="14"/>
              </w:rPr>
              <w:t>TX_ACTIVE</w:t>
            </w:r>
          </w:p>
        </w:tc>
        <w:tc>
          <w:tcPr>
            <w:tcW w:type="dxa" w:w="2160"/>
            <w:vAlign w:val="center"/>
          </w:tcPr>
          <w:p>
            <w:r/>
            <w:r>
              <w:rPr>
                <w:rFonts w:ascii="Aptos" w:hAnsi="Aptos"/>
                <w:b w:val="0"/>
                <w:sz w:val="14"/>
              </w:rPr>
              <w:t>TX active marker</w:t>
            </w:r>
          </w:p>
        </w:tc>
        <w:tc>
          <w:tcPr>
            <w:tcW w:type="dxa" w:w="1440"/>
            <w:vAlign w:val="center"/>
          </w:tcPr>
          <w:p>
            <w:r/>
            <w:r>
              <w:rPr>
                <w:rFonts w:ascii="Aptos" w:hAnsi="Aptos"/>
                <w:b w:val="0"/>
                <w:sz w:val="14"/>
              </w:rPr>
              <w:t>TTL</w:t>
            </w:r>
          </w:p>
        </w:tc>
        <w:tc>
          <w:tcPr>
            <w:tcW w:type="dxa" w:w="1584"/>
            <w:vAlign w:val="center"/>
          </w:tcPr>
          <w:p>
            <w:r/>
            <w:r>
              <w:rPr>
                <w:rFonts w:ascii="Aptos" w:hAnsi="Aptos"/>
                <w:b w:val="0"/>
                <w:sz w:val="14"/>
              </w:rPr>
              <w:t>Event</w:t>
            </w:r>
          </w:p>
        </w:tc>
        <w:tc>
          <w:tcPr>
            <w:tcW w:type="dxa" w:w="2592"/>
            <w:vAlign w:val="center"/>
          </w:tcPr>
          <w:p>
            <w:r/>
            <w:r>
              <w:rPr>
                <w:rFonts w:ascii="Aptos" w:hAnsi="Aptos"/>
                <w:b w:val="0"/>
                <w:sz w:val="14"/>
              </w:rPr>
              <w:t>Physical timing only</w:t>
            </w:r>
          </w:p>
        </w:tc>
      </w:tr>
      <w:tr>
        <w:trPr>
          <w:cantSplit/>
        </w:trPr>
        <w:tc>
          <w:tcPr>
            <w:tcW w:type="dxa" w:w="792"/>
            <w:vAlign w:val="center"/>
          </w:tcPr>
          <w:p>
            <w:r/>
            <w:r>
              <w:rPr>
                <w:rFonts w:ascii="Aptos" w:hAnsi="Aptos"/>
                <w:b w:val="0"/>
                <w:sz w:val="14"/>
              </w:rPr>
              <w:t>DI2</w:t>
            </w:r>
          </w:p>
        </w:tc>
        <w:tc>
          <w:tcPr>
            <w:tcW w:type="dxa" w:w="1656"/>
            <w:vAlign w:val="center"/>
          </w:tcPr>
          <w:p>
            <w:r/>
            <w:r>
              <w:rPr>
                <w:rFonts w:ascii="Aptos" w:hAnsi="Aptos"/>
                <w:b w:val="0"/>
                <w:sz w:val="14"/>
              </w:rPr>
              <w:t>CLOSE_MARK</w:t>
            </w:r>
          </w:p>
        </w:tc>
        <w:tc>
          <w:tcPr>
            <w:tcW w:type="dxa" w:w="2160"/>
            <w:vAlign w:val="center"/>
          </w:tcPr>
          <w:p>
            <w:r/>
            <w:r>
              <w:rPr>
                <w:rFonts w:ascii="Aptos" w:hAnsi="Aptos"/>
                <w:b w:val="0"/>
                <w:sz w:val="14"/>
              </w:rPr>
              <w:t>Capture close marker</w:t>
            </w:r>
          </w:p>
        </w:tc>
        <w:tc>
          <w:tcPr>
            <w:tcW w:type="dxa" w:w="1440"/>
            <w:vAlign w:val="center"/>
          </w:tcPr>
          <w:p>
            <w:r/>
            <w:r>
              <w:rPr>
                <w:rFonts w:ascii="Aptos" w:hAnsi="Aptos"/>
                <w:b w:val="0"/>
                <w:sz w:val="14"/>
              </w:rPr>
              <w:t>TTL</w:t>
            </w:r>
          </w:p>
        </w:tc>
        <w:tc>
          <w:tcPr>
            <w:tcW w:type="dxa" w:w="1584"/>
            <w:vAlign w:val="center"/>
          </w:tcPr>
          <w:p>
            <w:r/>
            <w:r>
              <w:rPr>
                <w:rFonts w:ascii="Aptos" w:hAnsi="Aptos"/>
                <w:b w:val="0"/>
                <w:sz w:val="14"/>
              </w:rPr>
              <w:t>Event</w:t>
            </w:r>
          </w:p>
        </w:tc>
        <w:tc>
          <w:tcPr>
            <w:tcW w:type="dxa" w:w="2592"/>
            <w:vAlign w:val="center"/>
          </w:tcPr>
          <w:p>
            <w:r/>
            <w:r>
              <w:rPr>
                <w:rFonts w:ascii="Aptos" w:hAnsi="Aptos"/>
                <w:b w:val="0"/>
                <w:sz w:val="14"/>
              </w:rPr>
              <w:t>Scoring boundary</w:t>
            </w:r>
          </w:p>
        </w:tc>
      </w:tr>
      <w:tr>
        <w:trPr>
          <w:cantSplit/>
        </w:trPr>
        <w:tc>
          <w:tcPr>
            <w:tcW w:type="dxa" w:w="792"/>
            <w:vAlign w:val="center"/>
          </w:tcPr>
          <w:p>
            <w:r/>
            <w:r>
              <w:rPr>
                <w:rFonts w:ascii="Aptos" w:hAnsi="Aptos"/>
                <w:b w:val="0"/>
                <w:sz w:val="14"/>
              </w:rPr>
              <w:t>DO0</w:t>
            </w:r>
          </w:p>
        </w:tc>
        <w:tc>
          <w:tcPr>
            <w:tcW w:type="dxa" w:w="1656"/>
            <w:vAlign w:val="center"/>
          </w:tcPr>
          <w:p>
            <w:r/>
            <w:r>
              <w:rPr>
                <w:rFonts w:ascii="Aptos" w:hAnsi="Aptos"/>
                <w:b w:val="0"/>
                <w:sz w:val="14"/>
              </w:rPr>
              <w:t>LOCAL_TEST</w:t>
            </w:r>
          </w:p>
        </w:tc>
        <w:tc>
          <w:tcPr>
            <w:tcW w:type="dxa" w:w="2160"/>
            <w:vAlign w:val="center"/>
          </w:tcPr>
          <w:p>
            <w:r/>
            <w:r>
              <w:rPr>
                <w:rFonts w:ascii="Aptos" w:hAnsi="Aptos"/>
                <w:b w:val="0"/>
                <w:sz w:val="14"/>
              </w:rPr>
              <w:t>DAQ loopback/calibration</w:t>
            </w:r>
          </w:p>
        </w:tc>
        <w:tc>
          <w:tcPr>
            <w:tcW w:type="dxa" w:w="1440"/>
            <w:vAlign w:val="center"/>
          </w:tcPr>
          <w:p>
            <w:r/>
            <w:r>
              <w:rPr>
                <w:rFonts w:ascii="Aptos" w:hAnsi="Aptos"/>
                <w:b w:val="0"/>
                <w:sz w:val="14"/>
              </w:rPr>
              <w:t>TTL</w:t>
            </w:r>
          </w:p>
        </w:tc>
        <w:tc>
          <w:tcPr>
            <w:tcW w:type="dxa" w:w="1584"/>
            <w:vAlign w:val="center"/>
          </w:tcPr>
          <w:p>
            <w:r/>
            <w:r>
              <w:rPr>
                <w:rFonts w:ascii="Aptos" w:hAnsi="Aptos"/>
                <w:b w:val="0"/>
                <w:sz w:val="14"/>
              </w:rPr>
              <w:t>Event</w:t>
            </w:r>
          </w:p>
        </w:tc>
        <w:tc>
          <w:tcPr>
            <w:tcW w:type="dxa" w:w="2592"/>
            <w:vAlign w:val="center"/>
          </w:tcPr>
          <w:p>
            <w:r/>
            <w:r>
              <w:rPr>
                <w:rFonts w:ascii="Aptos" w:hAnsi="Aptos"/>
                <w:b w:val="0"/>
                <w:sz w:val="14"/>
              </w:rPr>
              <w:t>Calibration only; disabled in campaigns</w:t>
            </w:r>
          </w:p>
        </w:tc>
      </w:tr>
    </w:tbl>
    <w:p>
      <w:pPr>
        <w:spacing w:after="40"/>
      </w:pPr>
    </w:p>
    <w:p>
      <w:pPr>
        <w:spacing w:after="100" w:line="247" w:lineRule="auto"/>
      </w:pPr>
      <w:r>
        <w:rPr>
          <w:rFonts w:ascii="Aptos" w:hAnsi="Aptos"/>
          <w:b w:val="0"/>
          <w:i w:val="0"/>
          <w:sz w:val="19"/>
        </w:rPr>
        <w:t>The primary receiver and dummy receiver should use comparable analog conditioning so software or common-mode artifacts can be detected without assuming that only the primary sensor is affected.</w:t>
      </w:r>
    </w:p>
    <w:p>
      <w:pPr>
        <w:pStyle w:val="Heading1"/>
        <w:keepNext/>
      </w:pPr>
      <w:r>
        <w:t>7. Environmental Telemetry Channel List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D9EAF7"/>
          </w:tcPr>
          <w:p>
            <w:r/>
            <w:r>
              <w:rPr>
                <w:rFonts w:ascii="Aptos" w:hAnsi="Aptos"/>
                <w:b/>
                <w:sz w:val="15"/>
              </w:rPr>
              <w:t>Channel</w:t>
            </w:r>
          </w:p>
        </w:tc>
        <w:tc>
          <w:tcPr>
            <w:tcW w:type="dxa" w:w="3888"/>
            <w:vAlign w:val="center"/>
            <w:shd w:fill="D9EAF7"/>
          </w:tcPr>
          <w:p>
            <w:r/>
            <w:r>
              <w:rPr>
                <w:rFonts w:ascii="Aptos" w:hAnsi="Aptos"/>
                <w:b/>
                <w:sz w:val="15"/>
              </w:rPr>
              <w:t>Measurement objective</w:t>
            </w:r>
          </w:p>
        </w:tc>
        <w:tc>
          <w:tcPr>
            <w:tcW w:type="dxa" w:w="2304"/>
            <w:vAlign w:val="center"/>
            <w:shd w:fill="D9EAF7"/>
          </w:tcPr>
          <w:p>
            <w:r/>
            <w:r>
              <w:rPr>
                <w:rFonts w:ascii="Aptos" w:hAnsi="Aptos"/>
                <w:b/>
                <w:sz w:val="15"/>
              </w:rPr>
              <w:t>Location</w:t>
            </w:r>
          </w:p>
        </w:tc>
        <w:tc>
          <w:tcPr>
            <w:tcW w:type="dxa" w:w="3024"/>
            <w:vAlign w:val="center"/>
            <w:shd w:fill="D9EAF7"/>
          </w:tcPr>
          <w:p>
            <w:r/>
            <w:r>
              <w:rPr>
                <w:rFonts w:ascii="Aptos" w:hAnsi="Aptos"/>
                <w:b/>
                <w:sz w:val="15"/>
              </w:rPr>
              <w:t>Required metadata</w:t>
            </w:r>
          </w:p>
        </w:tc>
      </w:tr>
      <w:tr>
        <w:trPr>
          <w:cantSplit/>
        </w:trPr>
        <w:tc>
          <w:tcPr>
            <w:tcW w:type="dxa" w:w="1440"/>
            <w:vAlign w:val="center"/>
          </w:tcPr>
          <w:p>
            <w:r/>
            <w:r>
              <w:rPr>
                <w:rFonts w:ascii="Aptos" w:hAnsi="Aptos"/>
                <w:b w:val="0"/>
                <w:sz w:val="15"/>
              </w:rPr>
              <w:t>Temperature</w:t>
            </w:r>
          </w:p>
        </w:tc>
        <w:tc>
          <w:tcPr>
            <w:tcW w:type="dxa" w:w="3888"/>
            <w:vAlign w:val="center"/>
          </w:tcPr>
          <w:p>
            <w:r/>
            <w:r>
              <w:rPr>
                <w:rFonts w:ascii="Aptos" w:hAnsi="Aptos"/>
                <w:b w:val="0"/>
                <w:sz w:val="15"/>
              </w:rPr>
              <w:t>Detect thermal coupling and drift</w:t>
            </w:r>
          </w:p>
        </w:tc>
        <w:tc>
          <w:tcPr>
            <w:tcW w:type="dxa" w:w="2304"/>
            <w:vAlign w:val="center"/>
          </w:tcPr>
          <w:p>
            <w:r/>
            <w:r>
              <w:rPr>
                <w:rFonts w:ascii="Aptos" w:hAnsi="Aptos"/>
                <w:b w:val="0"/>
                <w:sz w:val="15"/>
              </w:rPr>
              <w:t>Interface and DAQ enclosure</w:t>
            </w:r>
          </w:p>
        </w:tc>
        <w:tc>
          <w:tcPr>
            <w:tcW w:type="dxa" w:w="3024"/>
            <w:vAlign w:val="center"/>
          </w:tcPr>
          <w:p>
            <w:r/>
            <w:r>
              <w:rPr>
                <w:rFonts w:ascii="Aptos" w:hAnsi="Aptos"/>
                <w:b w:val="0"/>
                <w:sz w:val="15"/>
              </w:rPr>
              <w:t>Serial, calibration date, units</w:t>
            </w:r>
          </w:p>
        </w:tc>
      </w:tr>
      <w:tr>
        <w:trPr>
          <w:cantSplit/>
        </w:trPr>
        <w:tc>
          <w:tcPr>
            <w:tcW w:type="dxa" w:w="1440"/>
            <w:vAlign w:val="center"/>
          </w:tcPr>
          <w:p>
            <w:r/>
            <w:r>
              <w:rPr>
                <w:rFonts w:ascii="Aptos" w:hAnsi="Aptos"/>
                <w:b w:val="0"/>
                <w:sz w:val="15"/>
              </w:rPr>
              <w:t>Vibration</w:t>
            </w:r>
          </w:p>
        </w:tc>
        <w:tc>
          <w:tcPr>
            <w:tcW w:type="dxa" w:w="3888"/>
            <w:vAlign w:val="center"/>
          </w:tcPr>
          <w:p>
            <w:r/>
            <w:r>
              <w:rPr>
                <w:rFonts w:ascii="Aptos" w:hAnsi="Aptos"/>
                <w:b w:val="0"/>
                <w:sz w:val="15"/>
              </w:rPr>
              <w:t>Detect pump/valve/mechanical timing leakage</w:t>
            </w:r>
          </w:p>
        </w:tc>
        <w:tc>
          <w:tcPr>
            <w:tcW w:type="dxa" w:w="2304"/>
            <w:vAlign w:val="center"/>
          </w:tcPr>
          <w:p>
            <w:r/>
            <w:r>
              <w:rPr>
                <w:rFonts w:ascii="Aptos" w:hAnsi="Aptos"/>
                <w:b w:val="0"/>
                <w:sz w:val="15"/>
              </w:rPr>
              <w:t>Optical table / interface enclosure</w:t>
            </w:r>
          </w:p>
        </w:tc>
        <w:tc>
          <w:tcPr>
            <w:tcW w:type="dxa" w:w="3024"/>
            <w:vAlign w:val="center"/>
          </w:tcPr>
          <w:p>
            <w:r/>
            <w:r>
              <w:rPr>
                <w:rFonts w:ascii="Aptos" w:hAnsi="Aptos"/>
                <w:b w:val="0"/>
                <w:sz w:val="15"/>
              </w:rPr>
              <w:t>Axis, bandwidth, mounting</w:t>
            </w:r>
          </w:p>
        </w:tc>
      </w:tr>
      <w:tr>
        <w:trPr>
          <w:cantSplit/>
        </w:trPr>
        <w:tc>
          <w:tcPr>
            <w:tcW w:type="dxa" w:w="1440"/>
            <w:vAlign w:val="center"/>
          </w:tcPr>
          <w:p>
            <w:r/>
            <w:r>
              <w:rPr>
                <w:rFonts w:ascii="Aptos" w:hAnsi="Aptos"/>
                <w:b w:val="0"/>
                <w:sz w:val="15"/>
              </w:rPr>
              <w:t>EM/RF</w:t>
            </w:r>
          </w:p>
        </w:tc>
        <w:tc>
          <w:tcPr>
            <w:tcW w:type="dxa" w:w="3888"/>
            <w:vAlign w:val="center"/>
          </w:tcPr>
          <w:p>
            <w:r/>
            <w:r>
              <w:rPr>
                <w:rFonts w:ascii="Aptos" w:hAnsi="Aptos"/>
                <w:b w:val="0"/>
                <w:sz w:val="15"/>
              </w:rPr>
              <w:t>Detect radiated challenge-correlated emissions</w:t>
            </w:r>
          </w:p>
        </w:tc>
        <w:tc>
          <w:tcPr>
            <w:tcW w:type="dxa" w:w="2304"/>
            <w:vAlign w:val="center"/>
          </w:tcPr>
          <w:p>
            <w:r/>
            <w:r>
              <w:rPr>
                <w:rFonts w:ascii="Aptos" w:hAnsi="Aptos"/>
                <w:b w:val="0"/>
                <w:sz w:val="15"/>
              </w:rPr>
              <w:t>Near interface and cable ingress</w:t>
            </w:r>
          </w:p>
        </w:tc>
        <w:tc>
          <w:tcPr>
            <w:tcW w:type="dxa" w:w="3024"/>
            <w:vAlign w:val="center"/>
          </w:tcPr>
          <w:p>
            <w:r/>
            <w:r>
              <w:rPr>
                <w:rFonts w:ascii="Aptos" w:hAnsi="Aptos"/>
                <w:b w:val="0"/>
                <w:sz w:val="15"/>
              </w:rPr>
              <w:t>Probe, bandwidth, gain</w:t>
            </w:r>
          </w:p>
        </w:tc>
      </w:tr>
      <w:tr>
        <w:trPr>
          <w:cantSplit/>
        </w:trPr>
        <w:tc>
          <w:tcPr>
            <w:tcW w:type="dxa" w:w="1440"/>
            <w:vAlign w:val="center"/>
          </w:tcPr>
          <w:p>
            <w:r/>
            <w:r>
              <w:rPr>
                <w:rFonts w:ascii="Aptos" w:hAnsi="Aptos"/>
                <w:b w:val="0"/>
                <w:sz w:val="15"/>
              </w:rPr>
              <w:t>Acoustic</w:t>
            </w:r>
          </w:p>
        </w:tc>
        <w:tc>
          <w:tcPr>
            <w:tcW w:type="dxa" w:w="3888"/>
            <w:vAlign w:val="center"/>
          </w:tcPr>
          <w:p>
            <w:r/>
            <w:r>
              <w:rPr>
                <w:rFonts w:ascii="Aptos" w:hAnsi="Aptos"/>
                <w:b w:val="0"/>
                <w:sz w:val="15"/>
              </w:rPr>
              <w:t>Detect audible/ultrasonic actuation patterns</w:t>
            </w:r>
          </w:p>
        </w:tc>
        <w:tc>
          <w:tcPr>
            <w:tcW w:type="dxa" w:w="2304"/>
            <w:vAlign w:val="center"/>
          </w:tcPr>
          <w:p>
            <w:r/>
            <w:r>
              <w:rPr>
                <w:rFonts w:ascii="Aptos" w:hAnsi="Aptos"/>
                <w:b w:val="0"/>
                <w:sz w:val="15"/>
              </w:rPr>
              <w:t>Zone B enclosure</w:t>
            </w:r>
          </w:p>
        </w:tc>
        <w:tc>
          <w:tcPr>
            <w:tcW w:type="dxa" w:w="3024"/>
            <w:vAlign w:val="center"/>
          </w:tcPr>
          <w:p>
            <w:r/>
            <w:r>
              <w:rPr>
                <w:rFonts w:ascii="Aptos" w:hAnsi="Aptos"/>
                <w:b w:val="0"/>
                <w:sz w:val="15"/>
              </w:rPr>
              <w:t>Sensor type, bandwidth</w:t>
            </w:r>
          </w:p>
        </w:tc>
      </w:tr>
      <w:tr>
        <w:trPr>
          <w:cantSplit/>
        </w:trPr>
        <w:tc>
          <w:tcPr>
            <w:tcW w:type="dxa" w:w="1440"/>
            <w:vAlign w:val="center"/>
          </w:tcPr>
          <w:p>
            <w:r/>
            <w:r>
              <w:rPr>
                <w:rFonts w:ascii="Aptos" w:hAnsi="Aptos"/>
                <w:b w:val="0"/>
                <w:sz w:val="15"/>
              </w:rPr>
              <w:t>Optical</w:t>
            </w:r>
          </w:p>
        </w:tc>
        <w:tc>
          <w:tcPr>
            <w:tcW w:type="dxa" w:w="3888"/>
            <w:vAlign w:val="center"/>
          </w:tcPr>
          <w:p>
            <w:r/>
            <w:r>
              <w:rPr>
                <w:rFonts w:ascii="Aptos" w:hAnsi="Aptos"/>
                <w:b w:val="0"/>
                <w:sz w:val="15"/>
              </w:rPr>
              <w:t>Detect LEDs/display/optical leakage</w:t>
            </w:r>
          </w:p>
        </w:tc>
        <w:tc>
          <w:tcPr>
            <w:tcW w:type="dxa" w:w="2304"/>
            <w:vAlign w:val="center"/>
          </w:tcPr>
          <w:p>
            <w:r/>
            <w:r>
              <w:rPr>
                <w:rFonts w:ascii="Aptos" w:hAnsi="Aptos"/>
                <w:b w:val="0"/>
                <w:sz w:val="15"/>
              </w:rPr>
              <w:t>Dark enclosure where practical</w:t>
            </w:r>
          </w:p>
        </w:tc>
        <w:tc>
          <w:tcPr>
            <w:tcW w:type="dxa" w:w="3024"/>
            <w:vAlign w:val="center"/>
          </w:tcPr>
          <w:p>
            <w:r/>
            <w:r>
              <w:rPr>
                <w:rFonts w:ascii="Aptos" w:hAnsi="Aptos"/>
                <w:b w:val="0"/>
                <w:sz w:val="15"/>
              </w:rPr>
              <w:t>Wavelength sensitivity</w:t>
            </w:r>
          </w:p>
        </w:tc>
      </w:tr>
      <w:tr>
        <w:trPr>
          <w:cantSplit/>
        </w:trPr>
        <w:tc>
          <w:tcPr>
            <w:tcW w:type="dxa" w:w="1440"/>
            <w:vAlign w:val="center"/>
          </w:tcPr>
          <w:p>
            <w:r/>
            <w:r>
              <w:rPr>
                <w:rFonts w:ascii="Aptos" w:hAnsi="Aptos"/>
                <w:b w:val="0"/>
                <w:sz w:val="15"/>
              </w:rPr>
              <w:t>Power/current</w:t>
            </w:r>
          </w:p>
        </w:tc>
        <w:tc>
          <w:tcPr>
            <w:tcW w:type="dxa" w:w="3888"/>
            <w:vAlign w:val="center"/>
          </w:tcPr>
          <w:p>
            <w:r/>
            <w:r>
              <w:rPr>
                <w:rFonts w:ascii="Aptos" w:hAnsi="Aptos"/>
                <w:b w:val="0"/>
                <w:sz w:val="15"/>
              </w:rPr>
              <w:t>Detect challenge-correlated power signatures</w:t>
            </w:r>
          </w:p>
        </w:tc>
        <w:tc>
          <w:tcPr>
            <w:tcW w:type="dxa" w:w="2304"/>
            <w:vAlign w:val="center"/>
          </w:tcPr>
          <w:p>
            <w:r/>
            <w:r>
              <w:rPr>
                <w:rFonts w:ascii="Aptos" w:hAnsi="Aptos"/>
                <w:b w:val="0"/>
                <w:sz w:val="15"/>
              </w:rPr>
              <w:t>Zone A/shared supply points</w:t>
            </w:r>
          </w:p>
        </w:tc>
        <w:tc>
          <w:tcPr>
            <w:tcW w:type="dxa" w:w="3024"/>
            <w:vAlign w:val="center"/>
          </w:tcPr>
          <w:p>
            <w:r/>
            <w:r>
              <w:rPr>
                <w:rFonts w:ascii="Aptos" w:hAnsi="Aptos"/>
                <w:b w:val="0"/>
                <w:sz w:val="15"/>
              </w:rPr>
              <w:t>Isolation method, CT/shunt spec</w:t>
            </w:r>
          </w:p>
        </w:tc>
      </w:tr>
      <w:tr>
        <w:trPr>
          <w:cantSplit/>
        </w:trPr>
        <w:tc>
          <w:tcPr>
            <w:tcW w:type="dxa" w:w="1440"/>
            <w:vAlign w:val="center"/>
          </w:tcPr>
          <w:p>
            <w:r/>
            <w:r>
              <w:rPr>
                <w:rFonts w:ascii="Aptos" w:hAnsi="Aptos"/>
                <w:b w:val="0"/>
                <w:sz w:val="15"/>
              </w:rPr>
              <w:t>Flow/pressure</w:t>
            </w:r>
          </w:p>
        </w:tc>
        <w:tc>
          <w:tcPr>
            <w:tcW w:type="dxa" w:w="3888"/>
            <w:vAlign w:val="center"/>
          </w:tcPr>
          <w:p>
            <w:r/>
            <w:r>
              <w:rPr>
                <w:rFonts w:ascii="Aptos" w:hAnsi="Aptos"/>
                <w:b w:val="0"/>
                <w:sz w:val="15"/>
              </w:rPr>
              <w:t>Confirm fluidic state and schedule fingerprints</w:t>
            </w:r>
          </w:p>
        </w:tc>
        <w:tc>
          <w:tcPr>
            <w:tcW w:type="dxa" w:w="2304"/>
            <w:vAlign w:val="center"/>
          </w:tcPr>
          <w:p>
            <w:r/>
            <w:r>
              <w:rPr>
                <w:rFonts w:ascii="Aptos" w:hAnsi="Aptos"/>
                <w:b w:val="0"/>
                <w:sz w:val="15"/>
              </w:rPr>
              <w:t>Upstream / cell</w:t>
            </w:r>
          </w:p>
        </w:tc>
        <w:tc>
          <w:tcPr>
            <w:tcW w:type="dxa" w:w="3024"/>
            <w:vAlign w:val="center"/>
          </w:tcPr>
          <w:p>
            <w:r/>
            <w:r>
              <w:rPr>
                <w:rFonts w:ascii="Aptos" w:hAnsi="Aptos"/>
                <w:b w:val="0"/>
                <w:sz w:val="15"/>
              </w:rPr>
              <w:t>Range, units, calibration</w:t>
            </w:r>
          </w:p>
        </w:tc>
      </w:tr>
      <w:tr>
        <w:trPr>
          <w:cantSplit/>
        </w:trPr>
        <w:tc>
          <w:tcPr>
            <w:tcW w:type="dxa" w:w="1440"/>
            <w:vAlign w:val="center"/>
          </w:tcPr>
          <w:p>
            <w:r/>
            <w:r>
              <w:rPr>
                <w:rFonts w:ascii="Aptos" w:hAnsi="Aptos"/>
                <w:b w:val="0"/>
                <w:sz w:val="15"/>
              </w:rPr>
              <w:t>Room state</w:t>
            </w:r>
          </w:p>
        </w:tc>
        <w:tc>
          <w:tcPr>
            <w:tcW w:type="dxa" w:w="3888"/>
            <w:vAlign w:val="center"/>
          </w:tcPr>
          <w:p>
            <w:r/>
            <w:r>
              <w:rPr>
                <w:rFonts w:ascii="Aptos" w:hAnsi="Aptos"/>
                <w:b w:val="0"/>
                <w:sz w:val="15"/>
              </w:rPr>
              <w:t>Door/open/occupancy event logging</w:t>
            </w:r>
          </w:p>
        </w:tc>
        <w:tc>
          <w:tcPr>
            <w:tcW w:type="dxa" w:w="2304"/>
            <w:vAlign w:val="center"/>
          </w:tcPr>
          <w:p>
            <w:r/>
            <w:r>
              <w:rPr>
                <w:rFonts w:ascii="Aptos" w:hAnsi="Aptos"/>
                <w:b w:val="0"/>
                <w:sz w:val="15"/>
              </w:rPr>
              <w:t>Lab boundary</w:t>
            </w:r>
          </w:p>
        </w:tc>
        <w:tc>
          <w:tcPr>
            <w:tcW w:type="dxa" w:w="3024"/>
            <w:vAlign w:val="center"/>
          </w:tcPr>
          <w:p>
            <w:r/>
            <w:r>
              <w:rPr>
                <w:rFonts w:ascii="Aptos" w:hAnsi="Aptos"/>
                <w:b w:val="0"/>
                <w:sz w:val="15"/>
              </w:rPr>
              <w:t>Event-only by default</w:t>
            </w:r>
          </w:p>
        </w:tc>
      </w:tr>
    </w:tbl>
    <w:p>
      <w:pPr>
        <w:spacing w:after="40"/>
      </w:pPr>
    </w:p>
    <w:p>
      <w:pPr>
        <w:spacing w:after="100" w:line="247" w:lineRule="auto"/>
      </w:pPr>
      <w:r>
        <w:rPr>
          <w:rFonts w:ascii="Aptos" w:hAnsi="Aptos"/>
          <w:b w:val="0"/>
          <w:i w:val="0"/>
          <w:sz w:val="19"/>
        </w:rPr>
        <w:t>Telemetry is part of the preregistered model set and must be captured into the raw trial bundle before scoring. It is not added selectively after an anomalous result.</w:t>
      </w:r>
    </w:p>
    <w:p>
      <w:pPr>
        <w:pStyle w:val="Heading1"/>
        <w:keepNext/>
      </w:pPr>
      <w:r>
        <w:t>8. Stage-1 Microfluidic Component Specification</w:t>
      </w:r>
    </w:p>
    <w:p>
      <w:pPr>
        <w:spacing w:after="100" w:line="247" w:lineRule="auto"/>
      </w:pPr>
      <w:r>
        <w:rPr>
          <w:rFonts w:ascii="Aptos" w:hAnsi="Aptos"/>
          <w:b w:val="0"/>
          <w:i w:val="0"/>
          <w:sz w:val="19"/>
        </w:rPr>
        <w:t>The Stage-1 interface is a known communication path, not an unknown-scale detector. It must be simple enough to model, block, replay, and independently reconstruct.</w:t>
      </w:r>
    </w:p>
    <w:p>
      <w:pPr>
        <w:jc w:val="center"/>
      </w:pPr>
      <w:r>
        <w:drawing>
          <wp:inline xmlns:a="http://schemas.openxmlformats.org/drawingml/2006/main" xmlns:pic="http://schemas.openxmlformats.org/drawingml/2006/picture">
            <wp:extent cx="5760720" cy="618783"/>
            <wp:docPr id="3" name="Picture 3"/>
            <wp:cNvGraphicFramePr>
              <a:graphicFrameLocks noChangeAspect="1"/>
            </wp:cNvGraphicFramePr>
            <a:graphic>
              <a:graphicData uri="http://schemas.openxmlformats.org/drawingml/2006/picture">
                <pic:pic>
                  <pic:nvPicPr>
                    <pic:cNvPr id="0" name="fig3_microfluidic_path.png"/>
                    <pic:cNvPicPr/>
                  </pic:nvPicPr>
                  <pic:blipFill>
                    <a:blip r:embed="rId11"/>
                    <a:stretch>
                      <a:fillRect/>
                    </a:stretch>
                  </pic:blipFill>
                  <pic:spPr>
                    <a:xfrm>
                      <a:off x="0" y="0"/>
                      <a:ext cx="5760720" cy="618783"/>
                    </a:xfrm>
                    <a:prstGeom prst="rect"/>
                  </pic:spPr>
                </pic:pic>
              </a:graphicData>
            </a:graphic>
          </wp:inline>
        </w:drawing>
      </w:r>
    </w:p>
    <w:p>
      <w:pPr>
        <w:jc w:val="center"/>
      </w:pPr>
      <w:r>
        <w:rPr>
          <w:rFonts w:ascii="Aptos" w:hAnsi="Aptos"/>
          <w:i/>
          <w:sz w:val="17"/>
        </w:rPr>
        <w:t>Figure 3. Reference microfluidic signal path.</w:t>
      </w:r>
    </w:p>
    <w:p>
      <w:pPr>
        <w:pStyle w:val="Heading2"/>
        <w:keepNext/>
      </w:pPr>
      <w:r>
        <w:t>8.1 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D9EAF7"/>
          </w:tcPr>
          <w:p>
            <w:r/>
            <w:r>
              <w:rPr>
                <w:rFonts w:ascii="Aptos" w:hAnsi="Aptos"/>
                <w:b/>
                <w:sz w:val="17"/>
              </w:rPr>
              <w:t>ID</w:t>
            </w:r>
          </w:p>
        </w:tc>
        <w:tc>
          <w:tcPr>
            <w:tcW w:type="dxa" w:w="8928"/>
            <w:vAlign w:val="center"/>
            <w:shd w:fill="D9EAF7"/>
          </w:tcPr>
          <w:p>
            <w:r/>
            <w:r>
              <w:rPr>
                <w:rFonts w:ascii="Aptos" w:hAnsi="Aptos"/>
                <w:b/>
                <w:sz w:val="17"/>
              </w:rPr>
              <w:t>Requirement</w:t>
            </w:r>
          </w:p>
        </w:tc>
      </w:tr>
      <w:tr>
        <w:trPr>
          <w:cantSplit/>
        </w:trPr>
        <w:tc>
          <w:tcPr>
            <w:tcW w:type="dxa" w:w="1440"/>
            <w:vAlign w:val="center"/>
          </w:tcPr>
          <w:p>
            <w:r/>
            <w:r>
              <w:rPr>
                <w:rFonts w:ascii="Aptos" w:hAnsi="Aptos"/>
                <w:b w:val="0"/>
                <w:sz w:val="17"/>
              </w:rPr>
              <w:t>MF-R01</w:t>
            </w:r>
          </w:p>
        </w:tc>
        <w:tc>
          <w:tcPr>
            <w:tcW w:type="dxa" w:w="8928"/>
            <w:vAlign w:val="center"/>
          </w:tcPr>
          <w:p>
            <w:r/>
            <w:r>
              <w:rPr>
                <w:rFonts w:ascii="Aptos" w:hAnsi="Aptos"/>
                <w:b w:val="0"/>
                <w:sz w:val="17"/>
              </w:rPr>
              <w:t>Carrier fluid chemistry is fixed and documented before calibration</w:t>
            </w:r>
          </w:p>
        </w:tc>
      </w:tr>
      <w:tr>
        <w:trPr>
          <w:cantSplit/>
        </w:trPr>
        <w:tc>
          <w:tcPr>
            <w:tcW w:type="dxa" w:w="1440"/>
            <w:vAlign w:val="center"/>
          </w:tcPr>
          <w:p>
            <w:r/>
            <w:r>
              <w:rPr>
                <w:rFonts w:ascii="Aptos" w:hAnsi="Aptos"/>
                <w:b w:val="0"/>
                <w:sz w:val="17"/>
              </w:rPr>
              <w:t>MF-R02</w:t>
            </w:r>
          </w:p>
        </w:tc>
        <w:tc>
          <w:tcPr>
            <w:tcW w:type="dxa" w:w="8928"/>
            <w:vAlign w:val="center"/>
          </w:tcPr>
          <w:p>
            <w:r/>
            <w:r>
              <w:rPr>
                <w:rFonts w:ascii="Aptos" w:hAnsi="Aptos"/>
                <w:b w:val="0"/>
                <w:sz w:val="17"/>
              </w:rPr>
              <w:t>TX symbol states create two measurably distinct receiver states under positive control</w:t>
            </w:r>
          </w:p>
        </w:tc>
      </w:tr>
      <w:tr>
        <w:trPr>
          <w:cantSplit/>
        </w:trPr>
        <w:tc>
          <w:tcPr>
            <w:tcW w:type="dxa" w:w="1440"/>
            <w:vAlign w:val="center"/>
          </w:tcPr>
          <w:p>
            <w:r/>
            <w:r>
              <w:rPr>
                <w:rFonts w:ascii="Aptos" w:hAnsi="Aptos"/>
                <w:b w:val="0"/>
                <w:sz w:val="17"/>
              </w:rPr>
              <w:t>MF-R03</w:t>
            </w:r>
          </w:p>
        </w:tc>
        <w:tc>
          <w:tcPr>
            <w:tcW w:type="dxa" w:w="8928"/>
            <w:vAlign w:val="center"/>
          </w:tcPr>
          <w:p>
            <w:r/>
            <w:r>
              <w:rPr>
                <w:rFonts w:ascii="Aptos" w:hAnsi="Aptos"/>
                <w:b w:val="0"/>
                <w:sz w:val="17"/>
              </w:rPr>
              <w:t>Selector valve or equivalent supports carrier-only/sham operation without changing analysis code</w:t>
            </w:r>
          </w:p>
        </w:tc>
      </w:tr>
      <w:tr>
        <w:trPr>
          <w:cantSplit/>
        </w:trPr>
        <w:tc>
          <w:tcPr>
            <w:tcW w:type="dxa" w:w="1440"/>
            <w:vAlign w:val="center"/>
          </w:tcPr>
          <w:p>
            <w:r/>
            <w:r>
              <w:rPr>
                <w:rFonts w:ascii="Aptos" w:hAnsi="Aptos"/>
                <w:b w:val="0"/>
                <w:sz w:val="17"/>
              </w:rPr>
              <w:t>MF-R04</w:t>
            </w:r>
          </w:p>
        </w:tc>
        <w:tc>
          <w:tcPr>
            <w:tcW w:type="dxa" w:w="8928"/>
            <w:vAlign w:val="center"/>
          </w:tcPr>
          <w:p>
            <w:r/>
            <w:r>
              <w:rPr>
                <w:rFonts w:ascii="Aptos" w:hAnsi="Aptos"/>
                <w:b w:val="0"/>
                <w:sz w:val="17"/>
              </w:rPr>
              <w:t>Path can be physically blocked or bypassed for isolation controls</w:t>
            </w:r>
          </w:p>
        </w:tc>
      </w:tr>
      <w:tr>
        <w:trPr>
          <w:cantSplit/>
        </w:trPr>
        <w:tc>
          <w:tcPr>
            <w:tcW w:type="dxa" w:w="1440"/>
            <w:vAlign w:val="center"/>
          </w:tcPr>
          <w:p>
            <w:r/>
            <w:r>
              <w:rPr>
                <w:rFonts w:ascii="Aptos" w:hAnsi="Aptos"/>
                <w:b w:val="0"/>
                <w:sz w:val="17"/>
              </w:rPr>
              <w:t>MF-R05</w:t>
            </w:r>
          </w:p>
        </w:tc>
        <w:tc>
          <w:tcPr>
            <w:tcW w:type="dxa" w:w="8928"/>
            <w:vAlign w:val="center"/>
          </w:tcPr>
          <w:p>
            <w:r/>
            <w:r>
              <w:rPr>
                <w:rFonts w:ascii="Aptos" w:hAnsi="Aptos"/>
                <w:b w:val="0"/>
                <w:sz w:val="17"/>
              </w:rPr>
              <w:t>Flow, pressure, temperature, and timing are recorded for every trial</w:t>
            </w:r>
          </w:p>
        </w:tc>
      </w:tr>
      <w:tr>
        <w:trPr>
          <w:cantSplit/>
        </w:trPr>
        <w:tc>
          <w:tcPr>
            <w:tcW w:type="dxa" w:w="1440"/>
            <w:vAlign w:val="center"/>
          </w:tcPr>
          <w:p>
            <w:r/>
            <w:r>
              <w:rPr>
                <w:rFonts w:ascii="Aptos" w:hAnsi="Aptos"/>
                <w:b w:val="0"/>
                <w:sz w:val="17"/>
              </w:rPr>
              <w:t>MF-R06</w:t>
            </w:r>
          </w:p>
        </w:tc>
        <w:tc>
          <w:tcPr>
            <w:tcW w:type="dxa" w:w="8928"/>
            <w:vAlign w:val="center"/>
          </w:tcPr>
          <w:p>
            <w:r/>
            <w:r>
              <w:rPr>
                <w:rFonts w:ascii="Aptos" w:hAnsi="Aptos"/>
                <w:b w:val="0"/>
                <w:sz w:val="17"/>
              </w:rPr>
              <w:t>Wetted materials and sensor compatibility are documented</w:t>
            </w:r>
          </w:p>
        </w:tc>
      </w:tr>
      <w:tr>
        <w:trPr>
          <w:cantSplit/>
        </w:trPr>
        <w:tc>
          <w:tcPr>
            <w:tcW w:type="dxa" w:w="1440"/>
            <w:vAlign w:val="center"/>
          </w:tcPr>
          <w:p>
            <w:r/>
            <w:r>
              <w:rPr>
                <w:rFonts w:ascii="Aptos" w:hAnsi="Aptos"/>
                <w:b w:val="0"/>
                <w:sz w:val="17"/>
              </w:rPr>
              <w:t>MF-R07</w:t>
            </w:r>
          </w:p>
        </w:tc>
        <w:tc>
          <w:tcPr>
            <w:tcW w:type="dxa" w:w="8928"/>
            <w:vAlign w:val="center"/>
          </w:tcPr>
          <w:p>
            <w:r/>
            <w:r>
              <w:rPr>
                <w:rFonts w:ascii="Aptos" w:hAnsi="Aptos"/>
                <w:b w:val="0"/>
                <w:sz w:val="17"/>
              </w:rPr>
              <w:t>Dead volume, nominal delay, dispersion, and recovery time are measured before timing is frozen</w:t>
            </w:r>
          </w:p>
        </w:tc>
      </w:tr>
    </w:tbl>
    <w:p>
      <w:pPr>
        <w:spacing w:after="40"/>
      </w:pPr>
    </w:p>
    <w:p>
      <w:pPr>
        <w:pStyle w:val="Heading2"/>
        <w:keepNext/>
      </w:pPr>
      <w:r>
        <w:t>8.2 Initial component classes</w:t>
      </w:r>
    </w:p>
    <w:p>
      <w:pPr>
        <w:pStyle w:val="ListBullet"/>
        <w:spacing w:after="40"/>
      </w:pPr>
      <w:r>
        <w:rPr>
          <w:rFonts w:ascii="Aptos" w:hAnsi="Aptos"/>
          <w:sz w:val="18"/>
        </w:rPr>
        <w:t>Pressure-driven or syringe pump with stable low-flow control.</w:t>
      </w:r>
    </w:p>
    <w:p>
      <w:pPr>
        <w:pStyle w:val="ListBullet"/>
        <w:spacing w:after="40"/>
      </w:pPr>
      <w:r>
        <w:rPr>
          <w:rFonts w:ascii="Aptos" w:hAnsi="Aptos"/>
          <w:sz w:val="18"/>
        </w:rPr>
        <w:t>Two- or multi-position selector valve.</w:t>
      </w:r>
    </w:p>
    <w:p>
      <w:pPr>
        <w:pStyle w:val="ListBullet"/>
        <w:spacing w:after="40"/>
      </w:pPr>
      <w:r>
        <w:rPr>
          <w:rFonts w:ascii="Aptos" w:hAnsi="Aptos"/>
          <w:sz w:val="18"/>
        </w:rPr>
        <w:t>Carrier reservoir and separate blank/sham reservoir.</w:t>
      </w:r>
    </w:p>
    <w:p>
      <w:pPr>
        <w:pStyle w:val="ListBullet"/>
        <w:spacing w:after="40"/>
      </w:pPr>
      <w:r>
        <w:rPr>
          <w:rFonts w:ascii="Aptos" w:hAnsi="Aptos"/>
          <w:sz w:val="18"/>
        </w:rPr>
        <w:t>Injection electrode or ion/molecular dosing point.</w:t>
      </w:r>
    </w:p>
    <w:p>
      <w:pPr>
        <w:pStyle w:val="ListBullet"/>
        <w:spacing w:after="40"/>
      </w:pPr>
      <w:r>
        <w:rPr>
          <w:rFonts w:ascii="Aptos" w:hAnsi="Aptos"/>
          <w:sz w:val="18"/>
        </w:rPr>
        <w:t>Microfluidic channel/cell compatible with the selected receiver.</w:t>
      </w:r>
    </w:p>
    <w:p>
      <w:pPr>
        <w:pStyle w:val="ListBullet"/>
        <w:spacing w:after="40"/>
      </w:pPr>
      <w:r>
        <w:rPr>
          <w:rFonts w:ascii="Aptos" w:hAnsi="Aptos"/>
          <w:sz w:val="18"/>
        </w:rPr>
        <w:t>Graphene-FET, electrochemical, ion-selective, or equivalent receiver with documented transfer function.</w:t>
      </w:r>
    </w:p>
    <w:p>
      <w:pPr>
        <w:pStyle w:val="ListBullet"/>
        <w:spacing w:after="40"/>
      </w:pPr>
      <w:r>
        <w:rPr>
          <w:rFonts w:ascii="Aptos" w:hAnsi="Aptos"/>
          <w:sz w:val="18"/>
        </w:rPr>
        <w:t>Upstream/downstream pressure or flow sensing.</w:t>
      </w:r>
    </w:p>
    <w:p>
      <w:pPr>
        <w:pStyle w:val="ListBullet"/>
        <w:spacing w:after="40"/>
      </w:pPr>
      <w:r>
        <w:rPr>
          <w:rFonts w:ascii="Aptos" w:hAnsi="Aptos"/>
          <w:sz w:val="18"/>
        </w:rPr>
        <w:t>Temperature measurement at the cell.</w:t>
      </w:r>
    </w:p>
    <w:p>
      <w:pPr>
        <w:pStyle w:val="ListBullet"/>
        <w:spacing w:after="40"/>
      </w:pPr>
      <w:r>
        <w:rPr>
          <w:rFonts w:ascii="Aptos" w:hAnsi="Aptos"/>
          <w:sz w:val="18"/>
        </w:rPr>
        <w:t>Chemically compatible waste/return path.</w:t>
      </w:r>
    </w:p>
    <w:p>
      <w:pPr>
        <w:spacing w:after="100" w:line="247" w:lineRule="auto"/>
      </w:pPr>
      <w:r>
        <w:rPr>
          <w:rFonts w:ascii="Aptos" w:hAnsi="Aptos"/>
          <w:b w:val="0"/>
          <w:i/>
          <w:sz w:val="19"/>
        </w:rPr>
        <w:t>Exact tubing diameter, channel geometry, concentration, flow rate, and sensor chemistry remain TBD by the chosen lab implementation and must be measured during CAL-03 rather than copied from this concept package.</w:t>
      </w:r>
    </w:p>
    <w:p>
      <w:pPr>
        <w:pStyle w:val="Heading1"/>
        <w:keepNext/>
      </w:pPr>
      <w:r>
        <w:t>9. Host and Network Isolation Plan</w:t>
      </w:r>
    </w:p>
    <w:p>
      <w:pPr>
        <w:jc w:val="center"/>
      </w:pPr>
      <w:r>
        <w:drawing>
          <wp:inline xmlns:a="http://schemas.openxmlformats.org/drawingml/2006/main" xmlns:pic="http://schemas.openxmlformats.org/drawingml/2006/picture">
            <wp:extent cx="5760720" cy="683979"/>
            <wp:docPr id="4" name="Picture 4"/>
            <wp:cNvGraphicFramePr>
              <a:graphicFrameLocks noChangeAspect="1"/>
            </wp:cNvGraphicFramePr>
            <a:graphic>
              <a:graphicData uri="http://schemas.openxmlformats.org/drawingml/2006/picture">
                <pic:pic>
                  <pic:nvPicPr>
                    <pic:cNvPr id="0" name="fig4_host_isolation.png"/>
                    <pic:cNvPicPr/>
                  </pic:nvPicPr>
                  <pic:blipFill>
                    <a:blip r:embed="rId12"/>
                    <a:stretch>
                      <a:fillRect/>
                    </a:stretch>
                  </pic:blipFill>
                  <pic:spPr>
                    <a:xfrm>
                      <a:off x="0" y="0"/>
                      <a:ext cx="5760720" cy="683979"/>
                    </a:xfrm>
                    <a:prstGeom prst="rect"/>
                  </pic:spPr>
                </pic:pic>
              </a:graphicData>
            </a:graphic>
          </wp:inline>
        </w:drawing>
      </w:r>
    </w:p>
    <w:p>
      <w:pPr>
        <w:jc w:val="center"/>
      </w:pPr>
      <w:r>
        <w:rPr>
          <w:rFonts w:ascii="Aptos" w:hAnsi="Aptos"/>
          <w:i/>
          <w:sz w:val="17"/>
        </w:rPr>
        <w:t>Figure 4. Host/network isolation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D9EAF7"/>
          </w:tcPr>
          <w:p>
            <w:r/>
            <w:r>
              <w:rPr>
                <w:rFonts w:ascii="Aptos" w:hAnsi="Aptos"/>
                <w:b/>
                <w:sz w:val="16"/>
              </w:rPr>
              <w:t>Host</w:t>
            </w:r>
          </w:p>
        </w:tc>
        <w:tc>
          <w:tcPr>
            <w:tcW w:type="dxa" w:w="4896"/>
            <w:vAlign w:val="center"/>
            <w:shd w:fill="D9EAF7"/>
          </w:tcPr>
          <w:p>
            <w:r/>
            <w:r>
              <w:rPr>
                <w:rFonts w:ascii="Aptos" w:hAnsi="Aptos"/>
                <w:b/>
                <w:sz w:val="16"/>
              </w:rPr>
              <w:t>Primary responsibility</w:t>
            </w:r>
          </w:p>
        </w:tc>
        <w:tc>
          <w:tcPr>
            <w:tcW w:type="dxa" w:w="4032"/>
            <w:vAlign w:val="center"/>
            <w:shd w:fill="D9EAF7"/>
          </w:tcPr>
          <w:p>
            <w:r/>
            <w:r>
              <w:rPr>
                <w:rFonts w:ascii="Aptos" w:hAnsi="Aptos"/>
                <w:b/>
                <w:sz w:val="16"/>
              </w:rPr>
              <w:t>Network posture during capture</w:t>
            </w:r>
          </w:p>
        </w:tc>
      </w:tr>
      <w:tr>
        <w:trPr>
          <w:cantSplit/>
        </w:trPr>
        <w:tc>
          <w:tcPr>
            <w:tcW w:type="dxa" w:w="1440"/>
            <w:vAlign w:val="center"/>
          </w:tcPr>
          <w:p>
            <w:r/>
            <w:r>
              <w:rPr>
                <w:rFonts w:ascii="Aptos" w:hAnsi="Aptos"/>
                <w:b w:val="0"/>
                <w:sz w:val="16"/>
              </w:rPr>
              <w:t>HOST-CA</w:t>
            </w:r>
          </w:p>
        </w:tc>
        <w:tc>
          <w:tcPr>
            <w:tcW w:type="dxa" w:w="4896"/>
            <w:vAlign w:val="center"/>
          </w:tcPr>
          <w:p>
            <w:r/>
            <w:r>
              <w:rPr>
                <w:rFonts w:ascii="Aptos" w:hAnsi="Aptos"/>
                <w:b w:val="0"/>
                <w:sz w:val="16"/>
              </w:rPr>
              <w:t>Challenge generation and commitment</w:t>
            </w:r>
          </w:p>
        </w:tc>
        <w:tc>
          <w:tcPr>
            <w:tcW w:type="dxa" w:w="4032"/>
            <w:vAlign w:val="center"/>
          </w:tcPr>
          <w:p>
            <w:r/>
            <w:r>
              <w:rPr>
                <w:rFonts w:ascii="Aptos" w:hAnsi="Aptos"/>
                <w:b w:val="0"/>
                <w:sz w:val="16"/>
              </w:rPr>
              <w:t>Offline; no DAQ route</w:t>
            </w:r>
          </w:p>
        </w:tc>
      </w:tr>
      <w:tr>
        <w:trPr>
          <w:cantSplit/>
        </w:trPr>
        <w:tc>
          <w:tcPr>
            <w:tcW w:type="dxa" w:w="1440"/>
            <w:vAlign w:val="center"/>
          </w:tcPr>
          <w:p>
            <w:r/>
            <w:r>
              <w:rPr>
                <w:rFonts w:ascii="Aptos" w:hAnsi="Aptos"/>
                <w:b w:val="0"/>
                <w:sz w:val="16"/>
              </w:rPr>
              <w:t>HOST-TX</w:t>
            </w:r>
          </w:p>
        </w:tc>
        <w:tc>
          <w:tcPr>
            <w:tcW w:type="dxa" w:w="4896"/>
            <w:vAlign w:val="center"/>
          </w:tcPr>
          <w:p>
            <w:r/>
            <w:r>
              <w:rPr>
                <w:rFonts w:ascii="Aptos" w:hAnsi="Aptos"/>
                <w:b w:val="0"/>
                <w:sz w:val="16"/>
              </w:rPr>
              <w:t>TX state machine and hardware control</w:t>
            </w:r>
          </w:p>
        </w:tc>
        <w:tc>
          <w:tcPr>
            <w:tcW w:type="dxa" w:w="4032"/>
            <w:vAlign w:val="center"/>
          </w:tcPr>
          <w:p>
            <w:r/>
            <w:r>
              <w:rPr>
                <w:rFonts w:ascii="Aptos" w:hAnsi="Aptos"/>
                <w:b w:val="0"/>
                <w:sz w:val="16"/>
              </w:rPr>
              <w:t>No route to DAQ/analysis subnet</w:t>
            </w:r>
          </w:p>
        </w:tc>
      </w:tr>
      <w:tr>
        <w:trPr>
          <w:cantSplit/>
        </w:trPr>
        <w:tc>
          <w:tcPr>
            <w:tcW w:type="dxa" w:w="1440"/>
            <w:vAlign w:val="center"/>
          </w:tcPr>
          <w:p>
            <w:r/>
            <w:r>
              <w:rPr>
                <w:rFonts w:ascii="Aptos" w:hAnsi="Aptos"/>
                <w:b w:val="0"/>
                <w:sz w:val="16"/>
              </w:rPr>
              <w:t>HOST-DAQ</w:t>
            </w:r>
          </w:p>
        </w:tc>
        <w:tc>
          <w:tcPr>
            <w:tcW w:type="dxa" w:w="4896"/>
            <w:vAlign w:val="center"/>
          </w:tcPr>
          <w:p>
            <w:r/>
            <w:r>
              <w:rPr>
                <w:rFonts w:ascii="Aptos" w:hAnsi="Aptos"/>
                <w:b w:val="0"/>
                <w:sz w:val="16"/>
              </w:rPr>
              <w:t>Receiver + telemetry capture</w:t>
            </w:r>
          </w:p>
        </w:tc>
        <w:tc>
          <w:tcPr>
            <w:tcW w:type="dxa" w:w="4032"/>
            <w:vAlign w:val="center"/>
          </w:tcPr>
          <w:p>
            <w:r/>
            <w:r>
              <w:rPr>
                <w:rFonts w:ascii="Aptos" w:hAnsi="Aptos"/>
                <w:b w:val="0"/>
                <w:sz w:val="16"/>
              </w:rPr>
              <w:t>Acquisition-only; no challenge store access</w:t>
            </w:r>
          </w:p>
        </w:tc>
      </w:tr>
      <w:tr>
        <w:trPr>
          <w:cantSplit/>
        </w:trPr>
        <w:tc>
          <w:tcPr>
            <w:tcW w:type="dxa" w:w="1440"/>
            <w:vAlign w:val="center"/>
          </w:tcPr>
          <w:p>
            <w:r/>
            <w:r>
              <w:rPr>
                <w:rFonts w:ascii="Aptos" w:hAnsi="Aptos"/>
                <w:b w:val="0"/>
                <w:sz w:val="16"/>
              </w:rPr>
              <w:t>HOST-ARCH</w:t>
            </w:r>
          </w:p>
        </w:tc>
        <w:tc>
          <w:tcPr>
            <w:tcW w:type="dxa" w:w="4896"/>
            <w:vAlign w:val="center"/>
          </w:tcPr>
          <w:p>
            <w:r/>
            <w:r>
              <w:rPr>
                <w:rFonts w:ascii="Aptos" w:hAnsi="Aptos"/>
                <w:b w:val="0"/>
                <w:sz w:val="16"/>
              </w:rPr>
              <w:t>Immutable/raw archive</w:t>
            </w:r>
          </w:p>
        </w:tc>
        <w:tc>
          <w:tcPr>
            <w:tcW w:type="dxa" w:w="4032"/>
            <w:vAlign w:val="center"/>
          </w:tcPr>
          <w:p>
            <w:r/>
            <w:r>
              <w:rPr>
                <w:rFonts w:ascii="Aptos" w:hAnsi="Aptos"/>
                <w:b w:val="0"/>
                <w:sz w:val="16"/>
              </w:rPr>
              <w:t>Receives sealed trial artifacts</w:t>
            </w:r>
          </w:p>
        </w:tc>
      </w:tr>
      <w:tr>
        <w:trPr>
          <w:cantSplit/>
        </w:trPr>
        <w:tc>
          <w:tcPr>
            <w:tcW w:type="dxa" w:w="1440"/>
            <w:vAlign w:val="center"/>
          </w:tcPr>
          <w:p>
            <w:r/>
            <w:r>
              <w:rPr>
                <w:rFonts w:ascii="Aptos" w:hAnsi="Aptos"/>
                <w:b w:val="0"/>
                <w:sz w:val="16"/>
              </w:rPr>
              <w:t>HOST-AN</w:t>
            </w:r>
          </w:p>
        </w:tc>
        <w:tc>
          <w:tcPr>
            <w:tcW w:type="dxa" w:w="4896"/>
            <w:vAlign w:val="center"/>
          </w:tcPr>
          <w:p>
            <w:r/>
            <w:r>
              <w:rPr>
                <w:rFonts w:ascii="Aptos" w:hAnsi="Aptos"/>
                <w:b w:val="0"/>
                <w:sz w:val="16"/>
              </w:rPr>
              <w:t>Analysis and scoring</w:t>
            </w:r>
          </w:p>
        </w:tc>
        <w:tc>
          <w:tcPr>
            <w:tcW w:type="dxa" w:w="4032"/>
            <w:vAlign w:val="center"/>
          </w:tcPr>
          <w:p>
            <w:r/>
            <w:r>
              <w:rPr>
                <w:rFonts w:ascii="Aptos" w:hAnsi="Aptos"/>
                <w:b w:val="0"/>
                <w:sz w:val="16"/>
              </w:rPr>
              <w:t>Offline from capture until CLOSE/unseal</w:t>
            </w:r>
          </w:p>
        </w:tc>
      </w:tr>
      <w:tr>
        <w:trPr>
          <w:cantSplit/>
        </w:trPr>
        <w:tc>
          <w:tcPr>
            <w:tcW w:type="dxa" w:w="1440"/>
            <w:vAlign w:val="center"/>
          </w:tcPr>
          <w:p>
            <w:r/>
            <w:r>
              <w:rPr>
                <w:rFonts w:ascii="Aptos" w:hAnsi="Aptos"/>
                <w:b w:val="0"/>
                <w:sz w:val="16"/>
              </w:rPr>
              <w:t>HOST-XFER</w:t>
            </w:r>
          </w:p>
        </w:tc>
        <w:tc>
          <w:tcPr>
            <w:tcW w:type="dxa" w:w="4896"/>
            <w:vAlign w:val="center"/>
          </w:tcPr>
          <w:p>
            <w:r/>
            <w:r>
              <w:rPr>
                <w:rFonts w:ascii="Aptos" w:hAnsi="Aptos"/>
                <w:b w:val="0"/>
                <w:sz w:val="16"/>
              </w:rPr>
              <w:t>Controlled transfer / validation</w:t>
            </w:r>
          </w:p>
        </w:tc>
        <w:tc>
          <w:tcPr>
            <w:tcW w:type="dxa" w:w="4032"/>
            <w:vAlign w:val="center"/>
          </w:tcPr>
          <w:p>
            <w:r/>
            <w:r>
              <w:rPr>
                <w:rFonts w:ascii="Aptos" w:hAnsi="Aptos"/>
                <w:b w:val="0"/>
                <w:sz w:val="16"/>
              </w:rPr>
              <w:t>Signed post-close movement only</w:t>
            </w:r>
          </w:p>
        </w:tc>
      </w:tr>
    </w:tbl>
    <w:p>
      <w:pPr>
        <w:spacing w:after="40"/>
      </w:pPr>
    </w:p>
    <w:p>
      <w:pPr>
        <w:pStyle w:val="Heading2"/>
        <w:keepNext/>
      </w:pPr>
      <w:r>
        <w:t>9.1 Confirmatory-trial hardening</w:t>
      </w:r>
    </w:p>
    <w:p>
      <w:pPr>
        <w:pStyle w:val="ListBullet"/>
        <w:spacing w:after="40"/>
      </w:pPr>
      <w:r>
        <w:rPr>
          <w:rFonts w:ascii="Aptos" w:hAnsi="Aptos"/>
          <w:sz w:val="18"/>
        </w:rPr>
        <w:t>Disable Wi-Fi, Bluetooth, cellular modems, and unused NICs.</w:t>
      </w:r>
    </w:p>
    <w:p>
      <w:pPr>
        <w:pStyle w:val="ListBullet"/>
        <w:spacing w:after="40"/>
      </w:pPr>
      <w:r>
        <w:rPr>
          <w:rFonts w:ascii="Aptos" w:hAnsi="Aptos"/>
          <w:sz w:val="18"/>
        </w:rPr>
        <w:t>Disable automatic cloud synchronization and unapproved remote-management agents.</w:t>
      </w:r>
    </w:p>
    <w:p>
      <w:pPr>
        <w:pStyle w:val="ListBullet"/>
        <w:spacing w:after="40"/>
      </w:pPr>
      <w:r>
        <w:rPr>
          <w:rFonts w:ascii="Aptos" w:hAnsi="Aptos"/>
          <w:sz w:val="18"/>
        </w:rPr>
        <w:t>Use local accounts and frozen software images.</w:t>
      </w:r>
    </w:p>
    <w:p>
      <w:pPr>
        <w:pStyle w:val="ListBullet"/>
        <w:spacing w:after="40"/>
      </w:pPr>
      <w:r>
        <w:rPr>
          <w:rFonts w:ascii="Aptos" w:hAnsi="Aptos"/>
          <w:sz w:val="18"/>
        </w:rPr>
        <w:t>Hash OS image, acquisition software, analysis software, and configuration before campaign start.</w:t>
      </w:r>
    </w:p>
    <w:p>
      <w:pPr>
        <w:pStyle w:val="ListBullet"/>
        <w:spacing w:after="40"/>
      </w:pPr>
      <w:r>
        <w:rPr>
          <w:rFonts w:ascii="Aptos" w:hAnsi="Aptos"/>
          <w:sz w:val="18"/>
        </w:rPr>
        <w:t>Prohibit clipboard/file-share bridges between challenge/TX and DAQ/analysis paths.</w:t>
      </w:r>
    </w:p>
    <w:p>
      <w:pPr>
        <w:pStyle w:val="ListBullet"/>
        <w:spacing w:after="40"/>
      </w:pPr>
      <w:r>
        <w:rPr>
          <w:rFonts w:ascii="Aptos" w:hAnsi="Aptos"/>
          <w:sz w:val="18"/>
        </w:rPr>
        <w:t>Record firewall rules, route tables, connected USB devices, active processes, and listening ports before and after each campaign.</w:t>
      </w:r>
    </w:p>
    <w:p>
      <w:pPr>
        <w:pStyle w:val="ListBullet"/>
        <w:spacing w:after="40"/>
      </w:pPr>
      <w:r>
        <w:rPr>
          <w:rFonts w:ascii="Aptos" w:hAnsi="Aptos"/>
          <w:sz w:val="18"/>
        </w:rPr>
        <w:t>Use separate power or measured isolated power where practical.</w:t>
      </w:r>
    </w:p>
    <w:p>
      <w:pPr>
        <w:pStyle w:val="ListBullet"/>
        <w:spacing w:after="40"/>
      </w:pPr>
      <w:r>
        <w:rPr>
          <w:rFonts w:ascii="Aptos" w:hAnsi="Aptos"/>
          <w:sz w:val="18"/>
        </w:rPr>
        <w:t>Maintain an auditable removable-media transfer procedure when air-gapped transfer is used.</w:t>
      </w:r>
    </w:p>
    <w:p>
      <w:pPr>
        <w:spacing w:after="100" w:line="247" w:lineRule="auto"/>
      </w:pPr>
      <w:r>
        <w:rPr>
          <w:rFonts w:ascii="Aptos" w:hAnsi="Aptos"/>
          <w:b w:val="0"/>
          <w:i w:val="0"/>
          <w:sz w:val="19"/>
        </w:rPr>
        <w:t>The phrase “air gap” is not accepted as evidence by itself. The isolation package must enumerate physical, electrical, optical, acoustic, RF, software, timing, and human pathways that could transfer challenge information.</w:t>
      </w:r>
    </w:p>
    <w:p>
      <w:pPr>
        <w:pStyle w:val="Heading1"/>
        <w:keepNext/>
      </w:pPr>
      <w:r>
        <w:t>10. Software Architecture and Service Interfaces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center"/>
            <w:shd w:fill="D9EAF7"/>
          </w:tcPr>
          <w:p>
            <w:r/>
            <w:r>
              <w:rPr>
                <w:rFonts w:ascii="Aptos" w:hAnsi="Aptos"/>
                <w:b/>
                <w:sz w:val="14"/>
              </w:rPr>
              <w:t>Service</w:t>
            </w:r>
          </w:p>
        </w:tc>
        <w:tc>
          <w:tcPr>
            <w:tcW w:type="dxa" w:w="2880"/>
            <w:vAlign w:val="center"/>
            <w:shd w:fill="D9EAF7"/>
          </w:tcPr>
          <w:p>
            <w:r/>
            <w:r>
              <w:rPr>
                <w:rFonts w:ascii="Aptos" w:hAnsi="Aptos"/>
                <w:b/>
                <w:sz w:val="14"/>
              </w:rPr>
              <w:t>Inputs</w:t>
            </w:r>
          </w:p>
        </w:tc>
        <w:tc>
          <w:tcPr>
            <w:tcW w:type="dxa" w:w="3024"/>
            <w:vAlign w:val="center"/>
            <w:shd w:fill="D9EAF7"/>
          </w:tcPr>
          <w:p>
            <w:r/>
            <w:r>
              <w:rPr>
                <w:rFonts w:ascii="Aptos" w:hAnsi="Aptos"/>
                <w:b/>
                <w:sz w:val="14"/>
              </w:rPr>
              <w:t>Outputs</w:t>
            </w:r>
          </w:p>
        </w:tc>
        <w:tc>
          <w:tcPr>
            <w:tcW w:type="dxa" w:w="2592"/>
            <w:vAlign w:val="center"/>
            <w:shd w:fill="D9EAF7"/>
          </w:tcPr>
          <w:p>
            <w:r/>
            <w:r>
              <w:rPr>
                <w:rFonts w:ascii="Aptos" w:hAnsi="Aptos"/>
                <w:b/>
                <w:sz w:val="14"/>
              </w:rPr>
              <w:t>Forbidden access</w:t>
            </w:r>
          </w:p>
        </w:tc>
      </w:tr>
      <w:tr>
        <w:trPr>
          <w:cantSplit/>
        </w:trPr>
        <w:tc>
          <w:tcPr>
            <w:tcW w:type="dxa" w:w="1944"/>
            <w:vAlign w:val="center"/>
          </w:tcPr>
          <w:p>
            <w:r/>
            <w:r>
              <w:rPr>
                <w:rFonts w:ascii="Aptos" w:hAnsi="Aptos"/>
                <w:b w:val="0"/>
                <w:sz w:val="14"/>
              </w:rPr>
              <w:t>challenge-authority</w:t>
            </w:r>
          </w:p>
        </w:tc>
        <w:tc>
          <w:tcPr>
            <w:tcW w:type="dxa" w:w="2880"/>
            <w:vAlign w:val="center"/>
          </w:tcPr>
          <w:p>
            <w:r/>
            <w:r>
              <w:rPr>
                <w:rFonts w:ascii="Aptos" w:hAnsi="Aptos"/>
                <w:b w:val="0"/>
                <w:sz w:val="14"/>
              </w:rPr>
              <w:t>ARM request, campaign config</w:t>
            </w:r>
          </w:p>
        </w:tc>
        <w:tc>
          <w:tcPr>
            <w:tcW w:type="dxa" w:w="3024"/>
            <w:vAlign w:val="center"/>
          </w:tcPr>
          <w:p>
            <w:r/>
            <w:r>
              <w:rPr>
                <w:rFonts w:ascii="Aptos" w:hAnsi="Aptos"/>
                <w:b w:val="0"/>
                <w:sz w:val="14"/>
              </w:rPr>
              <w:t>challenge_id, commitment, sealed payload</w:t>
            </w:r>
          </w:p>
        </w:tc>
        <w:tc>
          <w:tcPr>
            <w:tcW w:type="dxa" w:w="2592"/>
            <w:vAlign w:val="center"/>
          </w:tcPr>
          <w:p>
            <w:r/>
            <w:r>
              <w:rPr>
                <w:rFonts w:ascii="Aptos" w:hAnsi="Aptos"/>
                <w:b w:val="0"/>
                <w:sz w:val="14"/>
              </w:rPr>
              <w:t>Receiver data</w:t>
            </w:r>
          </w:p>
        </w:tc>
      </w:tr>
      <w:tr>
        <w:trPr>
          <w:cantSplit/>
        </w:trPr>
        <w:tc>
          <w:tcPr>
            <w:tcW w:type="dxa" w:w="1944"/>
            <w:vAlign w:val="center"/>
          </w:tcPr>
          <w:p>
            <w:r/>
            <w:r>
              <w:rPr>
                <w:rFonts w:ascii="Aptos" w:hAnsi="Aptos"/>
                <w:b w:val="0"/>
                <w:sz w:val="14"/>
              </w:rPr>
              <w:t>trial-orchestrator</w:t>
            </w:r>
          </w:p>
        </w:tc>
        <w:tc>
          <w:tcPr>
            <w:tcW w:type="dxa" w:w="2880"/>
            <w:vAlign w:val="center"/>
          </w:tcPr>
          <w:p>
            <w:r/>
            <w:r>
              <w:rPr>
                <w:rFonts w:ascii="Aptos" w:hAnsi="Aptos"/>
                <w:b w:val="0"/>
                <w:sz w:val="14"/>
              </w:rPr>
              <w:t>Trial schedule, condition token</w:t>
            </w:r>
          </w:p>
        </w:tc>
        <w:tc>
          <w:tcPr>
            <w:tcW w:type="dxa" w:w="3024"/>
            <w:vAlign w:val="center"/>
          </w:tcPr>
          <w:p>
            <w:r/>
            <w:r>
              <w:rPr>
                <w:rFonts w:ascii="Aptos" w:hAnsi="Aptos"/>
                <w:b w:val="0"/>
                <w:sz w:val="14"/>
              </w:rPr>
              <w:t>State transitions, hardware commands</w:t>
            </w:r>
          </w:p>
        </w:tc>
        <w:tc>
          <w:tcPr>
            <w:tcW w:type="dxa" w:w="2592"/>
            <w:vAlign w:val="center"/>
          </w:tcPr>
          <w:p>
            <w:r/>
            <w:r>
              <w:rPr>
                <w:rFonts w:ascii="Aptos" w:hAnsi="Aptos"/>
                <w:b w:val="0"/>
                <w:sz w:val="14"/>
              </w:rPr>
              <w:t>Expected response in blinded trials</w:t>
            </w:r>
          </w:p>
        </w:tc>
      </w:tr>
      <w:tr>
        <w:trPr>
          <w:cantSplit/>
        </w:trPr>
        <w:tc>
          <w:tcPr>
            <w:tcW w:type="dxa" w:w="1944"/>
            <w:vAlign w:val="center"/>
          </w:tcPr>
          <w:p>
            <w:r/>
            <w:r>
              <w:rPr>
                <w:rFonts w:ascii="Aptos" w:hAnsi="Aptos"/>
                <w:b w:val="0"/>
                <w:sz w:val="14"/>
              </w:rPr>
              <w:t>tx-driver</w:t>
            </w:r>
          </w:p>
        </w:tc>
        <w:tc>
          <w:tcPr>
            <w:tcW w:type="dxa" w:w="2880"/>
            <w:vAlign w:val="center"/>
          </w:tcPr>
          <w:p>
            <w:r/>
            <w:r>
              <w:rPr>
                <w:rFonts w:ascii="Aptos" w:hAnsi="Aptos"/>
                <w:b w:val="0"/>
                <w:sz w:val="14"/>
              </w:rPr>
              <w:t>Symbol stream, hardware profile</w:t>
            </w:r>
          </w:p>
        </w:tc>
        <w:tc>
          <w:tcPr>
            <w:tcW w:type="dxa" w:w="3024"/>
            <w:vAlign w:val="center"/>
          </w:tcPr>
          <w:p>
            <w:r/>
            <w:r>
              <w:rPr>
                <w:rFonts w:ascii="Aptos" w:hAnsi="Aptos"/>
                <w:b w:val="0"/>
                <w:sz w:val="14"/>
              </w:rPr>
              <w:t>Instrument commands, TX receipt</w:t>
            </w:r>
          </w:p>
        </w:tc>
        <w:tc>
          <w:tcPr>
            <w:tcW w:type="dxa" w:w="2592"/>
            <w:vAlign w:val="center"/>
          </w:tcPr>
          <w:p>
            <w:r/>
            <w:r>
              <w:rPr>
                <w:rFonts w:ascii="Aptos" w:hAnsi="Aptos"/>
                <w:b w:val="0"/>
                <w:sz w:val="14"/>
              </w:rPr>
              <w:t>Receiver stream</w:t>
            </w:r>
          </w:p>
        </w:tc>
      </w:tr>
      <w:tr>
        <w:trPr>
          <w:cantSplit/>
        </w:trPr>
        <w:tc>
          <w:tcPr>
            <w:tcW w:type="dxa" w:w="1944"/>
            <w:vAlign w:val="center"/>
          </w:tcPr>
          <w:p>
            <w:r/>
            <w:r>
              <w:rPr>
                <w:rFonts w:ascii="Aptos" w:hAnsi="Aptos"/>
                <w:b w:val="0"/>
                <w:sz w:val="14"/>
              </w:rPr>
              <w:t>daq-capture</w:t>
            </w:r>
          </w:p>
        </w:tc>
        <w:tc>
          <w:tcPr>
            <w:tcW w:type="dxa" w:w="2880"/>
            <w:vAlign w:val="center"/>
          </w:tcPr>
          <w:p>
            <w:r/>
            <w:r>
              <w:rPr>
                <w:rFonts w:ascii="Aptos" w:hAnsi="Aptos"/>
                <w:b w:val="0"/>
                <w:sz w:val="14"/>
              </w:rPr>
              <w:t>Analog/digital I/O</w:t>
            </w:r>
          </w:p>
        </w:tc>
        <w:tc>
          <w:tcPr>
            <w:tcW w:type="dxa" w:w="3024"/>
            <w:vAlign w:val="center"/>
          </w:tcPr>
          <w:p>
            <w:r/>
            <w:r>
              <w:rPr>
                <w:rFonts w:ascii="Aptos" w:hAnsi="Aptos"/>
                <w:b w:val="0"/>
                <w:sz w:val="14"/>
              </w:rPr>
              <w:t>Immutable raw files, timing log</w:t>
            </w:r>
          </w:p>
        </w:tc>
        <w:tc>
          <w:tcPr>
            <w:tcW w:type="dxa" w:w="2592"/>
            <w:vAlign w:val="center"/>
          </w:tcPr>
          <w:p>
            <w:r/>
            <w:r>
              <w:rPr>
                <w:rFonts w:ascii="Aptos" w:hAnsi="Aptos"/>
                <w:b w:val="0"/>
                <w:sz w:val="14"/>
              </w:rPr>
              <w:t>Challenge plaintext</w:t>
            </w:r>
          </w:p>
        </w:tc>
      </w:tr>
      <w:tr>
        <w:trPr>
          <w:cantSplit/>
        </w:trPr>
        <w:tc>
          <w:tcPr>
            <w:tcW w:type="dxa" w:w="1944"/>
            <w:vAlign w:val="center"/>
          </w:tcPr>
          <w:p>
            <w:r/>
            <w:r>
              <w:rPr>
                <w:rFonts w:ascii="Aptos" w:hAnsi="Aptos"/>
                <w:b w:val="0"/>
                <w:sz w:val="14"/>
              </w:rPr>
              <w:t>telemetry-capture</w:t>
            </w:r>
          </w:p>
        </w:tc>
        <w:tc>
          <w:tcPr>
            <w:tcW w:type="dxa" w:w="2880"/>
            <w:vAlign w:val="center"/>
          </w:tcPr>
          <w:p>
            <w:r/>
            <w:r>
              <w:rPr>
                <w:rFonts w:ascii="Aptos" w:hAnsi="Aptos"/>
                <w:b w:val="0"/>
                <w:sz w:val="14"/>
              </w:rPr>
              <w:t>Telemetry I/O</w:t>
            </w:r>
          </w:p>
        </w:tc>
        <w:tc>
          <w:tcPr>
            <w:tcW w:type="dxa" w:w="3024"/>
            <w:vAlign w:val="center"/>
          </w:tcPr>
          <w:p>
            <w:r/>
            <w:r>
              <w:rPr>
                <w:rFonts w:ascii="Aptos" w:hAnsi="Aptos"/>
                <w:b w:val="0"/>
                <w:sz w:val="14"/>
              </w:rPr>
              <w:t>Telemetry files + metadata</w:t>
            </w:r>
          </w:p>
        </w:tc>
        <w:tc>
          <w:tcPr>
            <w:tcW w:type="dxa" w:w="2592"/>
            <w:vAlign w:val="center"/>
          </w:tcPr>
          <w:p>
            <w:r/>
            <w:r>
              <w:rPr>
                <w:rFonts w:ascii="Aptos" w:hAnsi="Aptos"/>
                <w:b w:val="0"/>
                <w:sz w:val="14"/>
              </w:rPr>
              <w:t>Challenge plaintext</w:t>
            </w:r>
          </w:p>
        </w:tc>
      </w:tr>
      <w:tr>
        <w:trPr>
          <w:cantSplit/>
        </w:trPr>
        <w:tc>
          <w:tcPr>
            <w:tcW w:type="dxa" w:w="1944"/>
            <w:vAlign w:val="center"/>
          </w:tcPr>
          <w:p>
            <w:r/>
            <w:r>
              <w:rPr>
                <w:rFonts w:ascii="Aptos" w:hAnsi="Aptos"/>
                <w:b w:val="0"/>
                <w:sz w:val="14"/>
              </w:rPr>
              <w:t>artifact-sealer</w:t>
            </w:r>
          </w:p>
        </w:tc>
        <w:tc>
          <w:tcPr>
            <w:tcW w:type="dxa" w:w="2880"/>
            <w:vAlign w:val="center"/>
          </w:tcPr>
          <w:p>
            <w:r/>
            <w:r>
              <w:rPr>
                <w:rFonts w:ascii="Aptos" w:hAnsi="Aptos"/>
                <w:b w:val="0"/>
                <w:sz w:val="14"/>
              </w:rPr>
              <w:t>Raw files, manifests</w:t>
            </w:r>
          </w:p>
        </w:tc>
        <w:tc>
          <w:tcPr>
            <w:tcW w:type="dxa" w:w="3024"/>
            <w:vAlign w:val="center"/>
          </w:tcPr>
          <w:p>
            <w:r/>
            <w:r>
              <w:rPr>
                <w:rFonts w:ascii="Aptos" w:hAnsi="Aptos"/>
                <w:b w:val="0"/>
                <w:sz w:val="14"/>
              </w:rPr>
              <w:t>Hashes, signed bundle</w:t>
            </w:r>
          </w:p>
        </w:tc>
        <w:tc>
          <w:tcPr>
            <w:tcW w:type="dxa" w:w="2592"/>
            <w:vAlign w:val="center"/>
          </w:tcPr>
          <w:p>
            <w:r/>
            <w:r>
              <w:rPr>
                <w:rFonts w:ascii="Aptos" w:hAnsi="Aptos"/>
                <w:b w:val="0"/>
                <w:sz w:val="14"/>
              </w:rPr>
              <w:t>Scoring logic</w:t>
            </w:r>
          </w:p>
        </w:tc>
      </w:tr>
      <w:tr>
        <w:trPr>
          <w:cantSplit/>
        </w:trPr>
        <w:tc>
          <w:tcPr>
            <w:tcW w:type="dxa" w:w="1944"/>
            <w:vAlign w:val="center"/>
          </w:tcPr>
          <w:p>
            <w:r/>
            <w:r>
              <w:rPr>
                <w:rFonts w:ascii="Aptos" w:hAnsi="Aptos"/>
                <w:b w:val="0"/>
                <w:sz w:val="14"/>
              </w:rPr>
              <w:t>unseal-service</w:t>
            </w:r>
          </w:p>
        </w:tc>
        <w:tc>
          <w:tcPr>
            <w:tcW w:type="dxa" w:w="2880"/>
            <w:vAlign w:val="center"/>
          </w:tcPr>
          <w:p>
            <w:r/>
            <w:r>
              <w:rPr>
                <w:rFonts w:ascii="Aptos" w:hAnsi="Aptos"/>
                <w:b w:val="0"/>
                <w:sz w:val="14"/>
              </w:rPr>
              <w:t>Sealed challenge, CLOSE evidence</w:t>
            </w:r>
          </w:p>
        </w:tc>
        <w:tc>
          <w:tcPr>
            <w:tcW w:type="dxa" w:w="3024"/>
            <w:vAlign w:val="center"/>
          </w:tcPr>
          <w:p>
            <w:r/>
            <w:r>
              <w:rPr>
                <w:rFonts w:ascii="Aptos" w:hAnsi="Aptos"/>
                <w:b w:val="0"/>
                <w:sz w:val="14"/>
              </w:rPr>
              <w:t>Plaintext challenge + expected transform</w:t>
            </w:r>
          </w:p>
        </w:tc>
        <w:tc>
          <w:tcPr>
            <w:tcW w:type="dxa" w:w="2592"/>
            <w:vAlign w:val="center"/>
          </w:tcPr>
          <w:p>
            <w:r/>
            <w:r>
              <w:rPr>
                <w:rFonts w:ascii="Aptos" w:hAnsi="Aptos"/>
                <w:b w:val="0"/>
                <w:sz w:val="14"/>
              </w:rPr>
              <w:t>Pre-close execution</w:t>
            </w:r>
          </w:p>
        </w:tc>
      </w:tr>
      <w:tr>
        <w:trPr>
          <w:cantSplit/>
        </w:trPr>
        <w:tc>
          <w:tcPr>
            <w:tcW w:type="dxa" w:w="1944"/>
            <w:vAlign w:val="center"/>
          </w:tcPr>
          <w:p>
            <w:r/>
            <w:r>
              <w:rPr>
                <w:rFonts w:ascii="Aptos" w:hAnsi="Aptos"/>
                <w:b w:val="0"/>
                <w:sz w:val="14"/>
              </w:rPr>
              <w:t>scorer</w:t>
            </w:r>
          </w:p>
        </w:tc>
        <w:tc>
          <w:tcPr>
            <w:tcW w:type="dxa" w:w="2880"/>
            <w:vAlign w:val="center"/>
          </w:tcPr>
          <w:p>
            <w:r/>
            <w:r>
              <w:rPr>
                <w:rFonts w:ascii="Aptos" w:hAnsi="Aptos"/>
                <w:b w:val="0"/>
                <w:sz w:val="14"/>
              </w:rPr>
              <w:t>Closed/unsealed trial bundle</w:t>
            </w:r>
          </w:p>
        </w:tc>
        <w:tc>
          <w:tcPr>
            <w:tcW w:type="dxa" w:w="3024"/>
            <w:vAlign w:val="center"/>
          </w:tcPr>
          <w:p>
            <w:r/>
            <w:r>
              <w:rPr>
                <w:rFonts w:ascii="Aptos" w:hAnsi="Aptos"/>
                <w:b w:val="0"/>
                <w:sz w:val="14"/>
              </w:rPr>
              <w:t>Decoded response, metrics, p-values</w:t>
            </w:r>
          </w:p>
        </w:tc>
        <w:tc>
          <w:tcPr>
            <w:tcW w:type="dxa" w:w="2592"/>
            <w:vAlign w:val="center"/>
          </w:tcPr>
          <w:p>
            <w:r/>
            <w:r>
              <w:rPr>
                <w:rFonts w:ascii="Aptos" w:hAnsi="Aptos"/>
                <w:b w:val="0"/>
                <w:sz w:val="14"/>
              </w:rPr>
              <w:t>Hardware-control functions</w:t>
            </w:r>
          </w:p>
        </w:tc>
      </w:tr>
      <w:tr>
        <w:trPr>
          <w:cantSplit/>
        </w:trPr>
        <w:tc>
          <w:tcPr>
            <w:tcW w:type="dxa" w:w="1944"/>
            <w:vAlign w:val="center"/>
          </w:tcPr>
          <w:p>
            <w:r/>
            <w:r>
              <w:rPr>
                <w:rFonts w:ascii="Aptos" w:hAnsi="Aptos"/>
                <w:b w:val="0"/>
                <w:sz w:val="14"/>
              </w:rPr>
              <w:t>review-tool</w:t>
            </w:r>
          </w:p>
        </w:tc>
        <w:tc>
          <w:tcPr>
            <w:tcW w:type="dxa" w:w="2880"/>
            <w:vAlign w:val="center"/>
          </w:tcPr>
          <w:p>
            <w:r/>
            <w:r>
              <w:rPr>
                <w:rFonts w:ascii="Aptos" w:hAnsi="Aptos"/>
                <w:b w:val="0"/>
                <w:sz w:val="14"/>
              </w:rPr>
              <w:t>Campaign outputs</w:t>
            </w:r>
          </w:p>
        </w:tc>
        <w:tc>
          <w:tcPr>
            <w:tcW w:type="dxa" w:w="3024"/>
            <w:vAlign w:val="center"/>
          </w:tcPr>
          <w:p>
            <w:r/>
            <w:r>
              <w:rPr>
                <w:rFonts w:ascii="Aptos" w:hAnsi="Aptos"/>
                <w:b w:val="0"/>
                <w:sz w:val="14"/>
              </w:rPr>
              <w:t>Reviewer package</w:t>
            </w:r>
          </w:p>
        </w:tc>
        <w:tc>
          <w:tcPr>
            <w:tcW w:type="dxa" w:w="2592"/>
            <w:vAlign w:val="center"/>
          </w:tcPr>
          <w:p>
            <w:r/>
            <w:r>
              <w:rPr>
                <w:rFonts w:ascii="Aptos" w:hAnsi="Aptos"/>
                <w:b w:val="0"/>
                <w:sz w:val="14"/>
              </w:rPr>
              <w:t>Ability to alter raw artifacts</w:t>
            </w:r>
          </w:p>
        </w:tc>
      </w:tr>
    </w:tbl>
    <w:p>
      <w:pPr>
        <w:spacing w:after="40"/>
      </w:pPr>
    </w:p>
    <w:p>
      <w:pPr>
        <w:pStyle w:val="Heading2"/>
        <w:keepNext/>
      </w:pPr>
      <w:r>
        <w:t>10.1 Minimal service API concepts</w:t>
      </w:r>
    </w:p>
    <w:p>
      <w:pPr>
        <w:spacing w:after="100" w:line="247" w:lineRule="auto"/>
      </w:pPr>
      <w:r>
        <w:rPr>
          <w:rFonts w:ascii="Aptos" w:hAnsi="Aptos"/>
          <w:b w:val="0"/>
          <w:i w:val="0"/>
          <w:sz w:val="19"/>
        </w:rPr>
        <w:t>challenge-authority /arm returns a trial identifier and commitment record only after the trial is armed. challenge-authority /release is permitted only after CLOSE evidence is present. daq-capture /start accepts trial identifier and acquisition profile but no challenge payload. daq-capture /close finalizes files, computes hashes, and returns an immutable manifest. scorer /score accepts only closed/unsealed bundles.</w:t>
      </w:r>
    </w:p>
    <w:p>
      <w:pPr>
        <w:spacing w:after="100" w:line="247" w:lineRule="auto"/>
      </w:pPr>
      <w:r>
        <w:rPr>
          <w:rFonts w:ascii="Aptos" w:hAnsi="Aptos"/>
          <w:b w:val="0"/>
          <w:i w:val="0"/>
          <w:sz w:val="19"/>
        </w:rPr>
        <w:t>Authentication can be implementation-specific during development, but confirmatory campaigns should use signed requests or equivalent tamper-evident control logs.</w:t>
      </w:r>
    </w:p>
    <w:p>
      <w:pPr>
        <w:pStyle w:val="Heading1"/>
        <w:keepNext/>
      </w:pPr>
      <w:r>
        <w:t>11. Trial State Machine and Timing</w:t>
      </w:r>
    </w:p>
    <w:p>
      <w:pPr>
        <w:jc w:val="center"/>
      </w:pPr>
      <w:r>
        <w:drawing>
          <wp:inline xmlns:a="http://schemas.openxmlformats.org/drawingml/2006/main" xmlns:pic="http://schemas.openxmlformats.org/drawingml/2006/picture">
            <wp:extent cx="5943600" cy="483851"/>
            <wp:docPr id="5" name="Picture 5"/>
            <wp:cNvGraphicFramePr>
              <a:graphicFrameLocks noChangeAspect="1"/>
            </wp:cNvGraphicFramePr>
            <a:graphic>
              <a:graphicData uri="http://schemas.openxmlformats.org/drawingml/2006/picture">
                <pic:pic>
                  <pic:nvPicPr>
                    <pic:cNvPr id="0" name="fig5_trial_sequence.png"/>
                    <pic:cNvPicPr/>
                  </pic:nvPicPr>
                  <pic:blipFill>
                    <a:blip r:embed="rId13"/>
                    <a:stretch>
                      <a:fillRect/>
                    </a:stretch>
                  </pic:blipFill>
                  <pic:spPr>
                    <a:xfrm>
                      <a:off x="0" y="0"/>
                      <a:ext cx="5943600" cy="483851"/>
                    </a:xfrm>
                    <a:prstGeom prst="rect"/>
                  </pic:spPr>
                </pic:pic>
              </a:graphicData>
            </a:graphic>
          </wp:inline>
        </w:drawing>
      </w:r>
    </w:p>
    <w:p>
      <w:pPr>
        <w:jc w:val="center"/>
      </w:pPr>
      <w:r>
        <w:rPr>
          <w:rFonts w:ascii="Aptos" w:hAnsi="Aptos"/>
          <w:i/>
          <w:sz w:val="17"/>
        </w:rPr>
        <w:t>Figure 5. Trial state and trust sequence.</w:t>
      </w:r>
    </w:p>
    <w:p>
      <w:pPr>
        <w:spacing w:after="100" w:line="247" w:lineRule="auto"/>
      </w:pPr>
      <w:r>
        <w:rPr>
          <w:rFonts w:ascii="Aptos" w:hAnsi="Aptos"/>
          <w:b w:val="0"/>
          <w:i w:val="0"/>
          <w:sz w:val="19"/>
        </w:rPr>
        <w:t>The canonical state sequence is ARM -&gt; GENERATE -&gt; COMMIT -&gt; TRANSMIT -&gt; LISTEN/CAPTURE -&gt; CLOSE -&gt; UNSEAL -&gt; SCORE -&gt; ARCHIVE/REVIEW. No analysis process may observe the expected response before CLOSE. Observation windows, transform rules, decoder, and scoring thresholds are frozen before challenge generation.</w:t>
      </w:r>
    </w:p>
    <w:p>
      <w:pPr>
        <w:pStyle w:val="Heading1"/>
        <w:keepNext/>
      </w:pPr>
      <w:r>
        <w:t>12. Machine-Readable Trial Schema</w:t>
      </w:r>
    </w:p>
    <w:p>
      <w:pPr>
        <w:spacing w:after="100" w:line="247" w:lineRule="auto"/>
      </w:pPr>
      <w:r>
        <w:rPr>
          <w:rFonts w:ascii="Aptos" w:hAnsi="Aptos"/>
          <w:b w:val="0"/>
          <w:i w:val="0"/>
          <w:sz w:val="19"/>
        </w:rPr>
        <w:t>A minimum trial record is written before scoring. After CLOSE and unseal, derived fields are appended as a new signed record rather than rewriting the raw acquisition record.</w:t>
      </w:r>
    </w:p>
    <w:p>
      <w:pPr>
        <w:ind w:left="432" w:right="432"/>
      </w:pPr>
      <w:r>
        <w:rPr>
          <w:rFonts w:ascii="Consolas" w:hAnsi="Consolas"/>
          <w:sz w:val="15"/>
        </w:rPr>
        <w:t>{</w:t>
        <w:br/>
        <w:t xml:space="preserve">  "trial_id": "uuid",</w:t>
        <w:br/>
        <w:t xml:space="preserve">  "campaign_id": "string",</w:t>
        <w:br/>
        <w:t xml:space="preserve">  "protocol_version": 1,</w:t>
        <w:br/>
        <w:t xml:space="preserve">  "condition_code_sealed": "opaque-token",</w:t>
        <w:br/>
        <w:t xml:space="preserve">  "hardware_config_hash": "sha256",</w:t>
        <w:br/>
        <w:t xml:space="preserve">  "software_config_hash": "sha256",</w:t>
        <w:br/>
        <w:t xml:space="preserve">  "challenge_commitment": "sha256",</w:t>
        <w:br/>
        <w:t xml:space="preserve">  "challenge_bits": null,</w:t>
        <w:br/>
        <w:t xml:space="preserve">  "transform_id": 1,</w:t>
        <w:br/>
        <w:t xml:space="preserve">  "t_arm_utc": "timestamp",</w:t>
        <w:br/>
        <w:t xml:space="preserve">  "t_tx_start_utc": "timestamp",</w:t>
        <w:br/>
        <w:t xml:space="preserve">  "t_tx_end_utc": "timestamp",</w:t>
        <w:br/>
        <w:t xml:space="preserve">  "t_close_utc": "timestamp",</w:t>
        <w:br/>
        <w:t xml:space="preserve">  "raw_receiver_uri": "artifact-ref",</w:t>
        <w:br/>
        <w:t xml:space="preserve">  "raw_receiver_sha256": "sha256",</w:t>
        <w:br/>
        <w:t xml:space="preserve">  "telemetry_uri": "artifact-ref",</w:t>
        <w:br/>
        <w:t xml:space="preserve">  "telemetry_sha256": "sha256",</w:t>
        <w:br/>
        <w:t xml:space="preserve">  "decoded_response": null,</w:t>
        <w:br/>
        <w:t xml:space="preserve">  "score_status": "SEALED"</w:t>
        <w:br/>
        <w:t>}</w:t>
      </w:r>
    </w:p>
    <w:p>
      <w:pPr>
        <w:pStyle w:val="Heading1"/>
        <w:keepNext/>
      </w:pPr>
      <w:r>
        <w:t>13. Calibration Worksheets</w:t>
      </w:r>
    </w:p>
    <w:p>
      <w:r>
        <w:br w:type="page"/>
      </w:r>
    </w:p>
    <w:p>
      <w:pPr>
        <w:pStyle w:val="Heading2"/>
        <w:keepNext/>
      </w:pPr>
      <w:r>
        <w:t>CAL-01 - Inventory, Identity, and Configuration Freeze</w:t>
      </w:r>
    </w:p>
    <w:p>
      <w:pPr>
        <w:spacing w:after="100" w:line="247" w:lineRule="auto"/>
      </w:pPr>
      <w:r>
        <w:rPr>
          <w:rFonts w:ascii="Aptos" w:hAnsi="Aptos"/>
          <w:b w:val="0"/>
          <w:i w:val="0"/>
          <w:sz w:val="19"/>
        </w:rPr>
        <w:t>Objective: Establish exactly what hardware/software instance produced the campaign.</w:t>
      </w:r>
    </w:p>
    <w:p>
      <w:pPr>
        <w:spacing w:after="100" w:line="247" w:lineRule="auto"/>
      </w:pPr>
      <w:r>
        <w:rPr>
          <w:rFonts w:ascii="Aptos" w:hAnsi="Aptos"/>
          <w:b w:val="0"/>
          <w:i w:val="0"/>
          <w:sz w:val="19"/>
        </w:rPr>
        <w:t>Method / record: Instrument manufacturer/model/serial; firmware; calibration status; host image hash; application build hash; cable IDs; sensor serials; fluidic component IDs; network interfaces; disabled radios; operator; date/time.</w:t>
      </w:r>
    </w:p>
    <w:p>
      <w:pPr>
        <w:spacing w:after="100" w:line="247" w:lineRule="auto"/>
      </w:pPr>
      <w:r>
        <w:rPr>
          <w:rFonts w:ascii="Aptos" w:hAnsi="Aptos"/>
          <w:b/>
          <w:i w:val="0"/>
          <w:sz w:val="19"/>
        </w:rPr>
        <w:t>Pass: All listed items match the approved manifest and no unapproved interface is active.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pPr>
        <w:pStyle w:val="Heading2"/>
        <w:keepNext/>
      </w:pPr>
      <w:r>
        <w:t>CAL-02 - DAQ and Analog Chain Calibration</w:t>
      </w:r>
    </w:p>
    <w:p>
      <w:pPr>
        <w:spacing w:after="100" w:line="247" w:lineRule="auto"/>
      </w:pPr>
      <w:r>
        <w:rPr>
          <w:rFonts w:ascii="Aptos" w:hAnsi="Aptos"/>
          <w:b w:val="0"/>
          <w:i w:val="0"/>
          <w:sz w:val="19"/>
        </w:rPr>
        <w:t>Objective: Characterize offset, gain, noise, bandwidth, clipping, timing, and channel crosstalk.</w:t>
      </w:r>
    </w:p>
    <w:p>
      <w:pPr>
        <w:spacing w:after="100" w:line="247" w:lineRule="auto"/>
      </w:pPr>
      <w:r>
        <w:rPr>
          <w:rFonts w:ascii="Aptos" w:hAnsi="Aptos"/>
          <w:b w:val="0"/>
          <w:i w:val="0"/>
          <w:sz w:val="19"/>
        </w:rPr>
        <w:t>Method / record: Precision source/load or loopback fixture; zero-input capture; known-amplitude sweeps; timing marker injection; adjacent-channel activity test.</w:t>
      </w:r>
    </w:p>
    <w:p>
      <w:pPr>
        <w:spacing w:after="100" w:line="247" w:lineRule="auto"/>
      </w:pPr>
      <w:r>
        <w:rPr>
          <w:rFonts w:ascii="Aptos" w:hAnsi="Aptos"/>
          <w:b/>
          <w:i w:val="0"/>
          <w:sz w:val="19"/>
        </w:rPr>
        <w:t>Pass: Within manufacturer/lab tolerance and preregistered limits; no crosstalk capable of producing a valid response.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r>
        <w:br w:type="page"/>
      </w:r>
    </w:p>
    <w:p>
      <w:pPr>
        <w:pStyle w:val="Heading2"/>
        <w:keepNext/>
      </w:pPr>
      <w:r>
        <w:t>CAL-03 - Known Microscopic Channel Transfer Function</w:t>
      </w:r>
    </w:p>
    <w:p>
      <w:pPr>
        <w:spacing w:after="100" w:line="247" w:lineRule="auto"/>
      </w:pPr>
      <w:r>
        <w:rPr>
          <w:rFonts w:ascii="Aptos" w:hAnsi="Aptos"/>
          <w:b w:val="0"/>
          <w:i w:val="0"/>
          <w:sz w:val="19"/>
        </w:rPr>
        <w:t>Objective: Establish symbol-state separation, transport delay, dispersion, settling/recovery, and BER.</w:t>
      </w:r>
    </w:p>
    <w:p>
      <w:pPr>
        <w:spacing w:after="100" w:line="247" w:lineRule="auto"/>
      </w:pPr>
      <w:r>
        <w:rPr>
          <w:rFonts w:ascii="Aptos" w:hAnsi="Aptos"/>
          <w:b w:val="0"/>
          <w:i w:val="0"/>
          <w:sz w:val="19"/>
        </w:rPr>
        <w:t>Method / record: Long known-pattern sequences over the complete fluidic path at candidate flow/concentration settings.</w:t>
      </w:r>
    </w:p>
    <w:p>
      <w:pPr>
        <w:spacing w:after="100" w:line="247" w:lineRule="auto"/>
      </w:pPr>
      <w:r>
        <w:rPr>
          <w:rFonts w:ascii="Aptos" w:hAnsi="Aptos"/>
          <w:b/>
          <w:i w:val="0"/>
          <w:sz w:val="19"/>
        </w:rPr>
        <w:t>Pass: Selected operating point meets BER &lt;= 1e-3 over &gt;=1e6 bits or technically justified equivalent.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pPr>
        <w:pStyle w:val="Heading2"/>
        <w:keepNext/>
      </w:pPr>
      <w:r>
        <w:t>CAL-04 - Blocked-Path Isolation Survey</w:t>
      </w:r>
    </w:p>
    <w:p>
      <w:pPr>
        <w:spacing w:after="100" w:line="247" w:lineRule="auto"/>
      </w:pPr>
      <w:r>
        <w:rPr>
          <w:rFonts w:ascii="Aptos" w:hAnsi="Aptos"/>
          <w:b w:val="0"/>
          <w:i w:val="0"/>
          <w:sz w:val="19"/>
        </w:rPr>
        <w:t>Objective: Verify that removing the intended microscopic path removes challenge information from the receiver path.</w:t>
      </w:r>
    </w:p>
    <w:p>
      <w:pPr>
        <w:spacing w:after="100" w:line="247" w:lineRule="auto"/>
      </w:pPr>
      <w:r>
        <w:rPr>
          <w:rFonts w:ascii="Aptos" w:hAnsi="Aptos"/>
          <w:b w:val="0"/>
          <w:i w:val="0"/>
          <w:sz w:val="19"/>
        </w:rPr>
        <w:t>Method / record: Execute identical TX schedule with the communication route blocked/diverted; record receiver and telemetry channels.</w:t>
      </w:r>
    </w:p>
    <w:p>
      <w:pPr>
        <w:spacing w:after="100" w:line="247" w:lineRule="auto"/>
      </w:pPr>
      <w:r>
        <w:rPr>
          <w:rFonts w:ascii="Aptos" w:hAnsi="Aptos"/>
          <w:b/>
          <w:i w:val="0"/>
          <w:sz w:val="19"/>
        </w:rPr>
        <w:t>Pass: No preregistered challenge-linked metric exceeds the corrected control threshold.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r>
        <w:br w:type="page"/>
      </w:r>
    </w:p>
    <w:p>
      <w:pPr>
        <w:pStyle w:val="Heading2"/>
        <w:keepNext/>
      </w:pPr>
      <w:r>
        <w:t>CAL-05 - Telemetry Completeness and Alignment</w:t>
      </w:r>
    </w:p>
    <w:p>
      <w:pPr>
        <w:spacing w:after="100" w:line="247" w:lineRule="auto"/>
      </w:pPr>
      <w:r>
        <w:rPr>
          <w:rFonts w:ascii="Aptos" w:hAnsi="Aptos"/>
          <w:b w:val="0"/>
          <w:i w:val="0"/>
          <w:sz w:val="19"/>
        </w:rPr>
        <w:t>Objective: Prove that required environmental channels are captured and time-aligned.</w:t>
      </w:r>
    </w:p>
    <w:p>
      <w:pPr>
        <w:spacing w:after="100" w:line="247" w:lineRule="auto"/>
      </w:pPr>
      <w:r>
        <w:rPr>
          <w:rFonts w:ascii="Aptos" w:hAnsi="Aptos"/>
          <w:b w:val="0"/>
          <w:i w:val="0"/>
          <w:sz w:val="19"/>
        </w:rPr>
        <w:t>Method / record: Inject known events visible in selected telemetry channels and verify timestamps relative to DAQ timing markers.</w:t>
      </w:r>
    </w:p>
    <w:p>
      <w:pPr>
        <w:spacing w:after="100" w:line="247" w:lineRule="auto"/>
      </w:pPr>
      <w:r>
        <w:rPr>
          <w:rFonts w:ascii="Aptos" w:hAnsi="Aptos"/>
          <w:b/>
          <w:i w:val="0"/>
          <w:sz w:val="19"/>
        </w:rPr>
        <w:t>Pass: &gt;=99% required telemetry completeness; timing uncertainty within declared tolerance.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pPr>
        <w:pStyle w:val="Heading2"/>
        <w:keepNext/>
      </w:pPr>
      <w:r>
        <w:t>CAL-06 - Blinding and Premature-Access Test</w:t>
      </w:r>
    </w:p>
    <w:p>
      <w:pPr>
        <w:spacing w:after="100" w:line="247" w:lineRule="auto"/>
      </w:pPr>
      <w:r>
        <w:rPr>
          <w:rFonts w:ascii="Aptos" w:hAnsi="Aptos"/>
          <w:b w:val="0"/>
          <w:i w:val="0"/>
          <w:sz w:val="19"/>
        </w:rPr>
        <w:t>Objective: Demonstrate receiver acquisition and scoring cannot access challenge or expected response before CLOSE.</w:t>
      </w:r>
    </w:p>
    <w:p>
      <w:pPr>
        <w:spacing w:after="100" w:line="247" w:lineRule="auto"/>
      </w:pPr>
      <w:r>
        <w:rPr>
          <w:rFonts w:ascii="Aptos" w:hAnsi="Aptos"/>
          <w:b w:val="0"/>
          <w:i w:val="0"/>
          <w:sz w:val="19"/>
        </w:rPr>
        <w:t>Method / record: Permissions audit, route/firewall review, packet/log inspection, file-system test, controlled access attempt.</w:t>
      </w:r>
    </w:p>
    <w:p>
      <w:pPr>
        <w:spacing w:after="100" w:line="247" w:lineRule="auto"/>
      </w:pPr>
      <w:r>
        <w:rPr>
          <w:rFonts w:ascii="Aptos" w:hAnsi="Aptos"/>
          <w:b/>
          <w:i w:val="0"/>
          <w:sz w:val="19"/>
        </w:rPr>
        <w:t>Pass: All pre-close attempts fail and are logged; no challenge material appears in receiver/analysis artifacts.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r>
        <w:br w:type="page"/>
      </w:r>
    </w:p>
    <w:p>
      <w:pPr>
        <w:pStyle w:val="Heading2"/>
        <w:keepNext/>
      </w:pPr>
      <w:r>
        <w:t>CAL-07 - Artifact Integrity and Recovery</w:t>
      </w:r>
    </w:p>
    <w:p>
      <w:pPr>
        <w:spacing w:after="100" w:line="247" w:lineRule="auto"/>
      </w:pPr>
      <w:r>
        <w:rPr>
          <w:rFonts w:ascii="Aptos" w:hAnsi="Aptos"/>
          <w:b w:val="0"/>
          <w:i w:val="0"/>
          <w:sz w:val="19"/>
        </w:rPr>
        <w:t>Objective: Verify trial artifacts cannot be silently altered after closure and archive can be reconstructed.</w:t>
      </w:r>
    </w:p>
    <w:p>
      <w:pPr>
        <w:spacing w:after="100" w:line="247" w:lineRule="auto"/>
      </w:pPr>
      <w:r>
        <w:rPr>
          <w:rFonts w:ascii="Aptos" w:hAnsi="Aptos"/>
          <w:b w:val="0"/>
          <w:i w:val="0"/>
          <w:sz w:val="19"/>
        </w:rPr>
        <w:t>Method / record: Create test trial, seal/hash, copy through archive path, attempt controlled modification, validate detection, restore/re-score.</w:t>
      </w:r>
    </w:p>
    <w:p>
      <w:pPr>
        <w:spacing w:after="100" w:line="247" w:lineRule="auto"/>
      </w:pPr>
      <w:r>
        <w:rPr>
          <w:rFonts w:ascii="Aptos" w:hAnsi="Aptos"/>
          <w:b/>
          <w:i w:val="0"/>
          <w:sz w:val="19"/>
        </w:rPr>
        <w:t>Pass: Unauthorized changes are detected; hashes reproduce; archived data can be independently re-read and scored.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6"/>
              </w:rPr>
              <w:t>Worksheet field</w:t>
            </w:r>
          </w:p>
        </w:tc>
        <w:tc>
          <w:tcPr>
            <w:tcW w:type="dxa" w:w="7200"/>
            <w:vAlign w:val="center"/>
            <w:shd w:fill="D9EAF7"/>
          </w:tcPr>
          <w:p>
            <w:r/>
            <w:r>
              <w:rPr>
                <w:rFonts w:ascii="Aptos" w:hAnsi="Aptos"/>
                <w:b/>
                <w:sz w:val="16"/>
              </w:rPr>
              <w:t>Entry</w:t>
            </w:r>
          </w:p>
        </w:tc>
      </w:tr>
      <w:tr>
        <w:trPr>
          <w:cantSplit/>
        </w:trPr>
        <w:tc>
          <w:tcPr>
            <w:tcW w:type="dxa" w:w="3168"/>
            <w:vAlign w:val="center"/>
          </w:tcPr>
          <w:p>
            <w:r/>
            <w:r>
              <w:rPr>
                <w:rFonts w:ascii="Aptos" w:hAnsi="Aptos"/>
                <w:b w:val="0"/>
                <w:sz w:val="16"/>
              </w:rPr>
              <w:t>Campaign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Apparatus ID</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Manifest / build hash</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Measured result / deviation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Corrective action</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Operator initials / date</w:t>
            </w:r>
          </w:p>
        </w:tc>
        <w:tc>
          <w:tcPr>
            <w:tcW w:type="dxa" w:w="7200"/>
            <w:vAlign w:val="center"/>
          </w:tcPr>
          <w:p>
            <w:r/>
            <w:r>
              <w:rPr>
                <w:rFonts w:ascii="Aptos" w:hAnsi="Aptos"/>
                <w:b w:val="0"/>
                <w:sz w:val="16"/>
              </w:rPr>
            </w:r>
          </w:p>
        </w:tc>
      </w:tr>
      <w:tr>
        <w:trPr>
          <w:cantSplit/>
        </w:trPr>
        <w:tc>
          <w:tcPr>
            <w:tcW w:type="dxa" w:w="3168"/>
            <w:vAlign w:val="center"/>
          </w:tcPr>
          <w:p>
            <w:r/>
            <w:r>
              <w:rPr>
                <w:rFonts w:ascii="Aptos" w:hAnsi="Aptos"/>
                <w:b w:val="0"/>
                <w:sz w:val="16"/>
              </w:rPr>
              <w:t>Reviewer initials / date</w:t>
            </w:r>
          </w:p>
        </w:tc>
        <w:tc>
          <w:tcPr>
            <w:tcW w:type="dxa" w:w="7200"/>
            <w:vAlign w:val="center"/>
          </w:tcPr>
          <w:p>
            <w:r/>
            <w:r>
              <w:rPr>
                <w:rFonts w:ascii="Aptos" w:hAnsi="Aptos"/>
                <w:b w:val="0"/>
                <w:sz w:val="16"/>
              </w:rPr>
            </w:r>
          </w:p>
        </w:tc>
      </w:tr>
    </w:tbl>
    <w:p>
      <w:pPr>
        <w:spacing w:after="40"/>
      </w:pPr>
    </w:p>
    <w:p>
      <w:pPr>
        <w:pStyle w:val="Heading1"/>
        <w:keepNext/>
      </w:pPr>
      <w:r>
        <w:t>14. Acceptance Gates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864"/>
            <w:vAlign w:val="center"/>
            <w:shd w:fill="D9EAF7"/>
          </w:tcPr>
          <w:p>
            <w:r/>
            <w:r>
              <w:rPr>
                <w:rFonts w:ascii="Aptos" w:hAnsi="Aptos"/>
                <w:b/>
                <w:sz w:val="15"/>
              </w:rPr>
              <w:t>Gate</w:t>
            </w:r>
          </w:p>
        </w:tc>
        <w:tc>
          <w:tcPr>
            <w:tcW w:type="dxa" w:w="2592"/>
            <w:vAlign w:val="center"/>
            <w:shd w:fill="D9EAF7"/>
          </w:tcPr>
          <w:p>
            <w:r/>
            <w:r>
              <w:rPr>
                <w:rFonts w:ascii="Aptos" w:hAnsi="Aptos"/>
                <w:b/>
                <w:sz w:val="15"/>
              </w:rPr>
              <w:t>Requirement</w:t>
            </w:r>
          </w:p>
        </w:tc>
        <w:tc>
          <w:tcPr>
            <w:tcW w:type="dxa" w:w="4752"/>
            <w:vAlign w:val="center"/>
            <w:shd w:fill="D9EAF7"/>
          </w:tcPr>
          <w:p>
            <w:r/>
            <w:r>
              <w:rPr>
                <w:rFonts w:ascii="Aptos" w:hAnsi="Aptos"/>
                <w:b/>
                <w:sz w:val="15"/>
              </w:rPr>
              <w:t>Pass criterion</w:t>
            </w:r>
          </w:p>
        </w:tc>
        <w:tc>
          <w:tcPr>
            <w:tcW w:type="dxa" w:w="2592"/>
            <w:vAlign w:val="center"/>
            <w:shd w:fill="D9EAF7"/>
          </w:tcPr>
          <w:p>
            <w:r/>
            <w:r>
              <w:rPr>
                <w:rFonts w:ascii="Aptos" w:hAnsi="Aptos"/>
                <w:b/>
                <w:sz w:val="15"/>
              </w:rPr>
              <w:t>Failure action</w:t>
            </w:r>
          </w:p>
        </w:tc>
      </w:tr>
      <w:tr>
        <w:trPr>
          <w:cantSplit/>
        </w:trPr>
        <w:tc>
          <w:tcPr>
            <w:tcW w:type="dxa" w:w="864"/>
            <w:vAlign w:val="center"/>
          </w:tcPr>
          <w:p>
            <w:r/>
            <w:r>
              <w:rPr>
                <w:rFonts w:ascii="Aptos" w:hAnsi="Aptos"/>
                <w:b w:val="0"/>
                <w:sz w:val="15"/>
              </w:rPr>
              <w:t>A0</w:t>
            </w:r>
          </w:p>
        </w:tc>
        <w:tc>
          <w:tcPr>
            <w:tcW w:type="dxa" w:w="2592"/>
            <w:vAlign w:val="center"/>
          </w:tcPr>
          <w:p>
            <w:r/>
            <w:r>
              <w:rPr>
                <w:rFonts w:ascii="Aptos" w:hAnsi="Aptos"/>
                <w:b w:val="0"/>
                <w:sz w:val="15"/>
              </w:rPr>
              <w:t>Inventory/hash verification</w:t>
            </w:r>
          </w:p>
        </w:tc>
        <w:tc>
          <w:tcPr>
            <w:tcW w:type="dxa" w:w="4752"/>
            <w:vAlign w:val="center"/>
          </w:tcPr>
          <w:p>
            <w:r/>
            <w:r>
              <w:rPr>
                <w:rFonts w:ascii="Aptos" w:hAnsi="Aptos"/>
                <w:b w:val="0"/>
                <w:sz w:val="15"/>
              </w:rPr>
              <w:t>100% match to frozen manifest</w:t>
            </w:r>
          </w:p>
        </w:tc>
        <w:tc>
          <w:tcPr>
            <w:tcW w:type="dxa" w:w="2592"/>
            <w:vAlign w:val="center"/>
          </w:tcPr>
          <w:p>
            <w:r/>
            <w:r>
              <w:rPr>
                <w:rFonts w:ascii="Aptos" w:hAnsi="Aptos"/>
                <w:b w:val="0"/>
                <w:sz w:val="15"/>
              </w:rPr>
              <w:t>Stop and reconcile configuration</w:t>
            </w:r>
          </w:p>
        </w:tc>
      </w:tr>
      <w:tr>
        <w:trPr>
          <w:cantSplit/>
        </w:trPr>
        <w:tc>
          <w:tcPr>
            <w:tcW w:type="dxa" w:w="864"/>
            <w:vAlign w:val="center"/>
          </w:tcPr>
          <w:p>
            <w:r/>
            <w:r>
              <w:rPr>
                <w:rFonts w:ascii="Aptos" w:hAnsi="Aptos"/>
                <w:b w:val="0"/>
                <w:sz w:val="15"/>
              </w:rPr>
              <w:t>A1</w:t>
            </w:r>
          </w:p>
        </w:tc>
        <w:tc>
          <w:tcPr>
            <w:tcW w:type="dxa" w:w="2592"/>
            <w:vAlign w:val="center"/>
          </w:tcPr>
          <w:p>
            <w:r/>
            <w:r>
              <w:rPr>
                <w:rFonts w:ascii="Aptos" w:hAnsi="Aptos"/>
                <w:b w:val="0"/>
                <w:sz w:val="15"/>
              </w:rPr>
              <w:t>DAQ/analog calibration</w:t>
            </w:r>
          </w:p>
        </w:tc>
        <w:tc>
          <w:tcPr>
            <w:tcW w:type="dxa" w:w="4752"/>
            <w:vAlign w:val="center"/>
          </w:tcPr>
          <w:p>
            <w:r/>
            <w:r>
              <w:rPr>
                <w:rFonts w:ascii="Aptos" w:hAnsi="Aptos"/>
                <w:b w:val="0"/>
                <w:sz w:val="15"/>
              </w:rPr>
              <w:t>Within declared tolerance</w:t>
            </w:r>
          </w:p>
        </w:tc>
        <w:tc>
          <w:tcPr>
            <w:tcW w:type="dxa" w:w="2592"/>
            <w:vAlign w:val="center"/>
          </w:tcPr>
          <w:p>
            <w:r/>
            <w:r>
              <w:rPr>
                <w:rFonts w:ascii="Aptos" w:hAnsi="Aptos"/>
                <w:b w:val="0"/>
                <w:sz w:val="15"/>
              </w:rPr>
              <w:t>Recalibrate/repair</w:t>
            </w:r>
          </w:p>
        </w:tc>
      </w:tr>
      <w:tr>
        <w:trPr>
          <w:cantSplit/>
        </w:trPr>
        <w:tc>
          <w:tcPr>
            <w:tcW w:type="dxa" w:w="864"/>
            <w:vAlign w:val="center"/>
          </w:tcPr>
          <w:p>
            <w:r/>
            <w:r>
              <w:rPr>
                <w:rFonts w:ascii="Aptos" w:hAnsi="Aptos"/>
                <w:b w:val="0"/>
                <w:sz w:val="15"/>
              </w:rPr>
              <w:t>A2</w:t>
            </w:r>
          </w:p>
        </w:tc>
        <w:tc>
          <w:tcPr>
            <w:tcW w:type="dxa" w:w="2592"/>
            <w:vAlign w:val="center"/>
          </w:tcPr>
          <w:p>
            <w:r/>
            <w:r>
              <w:rPr>
                <w:rFonts w:ascii="Aptos" w:hAnsi="Aptos"/>
                <w:b w:val="0"/>
                <w:sz w:val="15"/>
              </w:rPr>
              <w:t>Known-link BER</w:t>
            </w:r>
          </w:p>
        </w:tc>
        <w:tc>
          <w:tcPr>
            <w:tcW w:type="dxa" w:w="4752"/>
            <w:vAlign w:val="center"/>
          </w:tcPr>
          <w:p>
            <w:r/>
            <w:r>
              <w:rPr>
                <w:rFonts w:ascii="Aptos" w:hAnsi="Aptos"/>
                <w:b w:val="0"/>
                <w:sz w:val="15"/>
              </w:rPr>
              <w:t>&lt;=1e-3 over &gt;=1e6 bits or justified equivalent</w:t>
            </w:r>
          </w:p>
        </w:tc>
        <w:tc>
          <w:tcPr>
            <w:tcW w:type="dxa" w:w="2592"/>
            <w:vAlign w:val="center"/>
          </w:tcPr>
          <w:p>
            <w:r/>
            <w:r>
              <w:rPr>
                <w:rFonts w:ascii="Aptos" w:hAnsi="Aptos"/>
                <w:b w:val="0"/>
                <w:sz w:val="15"/>
              </w:rPr>
              <w:t>Tune interface; do not isolate yet</w:t>
            </w:r>
          </w:p>
        </w:tc>
      </w:tr>
      <w:tr>
        <w:trPr>
          <w:cantSplit/>
        </w:trPr>
        <w:tc>
          <w:tcPr>
            <w:tcW w:type="dxa" w:w="864"/>
            <w:vAlign w:val="center"/>
          </w:tcPr>
          <w:p>
            <w:r/>
            <w:r>
              <w:rPr>
                <w:rFonts w:ascii="Aptos" w:hAnsi="Aptos"/>
                <w:b w:val="0"/>
                <w:sz w:val="15"/>
              </w:rPr>
              <w:t>A3</w:t>
            </w:r>
          </w:p>
        </w:tc>
        <w:tc>
          <w:tcPr>
            <w:tcW w:type="dxa" w:w="2592"/>
            <w:vAlign w:val="center"/>
          </w:tcPr>
          <w:p>
            <w:r/>
            <w:r>
              <w:rPr>
                <w:rFonts w:ascii="Aptos" w:hAnsi="Aptos"/>
                <w:b w:val="0"/>
                <w:sz w:val="15"/>
              </w:rPr>
              <w:t>Leakage survey</w:t>
            </w:r>
          </w:p>
        </w:tc>
        <w:tc>
          <w:tcPr>
            <w:tcW w:type="dxa" w:w="4752"/>
            <w:vAlign w:val="center"/>
          </w:tcPr>
          <w:p>
            <w:r/>
            <w:r>
              <w:rPr>
                <w:rFonts w:ascii="Aptos" w:hAnsi="Aptos"/>
                <w:b w:val="0"/>
                <w:sz w:val="15"/>
              </w:rPr>
              <w:t>No unmodeled path carries challenge information above threshold</w:t>
            </w:r>
          </w:p>
        </w:tc>
        <w:tc>
          <w:tcPr>
            <w:tcW w:type="dxa" w:w="2592"/>
            <w:vAlign w:val="center"/>
          </w:tcPr>
          <w:p>
            <w:r/>
            <w:r>
              <w:rPr>
                <w:rFonts w:ascii="Aptos" w:hAnsi="Aptos"/>
                <w:b w:val="0"/>
                <w:sz w:val="15"/>
              </w:rPr>
              <w:t>Redesign boundary</w:t>
            </w:r>
          </w:p>
        </w:tc>
      </w:tr>
      <w:tr>
        <w:trPr>
          <w:cantSplit/>
        </w:trPr>
        <w:tc>
          <w:tcPr>
            <w:tcW w:type="dxa" w:w="864"/>
            <w:vAlign w:val="center"/>
          </w:tcPr>
          <w:p>
            <w:r/>
            <w:r>
              <w:rPr>
                <w:rFonts w:ascii="Aptos" w:hAnsi="Aptos"/>
                <w:b w:val="0"/>
                <w:sz w:val="15"/>
              </w:rPr>
              <w:t>A4</w:t>
            </w:r>
          </w:p>
        </w:tc>
        <w:tc>
          <w:tcPr>
            <w:tcW w:type="dxa" w:w="2592"/>
            <w:vAlign w:val="center"/>
          </w:tcPr>
          <w:p>
            <w:r/>
            <w:r>
              <w:rPr>
                <w:rFonts w:ascii="Aptos" w:hAnsi="Aptos"/>
                <w:b w:val="0"/>
                <w:sz w:val="15"/>
              </w:rPr>
              <w:t>Blinded controls</w:t>
            </w:r>
          </w:p>
        </w:tc>
        <w:tc>
          <w:tcPr>
            <w:tcW w:type="dxa" w:w="4752"/>
            <w:vAlign w:val="center"/>
          </w:tcPr>
          <w:p>
            <w:r/>
            <w:r>
              <w:rPr>
                <w:rFonts w:ascii="Aptos" w:hAnsi="Aptos"/>
                <w:b w:val="0"/>
                <w:sz w:val="15"/>
              </w:rPr>
              <w:t>No challenge-linked excess beyond corrected alpha</w:t>
            </w:r>
          </w:p>
        </w:tc>
        <w:tc>
          <w:tcPr>
            <w:tcW w:type="dxa" w:w="2592"/>
            <w:vAlign w:val="center"/>
          </w:tcPr>
          <w:p>
            <w:r/>
            <w:r>
              <w:rPr>
                <w:rFonts w:ascii="Aptos" w:hAnsi="Aptos"/>
                <w:b w:val="0"/>
                <w:sz w:val="15"/>
              </w:rPr>
              <w:t>Debug pipeline</w:t>
            </w:r>
          </w:p>
        </w:tc>
      </w:tr>
      <w:tr>
        <w:trPr>
          <w:cantSplit/>
        </w:trPr>
        <w:tc>
          <w:tcPr>
            <w:tcW w:type="dxa" w:w="864"/>
            <w:vAlign w:val="center"/>
          </w:tcPr>
          <w:p>
            <w:r/>
            <w:r>
              <w:rPr>
                <w:rFonts w:ascii="Aptos" w:hAnsi="Aptos"/>
                <w:b w:val="0"/>
                <w:sz w:val="15"/>
              </w:rPr>
              <w:t>A5</w:t>
            </w:r>
          </w:p>
        </w:tc>
        <w:tc>
          <w:tcPr>
            <w:tcW w:type="dxa" w:w="2592"/>
            <w:vAlign w:val="center"/>
          </w:tcPr>
          <w:p>
            <w:r/>
            <w:r>
              <w:rPr>
                <w:rFonts w:ascii="Aptos" w:hAnsi="Aptos"/>
                <w:b w:val="0"/>
                <w:sz w:val="15"/>
              </w:rPr>
              <w:t>100-trial commissioning</w:t>
            </w:r>
          </w:p>
        </w:tc>
        <w:tc>
          <w:tcPr>
            <w:tcW w:type="dxa" w:w="4752"/>
            <w:vAlign w:val="center"/>
          </w:tcPr>
          <w:p>
            <w:r/>
            <w:r>
              <w:rPr>
                <w:rFonts w:ascii="Aptos" w:hAnsi="Aptos"/>
                <w:b w:val="0"/>
                <w:sz w:val="15"/>
              </w:rPr>
              <w:t>&gt;=99% artifact/telemetry completeness; positives decode as specified</w:t>
            </w:r>
          </w:p>
        </w:tc>
        <w:tc>
          <w:tcPr>
            <w:tcW w:type="dxa" w:w="2592"/>
            <w:vAlign w:val="center"/>
          </w:tcPr>
          <w:p>
            <w:r/>
            <w:r>
              <w:rPr>
                <w:rFonts w:ascii="Aptos" w:hAnsi="Aptos"/>
                <w:b w:val="0"/>
                <w:sz w:val="15"/>
              </w:rPr>
              <w:t>Repeat commissioning</w:t>
            </w:r>
          </w:p>
        </w:tc>
      </w:tr>
      <w:tr>
        <w:trPr>
          <w:cantSplit/>
        </w:trPr>
        <w:tc>
          <w:tcPr>
            <w:tcW w:type="dxa" w:w="864"/>
            <w:vAlign w:val="center"/>
          </w:tcPr>
          <w:p>
            <w:r/>
            <w:r>
              <w:rPr>
                <w:rFonts w:ascii="Aptos" w:hAnsi="Aptos"/>
                <w:b w:val="0"/>
                <w:sz w:val="15"/>
              </w:rPr>
              <w:t>A6</w:t>
            </w:r>
          </w:p>
        </w:tc>
        <w:tc>
          <w:tcPr>
            <w:tcW w:type="dxa" w:w="2592"/>
            <w:vAlign w:val="center"/>
          </w:tcPr>
          <w:p>
            <w:r/>
            <w:r>
              <w:rPr>
                <w:rFonts w:ascii="Aptos" w:hAnsi="Aptos"/>
                <w:b w:val="0"/>
                <w:sz w:val="15"/>
              </w:rPr>
              <w:t>External review</w:t>
            </w:r>
          </w:p>
        </w:tc>
        <w:tc>
          <w:tcPr>
            <w:tcW w:type="dxa" w:w="4752"/>
            <w:vAlign w:val="center"/>
          </w:tcPr>
          <w:p>
            <w:r/>
            <w:r>
              <w:rPr>
                <w:rFonts w:ascii="Aptos" w:hAnsi="Aptos"/>
                <w:b w:val="0"/>
                <w:sz w:val="15"/>
              </w:rPr>
              <w:t>Reviewer disposition permits confirmatory campaign</w:t>
            </w:r>
          </w:p>
        </w:tc>
        <w:tc>
          <w:tcPr>
            <w:tcW w:type="dxa" w:w="2592"/>
            <w:vAlign w:val="center"/>
          </w:tcPr>
          <w:p>
            <w:r/>
            <w:r>
              <w:rPr>
                <w:rFonts w:ascii="Aptos" w:hAnsi="Aptos"/>
                <w:b w:val="0"/>
                <w:sz w:val="15"/>
              </w:rPr>
              <w:t>Hold and remediate</w:t>
            </w:r>
          </w:p>
        </w:tc>
      </w:tr>
    </w:tbl>
    <w:p>
      <w:pPr>
        <w:spacing w:after="40"/>
      </w:pPr>
    </w:p>
    <w:p>
      <w:pPr>
        <w:pStyle w:val="Heading1"/>
        <w:keepNext/>
      </w:pPr>
      <w:r>
        <w:t>15. 100-Trial Commissioning Campaign</w:t>
      </w:r>
    </w:p>
    <w:p>
      <w:pPr>
        <w:pStyle w:val="ListBullet"/>
        <w:spacing w:after="40"/>
      </w:pPr>
      <w:r>
        <w:rPr>
          <w:rFonts w:ascii="Aptos" w:hAnsi="Aptos"/>
          <w:sz w:val="18"/>
        </w:rPr>
        <w:t>25 known-link positive controls</w:t>
      </w:r>
    </w:p>
    <w:p>
      <w:pPr>
        <w:pStyle w:val="ListBullet"/>
        <w:spacing w:after="40"/>
      </w:pPr>
      <w:r>
        <w:rPr>
          <w:rFonts w:ascii="Aptos" w:hAnsi="Aptos"/>
          <w:sz w:val="18"/>
        </w:rPr>
        <w:t>25 blocked-path trials</w:t>
      </w:r>
    </w:p>
    <w:p>
      <w:pPr>
        <w:pStyle w:val="ListBullet"/>
        <w:spacing w:after="40"/>
      </w:pPr>
      <w:r>
        <w:rPr>
          <w:rFonts w:ascii="Aptos" w:hAnsi="Aptos"/>
          <w:sz w:val="18"/>
        </w:rPr>
        <w:t>20 sham-transmitter trials</w:t>
      </w:r>
    </w:p>
    <w:p>
      <w:pPr>
        <w:pStyle w:val="ListBullet"/>
        <w:spacing w:after="40"/>
      </w:pPr>
      <w:r>
        <w:rPr>
          <w:rFonts w:ascii="Aptos" w:hAnsi="Aptos"/>
          <w:sz w:val="18"/>
        </w:rPr>
        <w:t>10 dummy-receiver trials</w:t>
      </w:r>
    </w:p>
    <w:p>
      <w:pPr>
        <w:pStyle w:val="ListBullet"/>
        <w:spacing w:after="40"/>
      </w:pPr>
      <w:r>
        <w:rPr>
          <w:rFonts w:ascii="Aptos" w:hAnsi="Aptos"/>
          <w:sz w:val="18"/>
        </w:rPr>
        <w:t>10 delayed-reveal trials</w:t>
      </w:r>
    </w:p>
    <w:p>
      <w:pPr>
        <w:pStyle w:val="ListBullet"/>
        <w:spacing w:after="40"/>
      </w:pPr>
      <w:r>
        <w:rPr>
          <w:rFonts w:ascii="Aptos" w:hAnsi="Aptos"/>
          <w:sz w:val="18"/>
        </w:rPr>
        <w:t>10 replay-schedule/fresh-challenge trials</w:t>
      </w:r>
    </w:p>
    <w:p>
      <w:pPr>
        <w:spacing w:after="100" w:line="247" w:lineRule="auto"/>
      </w:pPr>
      <w:r>
        <w:rPr>
          <w:rFonts w:ascii="Aptos" w:hAnsi="Aptos"/>
          <w:b w:val="0"/>
          <w:i w:val="0"/>
          <w:sz w:val="19"/>
        </w:rPr>
        <w:t>Trial order is randomized and concealed from the receiver-analysis path. Campaign success is based on positive-control performance, null-control behavior, artifact completeness, absence of unexplained leakage, and successful blind scoring - not on any single interesting event.</w:t>
      </w:r>
    </w:p>
    <w:p>
      <w:pPr>
        <w:pStyle w:val="Heading1"/>
        <w:keepNext/>
      </w:pPr>
      <w:r>
        <w:t>16. Preregistration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D9EAF7"/>
          </w:tcPr>
          <w:p>
            <w:r/>
            <w:r>
              <w:rPr>
                <w:rFonts w:ascii="Aptos" w:hAnsi="Aptos"/>
                <w:b/>
                <w:sz w:val="16"/>
              </w:rPr>
              <w:t>Preregistration block</w:t>
            </w:r>
          </w:p>
        </w:tc>
        <w:tc>
          <w:tcPr>
            <w:tcW w:type="dxa" w:w="7776"/>
            <w:vAlign w:val="center"/>
            <w:shd w:fill="D9EAF7"/>
          </w:tcPr>
          <w:p>
            <w:r/>
            <w:r>
              <w:rPr>
                <w:rFonts w:ascii="Aptos" w:hAnsi="Aptos"/>
                <w:b/>
                <w:sz w:val="16"/>
              </w:rPr>
              <w:t>Required fields</w:t>
            </w:r>
          </w:p>
        </w:tc>
      </w:tr>
      <w:tr>
        <w:trPr>
          <w:cantSplit/>
        </w:trPr>
        <w:tc>
          <w:tcPr>
            <w:tcW w:type="dxa" w:w="2592"/>
            <w:vAlign w:val="center"/>
          </w:tcPr>
          <w:p>
            <w:r/>
            <w:r>
              <w:rPr>
                <w:rFonts w:ascii="Aptos" w:hAnsi="Aptos"/>
                <w:b w:val="0"/>
                <w:sz w:val="16"/>
              </w:rPr>
              <w:t>Scientific question</w:t>
            </w:r>
          </w:p>
        </w:tc>
        <w:tc>
          <w:tcPr>
            <w:tcW w:type="dxa" w:w="7776"/>
            <w:vAlign w:val="center"/>
          </w:tcPr>
          <w:p>
            <w:r/>
            <w:r>
              <w:rPr>
                <w:rFonts w:ascii="Aptos" w:hAnsi="Aptos"/>
                <w:b w:val="0"/>
                <w:sz w:val="16"/>
              </w:rPr>
              <w:t>Primary hypothesis; null hypothesis; interface; number of trials</w:t>
            </w:r>
          </w:p>
        </w:tc>
      </w:tr>
      <w:tr>
        <w:trPr>
          <w:cantSplit/>
        </w:trPr>
        <w:tc>
          <w:tcPr>
            <w:tcW w:type="dxa" w:w="2592"/>
            <w:vAlign w:val="center"/>
          </w:tcPr>
          <w:p>
            <w:r/>
            <w:r>
              <w:rPr>
                <w:rFonts w:ascii="Aptos" w:hAnsi="Aptos"/>
                <w:b w:val="0"/>
                <w:sz w:val="16"/>
              </w:rPr>
              <w:t>Challenge/response</w:t>
            </w:r>
          </w:p>
        </w:tc>
        <w:tc>
          <w:tcPr>
            <w:tcW w:type="dxa" w:w="7776"/>
            <w:vAlign w:val="center"/>
          </w:tcPr>
          <w:p>
            <w:r/>
            <w:r>
              <w:rPr>
                <w:rFonts w:ascii="Aptos" w:hAnsi="Aptos"/>
                <w:b w:val="0"/>
                <w:sz w:val="16"/>
              </w:rPr>
              <w:t>Challenge length; RNG; transform IDs; decoder hash; valid-response definition</w:t>
            </w:r>
          </w:p>
        </w:tc>
      </w:tr>
      <w:tr>
        <w:trPr>
          <w:cantSplit/>
        </w:trPr>
        <w:tc>
          <w:tcPr>
            <w:tcW w:type="dxa" w:w="2592"/>
            <w:vAlign w:val="center"/>
          </w:tcPr>
          <w:p>
            <w:r/>
            <w:r>
              <w:rPr>
                <w:rFonts w:ascii="Aptos" w:hAnsi="Aptos"/>
                <w:b w:val="0"/>
                <w:sz w:val="16"/>
              </w:rPr>
              <w:t>Timing</w:t>
            </w:r>
          </w:p>
        </w:tc>
        <w:tc>
          <w:tcPr>
            <w:tcW w:type="dxa" w:w="7776"/>
            <w:vAlign w:val="center"/>
          </w:tcPr>
          <w:p>
            <w:r/>
            <w:r>
              <w:rPr>
                <w:rFonts w:ascii="Aptos" w:hAnsi="Aptos"/>
                <w:b w:val="0"/>
                <w:sz w:val="16"/>
              </w:rPr>
              <w:t>Symbol interval; observation windows; guard interval; maximum clock uncertainty</w:t>
            </w:r>
          </w:p>
        </w:tc>
      </w:tr>
      <w:tr>
        <w:trPr>
          <w:cantSplit/>
        </w:trPr>
        <w:tc>
          <w:tcPr>
            <w:tcW w:type="dxa" w:w="2592"/>
            <w:vAlign w:val="center"/>
          </w:tcPr>
          <w:p>
            <w:r/>
            <w:r>
              <w:rPr>
                <w:rFonts w:ascii="Aptos" w:hAnsi="Aptos"/>
                <w:b w:val="0"/>
                <w:sz w:val="16"/>
              </w:rPr>
              <w:t>Primary metric</w:t>
            </w:r>
          </w:p>
        </w:tc>
        <w:tc>
          <w:tcPr>
            <w:tcW w:type="dxa" w:w="7776"/>
            <w:vAlign w:val="center"/>
          </w:tcPr>
          <w:p>
            <w:r/>
            <w:r>
              <w:rPr>
                <w:rFonts w:ascii="Aptos" w:hAnsi="Aptos"/>
                <w:b w:val="0"/>
                <w:sz w:val="16"/>
              </w:rPr>
              <w:t>Endpoint; null distribution; alpha; multiple-testing correction; promotion threshold</w:t>
            </w:r>
          </w:p>
        </w:tc>
      </w:tr>
      <w:tr>
        <w:trPr>
          <w:cantSplit/>
        </w:trPr>
        <w:tc>
          <w:tcPr>
            <w:tcW w:type="dxa" w:w="2592"/>
            <w:vAlign w:val="center"/>
          </w:tcPr>
          <w:p>
            <w:r/>
            <w:r>
              <w:rPr>
                <w:rFonts w:ascii="Aptos" w:hAnsi="Aptos"/>
                <w:b w:val="0"/>
                <w:sz w:val="16"/>
              </w:rPr>
              <w:t>Controls</w:t>
            </w:r>
          </w:p>
        </w:tc>
        <w:tc>
          <w:tcPr>
            <w:tcW w:type="dxa" w:w="7776"/>
            <w:vAlign w:val="center"/>
          </w:tcPr>
          <w:p>
            <w:r/>
            <w:r>
              <w:rPr>
                <w:rFonts w:ascii="Aptos" w:hAnsi="Aptos"/>
                <w:b w:val="0"/>
                <w:sz w:val="16"/>
              </w:rPr>
              <w:t>Positive, blocked, sham, dummy, delayed/permuted/replay fractions</w:t>
            </w:r>
          </w:p>
        </w:tc>
      </w:tr>
      <w:tr>
        <w:trPr>
          <w:cantSplit/>
        </w:trPr>
        <w:tc>
          <w:tcPr>
            <w:tcW w:type="dxa" w:w="2592"/>
            <w:vAlign w:val="center"/>
          </w:tcPr>
          <w:p>
            <w:r/>
            <w:r>
              <w:rPr>
                <w:rFonts w:ascii="Aptos" w:hAnsi="Aptos"/>
                <w:b w:val="0"/>
                <w:sz w:val="16"/>
              </w:rPr>
              <w:t>Exclusions/failure rules</w:t>
            </w:r>
          </w:p>
        </w:tc>
        <w:tc>
          <w:tcPr>
            <w:tcW w:type="dxa" w:w="7776"/>
            <w:vAlign w:val="center"/>
          </w:tcPr>
          <w:p>
            <w:r/>
            <w:r>
              <w:rPr>
                <w:rFonts w:ascii="Aptos" w:hAnsi="Aptos"/>
                <w:b w:val="0"/>
                <w:sz w:val="16"/>
              </w:rPr>
              <w:t>Hardware failure exclusion; missing data; trial abort; campaign abort</w:t>
            </w:r>
          </w:p>
        </w:tc>
      </w:tr>
      <w:tr>
        <w:trPr>
          <w:cantSplit/>
        </w:trPr>
        <w:tc>
          <w:tcPr>
            <w:tcW w:type="dxa" w:w="2592"/>
            <w:vAlign w:val="center"/>
          </w:tcPr>
          <w:p>
            <w:r/>
            <w:r>
              <w:rPr>
                <w:rFonts w:ascii="Aptos" w:hAnsi="Aptos"/>
                <w:b w:val="0"/>
                <w:sz w:val="16"/>
              </w:rPr>
              <w:t>Frozen artifacts</w:t>
            </w:r>
          </w:p>
        </w:tc>
        <w:tc>
          <w:tcPr>
            <w:tcW w:type="dxa" w:w="7776"/>
            <w:vAlign w:val="center"/>
          </w:tcPr>
          <w:p>
            <w:r/>
            <w:r>
              <w:rPr>
                <w:rFonts w:ascii="Aptos" w:hAnsi="Aptos"/>
                <w:b w:val="0"/>
                <w:sz w:val="16"/>
              </w:rPr>
              <w:t>Hardware hash; software hash; protocol hash; analysis-plan hash; signer/date</w:t>
            </w:r>
          </w:p>
        </w:tc>
      </w:tr>
    </w:tbl>
    <w:p>
      <w:pPr>
        <w:spacing w:after="40"/>
      </w:pPr>
    </w:p>
    <w:p>
      <w:pPr>
        <w:spacing w:after="100" w:line="247" w:lineRule="auto"/>
      </w:pPr>
      <w:r>
        <w:rPr>
          <w:rFonts w:ascii="Aptos" w:hAnsi="Aptos"/>
          <w:b/>
          <w:i w:val="0"/>
          <w:sz w:val="19"/>
        </w:rPr>
        <w:t>No primary endpoint, transform, timing window, decoder, or exclusion rule may be changed after unblinding without clearly labeling the resulting analysis as exploratory.</w:t>
      </w:r>
    </w:p>
    <w:p>
      <w:pPr>
        <w:pStyle w:val="Heading1"/>
        <w:keepNext/>
      </w:pPr>
      <w:r>
        <w:t>17. Lab Build and Handoff Checklist</w:t>
      </w:r>
    </w:p>
    <w:p>
      <w:pPr>
        <w:pStyle w:val="Heading2"/>
        <w:keepNext/>
      </w:pPr>
      <w:r>
        <w:t>Mechanical / fluidic</w:t>
      </w:r>
    </w:p>
    <w:p>
      <w:pPr>
        <w:spacing w:after="30"/>
      </w:pPr>
      <w:r>
        <w:rPr>
          <w:rFonts w:ascii="Aptos" w:hAnsi="Aptos"/>
          <w:sz w:val="18"/>
        </w:rPr>
        <w:t>☐ Bench layout matches controlled drawing</w:t>
      </w:r>
    </w:p>
    <w:p>
      <w:pPr>
        <w:spacing w:after="30"/>
      </w:pPr>
      <w:r>
        <w:rPr>
          <w:rFonts w:ascii="Aptos" w:hAnsi="Aptos"/>
          <w:sz w:val="18"/>
        </w:rPr>
        <w:t>☐ All wetted materials documented</w:t>
      </w:r>
    </w:p>
    <w:p>
      <w:pPr>
        <w:spacing w:after="30"/>
      </w:pPr>
      <w:r>
        <w:rPr>
          <w:rFonts w:ascii="Aptos" w:hAnsi="Aptos"/>
          <w:sz w:val="18"/>
        </w:rPr>
        <w:t>☐ Valve states fail safe / known</w:t>
      </w:r>
    </w:p>
    <w:p>
      <w:pPr>
        <w:spacing w:after="30"/>
      </w:pPr>
      <w:r>
        <w:rPr>
          <w:rFonts w:ascii="Aptos" w:hAnsi="Aptos"/>
          <w:sz w:val="18"/>
        </w:rPr>
        <w:t>☐ Flow and pressure limits documented</w:t>
      </w:r>
    </w:p>
    <w:p>
      <w:pPr>
        <w:spacing w:after="30"/>
      </w:pPr>
      <w:r>
        <w:rPr>
          <w:rFonts w:ascii="Aptos" w:hAnsi="Aptos"/>
          <w:sz w:val="18"/>
        </w:rPr>
        <w:t>☐ Waste path secured</w:t>
      </w:r>
    </w:p>
    <w:p>
      <w:pPr>
        <w:spacing w:after="30"/>
      </w:pPr>
      <w:r>
        <w:rPr>
          <w:rFonts w:ascii="Aptos" w:hAnsi="Aptos"/>
          <w:sz w:val="18"/>
        </w:rPr>
        <w:t>☐ Receiver mount and shielding reproducible</w:t>
      </w:r>
    </w:p>
    <w:p>
      <w:pPr>
        <w:pStyle w:val="Heading2"/>
        <w:keepNext/>
      </w:pPr>
      <w:r>
        <w:t>Electrical / instrumentation</w:t>
      </w:r>
    </w:p>
    <w:p>
      <w:pPr>
        <w:spacing w:after="30"/>
      </w:pPr>
      <w:r>
        <w:rPr>
          <w:rFonts w:ascii="Aptos" w:hAnsi="Aptos"/>
          <w:sz w:val="18"/>
        </w:rPr>
        <w:t>☐ All cable IDs installed at both ends</w:t>
      </w:r>
    </w:p>
    <w:p>
      <w:pPr>
        <w:spacing w:after="30"/>
      </w:pPr>
      <w:r>
        <w:rPr>
          <w:rFonts w:ascii="Aptos" w:hAnsi="Aptos"/>
          <w:sz w:val="18"/>
        </w:rPr>
        <w:t>☐ I/O map verified channel-by-channel</w:t>
      </w:r>
    </w:p>
    <w:p>
      <w:pPr>
        <w:spacing w:after="30"/>
      </w:pPr>
      <w:r>
        <w:rPr>
          <w:rFonts w:ascii="Aptos" w:hAnsi="Aptos"/>
          <w:sz w:val="18"/>
        </w:rPr>
        <w:t>☐ Ground/shield plan documented</w:t>
      </w:r>
    </w:p>
    <w:p>
      <w:pPr>
        <w:spacing w:after="30"/>
      </w:pPr>
      <w:r>
        <w:rPr>
          <w:rFonts w:ascii="Aptos" w:hAnsi="Aptos"/>
          <w:sz w:val="18"/>
        </w:rPr>
        <w:t>☐ Unused interfaces disabled</w:t>
      </w:r>
    </w:p>
    <w:p>
      <w:pPr>
        <w:spacing w:after="30"/>
      </w:pPr>
      <w:r>
        <w:rPr>
          <w:rFonts w:ascii="Aptos" w:hAnsi="Aptos"/>
          <w:sz w:val="18"/>
        </w:rPr>
        <w:t>☐ Analog ranges prevent clipping</w:t>
      </w:r>
    </w:p>
    <w:p>
      <w:pPr>
        <w:spacing w:after="30"/>
      </w:pPr>
      <w:r>
        <w:rPr>
          <w:rFonts w:ascii="Aptos" w:hAnsi="Aptos"/>
          <w:sz w:val="18"/>
        </w:rPr>
        <w:t>☐ Isolation devices verified</w:t>
      </w:r>
    </w:p>
    <w:p>
      <w:pPr>
        <w:pStyle w:val="Heading2"/>
        <w:keepNext/>
      </w:pPr>
      <w:r>
        <w:t>Computing / software</w:t>
      </w:r>
    </w:p>
    <w:p>
      <w:pPr>
        <w:spacing w:after="30"/>
      </w:pPr>
      <w:r>
        <w:rPr>
          <w:rFonts w:ascii="Aptos" w:hAnsi="Aptos"/>
          <w:sz w:val="18"/>
        </w:rPr>
        <w:t>☐ Host roles separated</w:t>
      </w:r>
    </w:p>
    <w:p>
      <w:pPr>
        <w:spacing w:after="30"/>
      </w:pPr>
      <w:r>
        <w:rPr>
          <w:rFonts w:ascii="Aptos" w:hAnsi="Aptos"/>
          <w:sz w:val="18"/>
        </w:rPr>
        <w:t>☐ OS/application hashes frozen</w:t>
      </w:r>
    </w:p>
    <w:p>
      <w:pPr>
        <w:spacing w:after="30"/>
      </w:pPr>
      <w:r>
        <w:rPr>
          <w:rFonts w:ascii="Aptos" w:hAnsi="Aptos"/>
          <w:sz w:val="18"/>
        </w:rPr>
        <w:t>☐ Route/firewall table captured</w:t>
      </w:r>
    </w:p>
    <w:p>
      <w:pPr>
        <w:spacing w:after="30"/>
      </w:pPr>
      <w:r>
        <w:rPr>
          <w:rFonts w:ascii="Aptos" w:hAnsi="Aptos"/>
          <w:sz w:val="18"/>
        </w:rPr>
        <w:t>☐ Cloud sync and unapproved remote agents disabled</w:t>
      </w:r>
    </w:p>
    <w:p>
      <w:pPr>
        <w:spacing w:after="30"/>
      </w:pPr>
      <w:r>
        <w:rPr>
          <w:rFonts w:ascii="Aptos" w:hAnsi="Aptos"/>
          <w:sz w:val="18"/>
        </w:rPr>
        <w:t>☐ Capture cannot access challenge plaintext</w:t>
      </w:r>
    </w:p>
    <w:p>
      <w:pPr>
        <w:spacing w:after="30"/>
      </w:pPr>
      <w:r>
        <w:rPr>
          <w:rFonts w:ascii="Aptos" w:hAnsi="Aptos"/>
          <w:sz w:val="18"/>
        </w:rPr>
        <w:t>☐ Post-close unseal path tested</w:t>
      </w:r>
    </w:p>
    <w:p>
      <w:pPr>
        <w:pStyle w:val="Heading2"/>
        <w:keepNext/>
      </w:pPr>
      <w:r>
        <w:t>Data integrity</w:t>
      </w:r>
    </w:p>
    <w:p>
      <w:pPr>
        <w:spacing w:after="30"/>
      </w:pPr>
      <w:r>
        <w:rPr>
          <w:rFonts w:ascii="Aptos" w:hAnsi="Aptos"/>
          <w:sz w:val="18"/>
        </w:rPr>
        <w:t>☐ Raw receiver data immutable after CLOSE</w:t>
      </w:r>
    </w:p>
    <w:p>
      <w:pPr>
        <w:spacing w:after="30"/>
      </w:pPr>
      <w:r>
        <w:rPr>
          <w:rFonts w:ascii="Aptos" w:hAnsi="Aptos"/>
          <w:sz w:val="18"/>
        </w:rPr>
        <w:t>☐ Telemetry stored with matching trial ID</w:t>
      </w:r>
    </w:p>
    <w:p>
      <w:pPr>
        <w:spacing w:after="30"/>
      </w:pPr>
      <w:r>
        <w:rPr>
          <w:rFonts w:ascii="Aptos" w:hAnsi="Aptos"/>
          <w:sz w:val="18"/>
        </w:rPr>
        <w:t>☐ Hash manifest generated automatically</w:t>
      </w:r>
    </w:p>
    <w:p>
      <w:pPr>
        <w:spacing w:after="30"/>
      </w:pPr>
      <w:r>
        <w:rPr>
          <w:rFonts w:ascii="Aptos" w:hAnsi="Aptos"/>
          <w:sz w:val="18"/>
        </w:rPr>
        <w:t>☐ Controlled transfer procedure tested</w:t>
      </w:r>
    </w:p>
    <w:p>
      <w:pPr>
        <w:spacing w:after="30"/>
      </w:pPr>
      <w:r>
        <w:rPr>
          <w:rFonts w:ascii="Aptos" w:hAnsi="Aptos"/>
          <w:sz w:val="18"/>
        </w:rPr>
        <w:t>☐ Independent readback/scoring verified</w:t>
      </w:r>
    </w:p>
    <w:p>
      <w:pPr>
        <w:pStyle w:val="Heading2"/>
        <w:keepNext/>
      </w:pPr>
      <w:r>
        <w:t>Review readiness</w:t>
      </w:r>
    </w:p>
    <w:p>
      <w:pPr>
        <w:spacing w:after="30"/>
      </w:pPr>
      <w:r>
        <w:rPr>
          <w:rFonts w:ascii="Aptos" w:hAnsi="Aptos"/>
          <w:sz w:val="18"/>
        </w:rPr>
        <w:t>☐ CAL-01 through CAL-07 signed</w:t>
      </w:r>
    </w:p>
    <w:p>
      <w:pPr>
        <w:spacing w:after="30"/>
      </w:pPr>
      <w:r>
        <w:rPr>
          <w:rFonts w:ascii="Aptos" w:hAnsi="Aptos"/>
          <w:sz w:val="18"/>
        </w:rPr>
        <w:t>☐ A0 through A5 passed</w:t>
      </w:r>
    </w:p>
    <w:p>
      <w:pPr>
        <w:spacing w:after="30"/>
      </w:pPr>
      <w:r>
        <w:rPr>
          <w:rFonts w:ascii="Aptos" w:hAnsi="Aptos"/>
          <w:sz w:val="18"/>
        </w:rPr>
        <w:t>☐ Open deviations listed</w:t>
      </w:r>
    </w:p>
    <w:p>
      <w:pPr>
        <w:spacing w:after="30"/>
      </w:pPr>
      <w:r>
        <w:rPr>
          <w:rFonts w:ascii="Aptos" w:hAnsi="Aptos"/>
          <w:sz w:val="18"/>
        </w:rPr>
        <w:t>☐ Synthetic example dataset included</w:t>
      </w:r>
    </w:p>
    <w:p>
      <w:pPr>
        <w:spacing w:after="30"/>
      </w:pPr>
      <w:r>
        <w:rPr>
          <w:rFonts w:ascii="Aptos" w:hAnsi="Aptos"/>
          <w:sz w:val="18"/>
        </w:rPr>
        <w:t>☐ External reviewer package generated</w:t>
      </w:r>
    </w:p>
    <w:p>
      <w:pPr>
        <w:pStyle w:val="Heading1"/>
        <w:keepNext/>
      </w:pPr>
      <w:r>
        <w:t>18. Change Control</w:t>
      </w:r>
    </w:p>
    <w:p>
      <w:pPr>
        <w:spacing w:after="100" w:line="247" w:lineRule="auto"/>
      </w:pPr>
      <w:r>
        <w:rPr>
          <w:rFonts w:ascii="Aptos" w:hAnsi="Aptos"/>
          <w:b w:val="0"/>
          <w:i w:val="0"/>
          <w:sz w:val="19"/>
        </w:rPr>
        <w:t>Every change after A0 receives a change identifier, rationale, affected requirements, risk classification, calibration impact, approval, and resulting build hash. Changes to the interface, acquisition chain, challenge path, blinding boundary, decoder, timing, or analysis plan invalidate applicable prior calibration unless a reviewer explicitly documents why recalibration is unnecessary.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rFonts w:ascii="Aptos" w:hAnsi="Aptos"/>
                <w:b/>
                <w:sz w:val="17"/>
              </w:rPr>
              <w:t>Field</w:t>
            </w:r>
          </w:p>
        </w:tc>
        <w:tc>
          <w:tcPr>
            <w:tcW w:type="dxa" w:w="7200"/>
            <w:vAlign w:val="center"/>
            <w:shd w:fill="D9EAF7"/>
          </w:tcPr>
          <w:p>
            <w:r/>
            <w:r>
              <w:rPr>
                <w:rFonts w:ascii="Aptos" w:hAnsi="Aptos"/>
                <w:b/>
                <w:sz w:val="17"/>
              </w:rPr>
              <w:t>Value</w:t>
            </w:r>
          </w:p>
        </w:tc>
      </w:tr>
      <w:tr>
        <w:trPr>
          <w:cantSplit/>
        </w:trPr>
        <w:tc>
          <w:tcPr>
            <w:tcW w:type="dxa" w:w="3168"/>
            <w:vAlign w:val="center"/>
          </w:tcPr>
          <w:p>
            <w:r/>
            <w:r>
              <w:rPr>
                <w:rFonts w:ascii="Aptos" w:hAnsi="Aptos"/>
                <w:b w:val="0"/>
                <w:sz w:val="17"/>
              </w:rPr>
              <w:t>Change ID</w:t>
            </w:r>
          </w:p>
        </w:tc>
        <w:tc>
          <w:tcPr>
            <w:tcW w:type="dxa" w:w="7200"/>
            <w:vAlign w:val="center"/>
          </w:tcPr>
          <w:p>
            <w:r/>
            <w:r>
              <w:rPr>
                <w:rFonts w:ascii="Aptos" w:hAnsi="Aptos"/>
                <w:b w:val="0"/>
                <w:sz w:val="17"/>
              </w:rPr>
              <w:t>CHG-YYYY-NNN</w:t>
            </w:r>
          </w:p>
        </w:tc>
      </w:tr>
      <w:tr>
        <w:trPr>
          <w:cantSplit/>
        </w:trPr>
        <w:tc>
          <w:tcPr>
            <w:tcW w:type="dxa" w:w="3168"/>
            <w:vAlign w:val="center"/>
          </w:tcPr>
          <w:p>
            <w:r/>
            <w:r>
              <w:rPr>
                <w:rFonts w:ascii="Aptos" w:hAnsi="Aptos"/>
                <w:b w:val="0"/>
                <w:sz w:val="17"/>
              </w:rPr>
              <w:t>Date</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Requestor</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Description</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Reason</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Requirements affected</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Calibration affected</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Risk</w:t>
            </w:r>
          </w:p>
        </w:tc>
        <w:tc>
          <w:tcPr>
            <w:tcW w:type="dxa" w:w="7200"/>
            <w:vAlign w:val="center"/>
          </w:tcPr>
          <w:p>
            <w:r/>
            <w:r>
              <w:rPr>
                <w:rFonts w:ascii="Aptos" w:hAnsi="Aptos"/>
                <w:b w:val="0"/>
                <w:sz w:val="17"/>
              </w:rPr>
              <w:t>Low / Medium / High</w:t>
            </w:r>
          </w:p>
        </w:tc>
      </w:tr>
      <w:tr>
        <w:trPr>
          <w:cantSplit/>
        </w:trPr>
        <w:tc>
          <w:tcPr>
            <w:tcW w:type="dxa" w:w="3168"/>
            <w:vAlign w:val="center"/>
          </w:tcPr>
          <w:p>
            <w:r/>
            <w:r>
              <w:rPr>
                <w:rFonts w:ascii="Aptos" w:hAnsi="Aptos"/>
                <w:b w:val="0"/>
                <w:sz w:val="17"/>
              </w:rPr>
              <w:t>Approval</w:t>
            </w:r>
          </w:p>
        </w:tc>
        <w:tc>
          <w:tcPr>
            <w:tcW w:type="dxa" w:w="7200"/>
            <w:vAlign w:val="center"/>
          </w:tcPr>
          <w:p>
            <w:r/>
            <w:r>
              <w:rPr>
                <w:rFonts w:ascii="Aptos" w:hAnsi="Aptos"/>
                <w:b w:val="0"/>
                <w:sz w:val="17"/>
              </w:rPr>
            </w:r>
          </w:p>
        </w:tc>
      </w:tr>
      <w:tr>
        <w:trPr>
          <w:cantSplit/>
        </w:trPr>
        <w:tc>
          <w:tcPr>
            <w:tcW w:type="dxa" w:w="3168"/>
            <w:vAlign w:val="center"/>
          </w:tcPr>
          <w:p>
            <w:r/>
            <w:r>
              <w:rPr>
                <w:rFonts w:ascii="Aptos" w:hAnsi="Aptos"/>
                <w:b w:val="0"/>
                <w:sz w:val="17"/>
              </w:rPr>
              <w:t>Effective build hash</w:t>
            </w:r>
          </w:p>
        </w:tc>
        <w:tc>
          <w:tcPr>
            <w:tcW w:type="dxa" w:w="7200"/>
            <w:vAlign w:val="center"/>
          </w:tcPr>
          <w:p>
            <w:r/>
            <w:r>
              <w:rPr>
                <w:rFonts w:ascii="Aptos" w:hAnsi="Aptos"/>
                <w:b w:val="0"/>
                <w:sz w:val="17"/>
              </w:rPr>
            </w:r>
          </w:p>
        </w:tc>
      </w:tr>
    </w:tbl>
    <w:p>
      <w:pPr>
        <w:spacing w:after="40"/>
      </w:pPr>
    </w:p>
    <w:p>
      <w:pPr>
        <w:pStyle w:val="Heading1"/>
        <w:keepNext/>
      </w:pPr>
      <w:r>
        <w:t>19. Replication Package</w:t>
      </w:r>
    </w:p>
    <w:p>
      <w:pPr>
        <w:pStyle w:val="ListBullet"/>
        <w:spacing w:after="40"/>
      </w:pPr>
      <w:r>
        <w:rPr>
          <w:rFonts w:ascii="Aptos" w:hAnsi="Aptos"/>
          <w:sz w:val="18"/>
        </w:rPr>
        <w:t>Formal Technical Review - Revision 5</w:t>
      </w:r>
    </w:p>
    <w:p>
      <w:pPr>
        <w:pStyle w:val="ListBullet"/>
        <w:spacing w:after="40"/>
      </w:pPr>
      <w:r>
        <w:rPr>
          <w:rFonts w:ascii="Aptos" w:hAnsi="Aptos"/>
          <w:sz w:val="18"/>
        </w:rPr>
        <w:t>Phase-1 Design Package v0.2</w:t>
      </w:r>
    </w:p>
    <w:p>
      <w:pPr>
        <w:pStyle w:val="ListBullet"/>
        <w:spacing w:after="40"/>
      </w:pPr>
      <w:r>
        <w:rPr>
          <w:rFonts w:ascii="Aptos" w:hAnsi="Aptos"/>
          <w:sz w:val="18"/>
        </w:rPr>
        <w:t>Controlled figures/drawings</w:t>
      </w:r>
    </w:p>
    <w:p>
      <w:pPr>
        <w:pStyle w:val="ListBullet"/>
        <w:spacing w:after="40"/>
      </w:pPr>
      <w:r>
        <w:rPr>
          <w:rFonts w:ascii="Aptos" w:hAnsi="Aptos"/>
          <w:sz w:val="18"/>
        </w:rPr>
        <w:t>BOM with functional requirements and allowable equivalents</w:t>
      </w:r>
    </w:p>
    <w:p>
      <w:pPr>
        <w:pStyle w:val="ListBullet"/>
        <w:spacing w:after="40"/>
      </w:pPr>
      <w:r>
        <w:rPr>
          <w:rFonts w:ascii="Aptos" w:hAnsi="Aptos"/>
          <w:sz w:val="18"/>
        </w:rPr>
        <w:t>Cable schedule and I/O map</w:t>
      </w:r>
    </w:p>
    <w:p>
      <w:pPr>
        <w:pStyle w:val="ListBullet"/>
        <w:spacing w:after="40"/>
      </w:pPr>
      <w:r>
        <w:rPr>
          <w:rFonts w:ascii="Aptos" w:hAnsi="Aptos"/>
          <w:sz w:val="18"/>
        </w:rPr>
        <w:t>Microfluidic component specification</w:t>
      </w:r>
    </w:p>
    <w:p>
      <w:pPr>
        <w:pStyle w:val="ListBullet"/>
        <w:spacing w:after="40"/>
      </w:pPr>
      <w:r>
        <w:rPr>
          <w:rFonts w:ascii="Aptos" w:hAnsi="Aptos"/>
          <w:sz w:val="18"/>
        </w:rPr>
        <w:t>Host/network isolation plan</w:t>
      </w:r>
    </w:p>
    <w:p>
      <w:pPr>
        <w:pStyle w:val="ListBullet"/>
        <w:spacing w:after="40"/>
      </w:pPr>
      <w:r>
        <w:rPr>
          <w:rFonts w:ascii="Aptos" w:hAnsi="Aptos"/>
          <w:sz w:val="18"/>
        </w:rPr>
        <w:t>Source repository with tagged release and hashes</w:t>
      </w:r>
    </w:p>
    <w:p>
      <w:pPr>
        <w:pStyle w:val="ListBullet"/>
        <w:spacing w:after="40"/>
      </w:pPr>
      <w:r>
        <w:rPr>
          <w:rFonts w:ascii="Aptos" w:hAnsi="Aptos"/>
          <w:sz w:val="18"/>
        </w:rPr>
        <w:t>CAL-01 through CAL-07 examples and blank forms</w:t>
      </w:r>
    </w:p>
    <w:p>
      <w:pPr>
        <w:pStyle w:val="ListBullet"/>
        <w:spacing w:after="40"/>
      </w:pPr>
      <w:r>
        <w:rPr>
          <w:rFonts w:ascii="Aptos" w:hAnsi="Aptos"/>
          <w:sz w:val="18"/>
        </w:rPr>
        <w:t>Preregistration template</w:t>
      </w:r>
    </w:p>
    <w:p>
      <w:pPr>
        <w:pStyle w:val="ListBullet"/>
        <w:spacing w:after="40"/>
      </w:pPr>
      <w:r>
        <w:rPr>
          <w:rFonts w:ascii="Aptos" w:hAnsi="Aptos"/>
          <w:sz w:val="18"/>
        </w:rPr>
        <w:t>Commissioning dataset schema and synthetic example data</w:t>
      </w:r>
    </w:p>
    <w:p>
      <w:pPr>
        <w:pStyle w:val="ListBullet"/>
        <w:spacing w:after="40"/>
      </w:pPr>
      <w:r>
        <w:rPr>
          <w:rFonts w:ascii="Aptos" w:hAnsi="Aptos"/>
          <w:sz w:val="18"/>
        </w:rPr>
        <w:t>Issue/deviation log template</w:t>
      </w:r>
    </w:p>
    <w:p>
      <w:pPr>
        <w:pStyle w:val="ListBullet"/>
        <w:spacing w:after="40"/>
      </w:pPr>
      <w:r>
        <w:rPr>
          <w:rFonts w:ascii="Aptos" w:hAnsi="Aptos"/>
          <w:sz w:val="18"/>
        </w:rPr>
        <w:t>Limitations statement and prohibited interpretations</w:t>
      </w:r>
    </w:p>
    <w:p>
      <w:pPr>
        <w:pStyle w:val="Heading1"/>
        <w:pageBreakBefore/>
      </w:pPr>
      <w:r>
        <w:t>20. v0.3 Engineering Freeze Decisions</w:t>
      </w:r>
    </w:p>
    <w:p>
      <w:r>
        <w:rPr>
          <w:i w:val="0"/>
        </w:rPr>
        <w:t>Revision v0.3 resolves the principal implementation decisions left open in v0.2. The choices below define the reference Stage-1A commissioning apparatus. Equivalent substitutions are allowed only through documented change control and must preserve the functional requirements and isolation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center"/>
          </w:tcPr>
          <w:p>
            <w:r>
              <w:rPr>
                <w:b/>
                <w:sz w:val="15"/>
              </w:rPr>
              <w:t>Decision</w:t>
            </w:r>
          </w:p>
        </w:tc>
        <w:tc>
          <w:tcPr>
            <w:tcW w:type="dxa" w:w="3312"/>
            <w:vAlign w:val="center"/>
          </w:tcPr>
          <w:p>
            <w:r>
              <w:rPr>
                <w:b/>
                <w:sz w:val="15"/>
              </w:rPr>
              <w:t>v0.3 freeze</w:t>
            </w:r>
          </w:p>
        </w:tc>
        <w:tc>
          <w:tcPr>
            <w:tcW w:type="dxa" w:w="3960"/>
            <w:vAlign w:val="center"/>
          </w:tcPr>
          <w:p>
            <w:r>
              <w:rPr>
                <w:b/>
                <w:sz w:val="15"/>
              </w:rPr>
              <w:t>Rationale</w:t>
            </w:r>
          </w:p>
        </w:tc>
      </w:tr>
      <w:tr>
        <w:tc>
          <w:tcPr>
            <w:tcW w:type="dxa" w:w="1944"/>
            <w:vAlign w:val="center"/>
          </w:tcPr>
          <w:p>
            <w:r>
              <w:rPr>
                <w:sz w:val="15"/>
              </w:rPr>
              <w:t>Symbol carrier</w:t>
            </w:r>
          </w:p>
        </w:tc>
        <w:tc>
          <w:tcPr>
            <w:tcW w:type="dxa" w:w="3312"/>
            <w:vAlign w:val="center"/>
          </w:tcPr>
          <w:p>
            <w:r>
              <w:rPr>
                <w:sz w:val="15"/>
              </w:rPr>
              <w:t>Sodium-chloride concentration keying in aqueous carrier</w:t>
            </w:r>
          </w:p>
        </w:tc>
        <w:tc>
          <w:tcPr>
            <w:tcW w:type="dxa" w:w="3960"/>
            <w:vAlign w:val="center"/>
          </w:tcPr>
          <w:p>
            <w:r>
              <w:rPr>
                <w:sz w:val="15"/>
              </w:rPr>
              <w:t>Safe, inexpensive, well understood, easily blocked/shammed, large measurable contrast</w:t>
            </w:r>
          </w:p>
        </w:tc>
      </w:tr>
      <w:tr>
        <w:tc>
          <w:tcPr>
            <w:tcW w:type="dxa" w:w="1944"/>
            <w:vAlign w:val="center"/>
          </w:tcPr>
          <w:p>
            <w:r>
              <w:rPr>
                <w:sz w:val="15"/>
              </w:rPr>
              <w:t>Low symbol</w:t>
            </w:r>
          </w:p>
        </w:tc>
        <w:tc>
          <w:tcPr>
            <w:tcW w:type="dxa" w:w="3312"/>
            <w:vAlign w:val="center"/>
          </w:tcPr>
          <w:p>
            <w:r>
              <w:rPr>
                <w:sz w:val="15"/>
              </w:rPr>
              <w:t>1 mM NaCl nominal</w:t>
            </w:r>
          </w:p>
        </w:tc>
        <w:tc>
          <w:tcPr>
            <w:tcW w:type="dxa" w:w="3960"/>
            <w:vAlign w:val="center"/>
          </w:tcPr>
          <w:p>
            <w:r>
              <w:rPr>
                <w:sz w:val="15"/>
              </w:rPr>
              <w:t>Clear low-conductivity state while remaining above ultrapure-water instability</w:t>
            </w:r>
          </w:p>
        </w:tc>
      </w:tr>
      <w:tr>
        <w:tc>
          <w:tcPr>
            <w:tcW w:type="dxa" w:w="1944"/>
            <w:vAlign w:val="center"/>
          </w:tcPr>
          <w:p>
            <w:r>
              <w:rPr>
                <w:sz w:val="15"/>
              </w:rPr>
              <w:t>High symbol</w:t>
            </w:r>
          </w:p>
        </w:tc>
        <w:tc>
          <w:tcPr>
            <w:tcW w:type="dxa" w:w="3312"/>
            <w:vAlign w:val="center"/>
          </w:tcPr>
          <w:p>
            <w:r>
              <w:rPr>
                <w:sz w:val="15"/>
              </w:rPr>
              <w:t>10 mM NaCl nominal</w:t>
            </w:r>
          </w:p>
        </w:tc>
        <w:tc>
          <w:tcPr>
            <w:tcW w:type="dxa" w:w="3960"/>
            <w:vAlign w:val="center"/>
          </w:tcPr>
          <w:p>
            <w:r>
              <w:rPr>
                <w:sz w:val="15"/>
              </w:rPr>
              <w:t>Approximately one decade concentration contrast for robust commissioning</w:t>
            </w:r>
          </w:p>
        </w:tc>
      </w:tr>
      <w:tr>
        <w:tc>
          <w:tcPr>
            <w:tcW w:type="dxa" w:w="1944"/>
            <w:vAlign w:val="center"/>
          </w:tcPr>
          <w:p>
            <w:r>
              <w:rPr>
                <w:sz w:val="15"/>
              </w:rPr>
              <w:t>Flow control</w:t>
            </w:r>
          </w:p>
        </w:tc>
        <w:tc>
          <w:tcPr>
            <w:tcW w:type="dxa" w:w="3312"/>
            <w:vAlign w:val="center"/>
          </w:tcPr>
          <w:p>
            <w:r>
              <w:rPr>
                <w:sz w:val="15"/>
              </w:rPr>
              <w:t>Two-channel pressure-driven controller; Elveflow OB1 MK4 reference candidate</w:t>
            </w:r>
          </w:p>
        </w:tc>
        <w:tc>
          <w:tcPr>
            <w:tcW w:type="dxa" w:w="3960"/>
            <w:vAlign w:val="center"/>
          </w:tcPr>
          <w:p>
            <w:r>
              <w:rPr>
                <w:sz w:val="15"/>
              </w:rPr>
              <w:t>Closed-loop microfluidic control, TTL triggering, software SDK support</w:t>
            </w:r>
          </w:p>
        </w:tc>
      </w:tr>
      <w:tr>
        <w:tc>
          <w:tcPr>
            <w:tcW w:type="dxa" w:w="1944"/>
            <w:vAlign w:val="center"/>
          </w:tcPr>
          <w:p>
            <w:r>
              <w:rPr>
                <w:sz w:val="15"/>
              </w:rPr>
              <w:t>Fluid selection</w:t>
            </w:r>
          </w:p>
        </w:tc>
        <w:tc>
          <w:tcPr>
            <w:tcW w:type="dxa" w:w="3312"/>
            <w:vAlign w:val="center"/>
          </w:tcPr>
          <w:p>
            <w:r>
              <w:rPr>
                <w:sz w:val="15"/>
              </w:rPr>
              <w:t>Bidirectional selector valve; Elveflow MUX Distribution 12/1 reference candidate</w:t>
            </w:r>
          </w:p>
        </w:tc>
        <w:tc>
          <w:tcPr>
            <w:tcW w:type="dxa" w:w="3960"/>
            <w:vAlign w:val="center"/>
          </w:tcPr>
          <w:p>
            <w:r>
              <w:rPr>
                <w:sz w:val="15"/>
              </w:rPr>
              <w:t>Low internal volume and programmable reagent switching</w:t>
            </w:r>
          </w:p>
        </w:tc>
      </w:tr>
      <w:tr>
        <w:tc>
          <w:tcPr>
            <w:tcW w:type="dxa" w:w="1944"/>
            <w:vAlign w:val="center"/>
          </w:tcPr>
          <w:p>
            <w:r>
              <w:rPr>
                <w:sz w:val="15"/>
              </w:rPr>
              <w:t>Nominal flow</w:t>
            </w:r>
          </w:p>
        </w:tc>
        <w:tc>
          <w:tcPr>
            <w:tcW w:type="dxa" w:w="3312"/>
            <w:vAlign w:val="center"/>
          </w:tcPr>
          <w:p>
            <w:r>
              <w:rPr>
                <w:sz w:val="15"/>
              </w:rPr>
              <w:t>200 µL/min</w:t>
            </w:r>
          </w:p>
        </w:tc>
        <w:tc>
          <w:tcPr>
            <w:tcW w:type="dxa" w:w="3960"/>
            <w:vAlign w:val="center"/>
          </w:tcPr>
          <w:p>
            <w:r>
              <w:rPr>
                <w:sz w:val="15"/>
              </w:rPr>
              <w:t>Practical transport delay without unnecessarily high pressure</w:t>
            </w:r>
          </w:p>
        </w:tc>
      </w:tr>
      <w:tr>
        <w:tc>
          <w:tcPr>
            <w:tcW w:type="dxa" w:w="1944"/>
            <w:vAlign w:val="center"/>
          </w:tcPr>
          <w:p>
            <w:r>
              <w:rPr>
                <w:sz w:val="15"/>
              </w:rPr>
              <w:t>Receiver</w:t>
            </w:r>
          </w:p>
        </w:tc>
        <w:tc>
          <w:tcPr>
            <w:tcW w:type="dxa" w:w="3312"/>
            <w:vAlign w:val="center"/>
          </w:tcPr>
          <w:p>
            <w:r>
              <w:rPr>
                <w:sz w:val="15"/>
              </w:rPr>
              <w:t>AC conductometric flow cell using platinum electrodes</w:t>
            </w:r>
          </w:p>
        </w:tc>
        <w:tc>
          <w:tcPr>
            <w:tcW w:type="dxa" w:w="3960"/>
            <w:vAlign w:val="center"/>
          </w:tcPr>
          <w:p>
            <w:r>
              <w:rPr>
                <w:sz w:val="15"/>
              </w:rPr>
              <w:t>Conventional physics, analog output, independently characterizable</w:t>
            </w:r>
          </w:p>
        </w:tc>
      </w:tr>
      <w:tr>
        <w:tc>
          <w:tcPr>
            <w:tcW w:type="dxa" w:w="1944"/>
            <w:vAlign w:val="center"/>
          </w:tcPr>
          <w:p>
            <w:r>
              <w:rPr>
                <w:sz w:val="15"/>
              </w:rPr>
              <w:t>AC excitation</w:t>
            </w:r>
          </w:p>
        </w:tc>
        <w:tc>
          <w:tcPr>
            <w:tcW w:type="dxa" w:w="3312"/>
            <w:vAlign w:val="center"/>
          </w:tcPr>
          <w:p>
            <w:r>
              <w:rPr>
                <w:sz w:val="15"/>
              </w:rPr>
              <w:t>1 kHz, 100 mVpp nominal through 100 kΩ 0.1% series resistor</w:t>
            </w:r>
          </w:p>
        </w:tc>
        <w:tc>
          <w:tcPr>
            <w:tcW w:type="dxa" w:w="3960"/>
            <w:vAlign w:val="center"/>
          </w:tcPr>
          <w:p>
            <w:r>
              <w:rPr>
                <w:sz w:val="15"/>
              </w:rPr>
              <w:t>Limits polarization/current while preserving measurable impedance contrast</w:t>
            </w:r>
          </w:p>
        </w:tc>
      </w:tr>
      <w:tr>
        <w:tc>
          <w:tcPr>
            <w:tcW w:type="dxa" w:w="1944"/>
            <w:vAlign w:val="center"/>
          </w:tcPr>
          <w:p>
            <w:r>
              <w:rPr>
                <w:sz w:val="15"/>
              </w:rPr>
              <w:t>Primary acquisition</w:t>
            </w:r>
          </w:p>
        </w:tc>
        <w:tc>
          <w:tcPr>
            <w:tcW w:type="dxa" w:w="3312"/>
            <w:vAlign w:val="center"/>
          </w:tcPr>
          <w:p>
            <w:r>
              <w:rPr>
                <w:sz w:val="15"/>
              </w:rPr>
              <w:t>NI USB-6363 or equivalent 16-bit multifunction DAQ</w:t>
            </w:r>
          </w:p>
        </w:tc>
        <w:tc>
          <w:tcPr>
            <w:tcW w:type="dxa" w:w="3960"/>
            <w:vAlign w:val="center"/>
          </w:tcPr>
          <w:p>
            <w:r>
              <w:rPr>
                <w:sz w:val="15"/>
              </w:rPr>
              <w:t>Adequate channel count and acquisition bandwidth</w:t>
            </w:r>
          </w:p>
        </w:tc>
      </w:tr>
      <w:tr>
        <w:tc>
          <w:tcPr>
            <w:tcW w:type="dxa" w:w="1944"/>
            <w:vAlign w:val="center"/>
          </w:tcPr>
          <w:p>
            <w:r>
              <w:rPr>
                <w:sz w:val="15"/>
              </w:rPr>
              <w:t>Waveform source</w:t>
            </w:r>
          </w:p>
        </w:tc>
        <w:tc>
          <w:tcPr>
            <w:tcW w:type="dxa" w:w="3312"/>
            <w:vAlign w:val="center"/>
          </w:tcPr>
          <w:p>
            <w:r>
              <w:rPr>
                <w:sz w:val="15"/>
              </w:rPr>
              <w:t>Keysight 33500B family or equivalent</w:t>
            </w:r>
          </w:p>
        </w:tc>
        <w:tc>
          <w:tcPr>
            <w:tcW w:type="dxa" w:w="3960"/>
            <w:vAlign w:val="center"/>
          </w:tcPr>
          <w:p>
            <w:r>
              <w:rPr>
                <w:sz w:val="15"/>
              </w:rPr>
              <w:t>Stable programmable low-distortion excitation</w:t>
            </w:r>
          </w:p>
        </w:tc>
      </w:tr>
      <w:tr>
        <w:tc>
          <w:tcPr>
            <w:tcW w:type="dxa" w:w="1944"/>
            <w:vAlign w:val="center"/>
          </w:tcPr>
          <w:p>
            <w:r>
              <w:rPr>
                <w:sz w:val="15"/>
              </w:rPr>
              <w:t>Stage 1B</w:t>
            </w:r>
          </w:p>
        </w:tc>
        <w:tc>
          <w:tcPr>
            <w:tcW w:type="dxa" w:w="3312"/>
            <w:vAlign w:val="center"/>
          </w:tcPr>
          <w:p>
            <w:r>
              <w:rPr>
                <w:sz w:val="15"/>
              </w:rPr>
              <w:t>Graphene-FET or other nanoscale receiver only after Stage-1A acceptance</w:t>
            </w:r>
          </w:p>
        </w:tc>
        <w:tc>
          <w:tcPr>
            <w:tcW w:type="dxa" w:w="3960"/>
            <w:vAlign w:val="center"/>
          </w:tcPr>
          <w:p>
            <w:r>
              <w:rPr>
                <w:sz w:val="15"/>
              </w:rPr>
              <w:t>Prevents novel-sensor behavior from being confused with protocol defects</w:t>
            </w:r>
          </w:p>
        </w:tc>
      </w:tr>
    </w:tbl>
    <w:p>
      <w:r>
        <w:rPr>
          <w:i w:val="0"/>
        </w:rPr>
        <w:t>The concentration values, flow rate, excitation amplitude, and timing are commissioning targets, not scientific constants. CAL-02 and CAL-03 may adjust them if required to achieve stable, non-saturating receiver separation. Any adjustment must be frozen before blinded campaigns begin.</w:t>
      </w:r>
    </w:p>
    <w:p>
      <w:pPr>
        <w:pStyle w:val="Heading1"/>
      </w:pPr>
      <w:r>
        <w:t>21. Stage-1A Fluidic Implementation Specification</w:t>
      </w:r>
    </w:p>
    <w:p>
      <w:pPr>
        <w:jc w:val="center"/>
      </w:pPr>
      <w:r>
        <w:drawing>
          <wp:inline xmlns:a="http://schemas.openxmlformats.org/drawingml/2006/main" xmlns:pic="http://schemas.openxmlformats.org/drawingml/2006/picture">
            <wp:extent cx="5669280" cy="2692713"/>
            <wp:docPr id="6" name="Picture 6"/>
            <wp:cNvGraphicFramePr>
              <a:graphicFrameLocks noChangeAspect="1"/>
            </wp:cNvGraphicFramePr>
            <a:graphic>
              <a:graphicData uri="http://schemas.openxmlformats.org/drawingml/2006/picture">
                <pic:pic>
                  <pic:nvPicPr>
                    <pic:cNvPr id="0" name="figure_v03_stage1a_fluidic.png"/>
                    <pic:cNvPicPr/>
                  </pic:nvPicPr>
                  <pic:blipFill>
                    <a:blip r:embed="rId15"/>
                    <a:stretch>
                      <a:fillRect/>
                    </a:stretch>
                  </pic:blipFill>
                  <pic:spPr>
                    <a:xfrm>
                      <a:off x="0" y="0"/>
                      <a:ext cx="5669280" cy="2692713"/>
                    </a:xfrm>
                    <a:prstGeom prst="rect"/>
                  </pic:spPr>
                </pic:pic>
              </a:graphicData>
            </a:graphic>
          </wp:inline>
        </w:drawing>
      </w:r>
    </w:p>
    <w:p>
      <w:pPr>
        <w:jc w:val="center"/>
      </w:pPr>
      <w:r>
        <w:rPr>
          <w:i/>
          <w:sz w:val="18"/>
        </w:rPr>
        <w:t>Figure 6. Frozen Stage-1A reference implementation.</w:t>
      </w:r>
    </w:p>
    <w:p>
      <w:pPr>
        <w:pStyle w:val="Heading2"/>
      </w:pPr>
      <w:r>
        <w:t>21.1 Fluid Chemistry</w:t>
      </w:r>
    </w:p>
    <w:p>
      <w:r>
        <w:rPr>
          <w:i w:val="0"/>
        </w:rPr>
        <w:t>Use deionized water from a single lot to prepare both states. The initial reference solutions are 1.00 mM NaCl (L) and 10.00 mM NaCl (H). Record reagent manufacturer/lot, balance ID, water source, preparation date, measured temperature, and independent conductivity verification. Prepare enough volume for the complete campaign plus calibration and waste.</w:t>
      </w:r>
    </w:p>
    <w:p>
      <w:r>
        <w:rPr>
          <w:i w:val="0"/>
        </w:rPr>
        <w:t>A blank/sham solution uses the same composition as the low state. A passive trial leaves the receiver flowing at the low state without challenge-dependent valve motion. BLOCKED, SHAM, and PASSIVE controls therefore test different leakage mechanisms.</w:t>
      </w:r>
    </w:p>
    <w:p>
      <w:pPr>
        <w:pStyle w:val="Heading2"/>
      </w:pPr>
      <w:r>
        <w:t>21.2 Fluidic Geometry Freeze</w:t>
      </w:r>
    </w:p>
    <w:p>
      <w:r>
        <w:rPr>
          <w:i w:val="0"/>
        </w:rPr>
        <w:t>The reference fluidic path after the selector valve shall use 1/16-inch OD chemically compatible tubing with an internal diameter near 0.5 mm. The valve-to-receiver length should be held to 100 mm or less where the facility layout permits. All dimensions are recorded in the apparatus manifest.</w:t>
      </w:r>
    </w:p>
    <w:p>
      <w:pPr>
        <w:pStyle w:val="ListBullet"/>
      </w:pPr>
      <w:r>
        <w:t>Nominal 1.0 mm internal flow bore in the receiver cell.</w:t>
      </w:r>
    </w:p>
    <w:p>
      <w:pPr>
        <w:pStyle w:val="ListBullet"/>
      </w:pPr>
      <w:r>
        <w:t>Two platinum sensing electrodes exposed to the flowing solution.</w:t>
      </w:r>
    </w:p>
    <w:p>
      <w:pPr>
        <w:pStyle w:val="ListBullet"/>
      </w:pPr>
      <w:r>
        <w:t>Nominal electrode separation of 1.0 mm across or immediately adjacent to the flow path.</w:t>
      </w:r>
    </w:p>
    <w:p>
      <w:pPr>
        <w:pStyle w:val="ListBullet"/>
      </w:pPr>
      <w:r>
        <w:t>Minimal trapped volume and no gas pocket above the sensing region.</w:t>
      </w:r>
    </w:p>
    <w:p>
      <w:pPr>
        <w:pStyle w:val="ListBullet"/>
      </w:pPr>
      <w:r>
        <w:t>Removable fittings so the cell can be replaced by a dummy load or bypass for controls.</w:t>
      </w:r>
    </w:p>
    <w:p>
      <w:r>
        <w:rPr>
          <w:i w:val="0"/>
        </w:rPr>
        <w:t>The exact cell constant depends on fabricated geometry. CAL-02 therefore establishes the electrical transfer function and CAL-03 measures the end-to-end transport and settling response with the assembled cell rather than relying on CAD geometry alone.</w:t>
      </w:r>
    </w:p>
    <w:p>
      <w:pPr>
        <w:pStyle w:val="Heading2"/>
      </w:pPr>
      <w:r>
        <w:t>21.3 Timing Targets</w:t>
      </w:r>
    </w:p>
    <w:p>
      <w:r>
        <w:rPr>
          <w:i w:val="0"/>
        </w:rPr>
        <w:t>The initial engineering target is 200 µL/min, a 12-second symbol interval, and a 5-second guard interval. CAL-03 measures 10-90% and 5-95% transition times for L→H and H→L. The final symbol duration must be at least 1.5 times the slower measured 95% settling time unless a pre-registered equalization/decoder demonstrates lower intersymbol interference.</w:t>
      </w:r>
    </w:p>
    <w:p>
      <w:pPr>
        <w:pStyle w:val="Heading1"/>
      </w:pPr>
      <w:r>
        <w:t>22. Stage-1A Electrical Receiver Specification</w:t>
      </w:r>
    </w:p>
    <w:p>
      <w:pPr>
        <w:jc w:val="center"/>
      </w:pPr>
      <w:r>
        <w:drawing>
          <wp:inline xmlns:a="http://schemas.openxmlformats.org/drawingml/2006/main" xmlns:pic="http://schemas.openxmlformats.org/drawingml/2006/picture">
            <wp:extent cx="5623560" cy="2275955"/>
            <wp:docPr id="7" name="Picture 7"/>
            <wp:cNvGraphicFramePr>
              <a:graphicFrameLocks noChangeAspect="1"/>
            </wp:cNvGraphicFramePr>
            <a:graphic>
              <a:graphicData uri="http://schemas.openxmlformats.org/drawingml/2006/picture">
                <pic:pic>
                  <pic:nvPicPr>
                    <pic:cNvPr id="0" name="figure_v03_conductometric_circuit.png"/>
                    <pic:cNvPicPr/>
                  </pic:nvPicPr>
                  <pic:blipFill>
                    <a:blip r:embed="rId16"/>
                    <a:stretch>
                      <a:fillRect/>
                    </a:stretch>
                  </pic:blipFill>
                  <pic:spPr>
                    <a:xfrm>
                      <a:off x="0" y="0"/>
                      <a:ext cx="5623560" cy="2275955"/>
                    </a:xfrm>
                    <a:prstGeom prst="rect"/>
                  </pic:spPr>
                </pic:pic>
              </a:graphicData>
            </a:graphic>
          </wp:inline>
        </w:drawing>
      </w:r>
    </w:p>
    <w:p>
      <w:pPr>
        <w:jc w:val="center"/>
      </w:pPr>
      <w:r>
        <w:rPr>
          <w:i/>
          <w:sz w:val="18"/>
        </w:rPr>
        <w:t>Figure 7. AC conductometric receiver concept.</w:t>
      </w:r>
    </w:p>
    <w:p>
      <w:r>
        <w:rPr>
          <w:i w:val="0"/>
        </w:rPr>
        <w:t>The reference receiver uses low-amplitude AC excitation so the commissioning channel is dominated by solution impedance rather than DC electrode polarization. The waveform source provides a 1 kHz, 100 mVpp sine wave through a 100 kΩ, 0.1% series resistor into the platinum flow cell. The DAQ records both the source-side excitation and the cell-side voltage. Derived impedance or conductance is calculated after CLOSE from the raw synchronized waveforms.</w:t>
      </w:r>
    </w:p>
    <w:p>
      <w:r>
        <w:rPr>
          <w:i w:val="0"/>
        </w:rPr>
        <w:t>The final resistor value and excitation amplitude may be changed during CAL-02 to place both L and H states comfortably within the DAQ input range without clipping while keeping electrode current low. The chosen values are then frozen in the hardware manifest.</w:t>
      </w:r>
    </w:p>
    <w:p>
      <w:pPr>
        <w:pStyle w:val="Heading2"/>
      </w:pPr>
      <w:r>
        <w:t>22.1 DAQ Channel Freeze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center"/>
          </w:tcPr>
          <w:p>
            <w:r>
              <w:rPr>
                <w:b/>
                <w:sz w:val="16"/>
              </w:rPr>
              <w:t>Channel</w:t>
            </w:r>
          </w:p>
        </w:tc>
        <w:tc>
          <w:tcPr>
            <w:tcW w:type="dxa" w:w="2304"/>
            <w:vAlign w:val="center"/>
          </w:tcPr>
          <w:p>
            <w:r>
              <w:rPr>
                <w:b/>
                <w:sz w:val="16"/>
              </w:rPr>
              <w:t>v0.3 assignment</w:t>
            </w:r>
          </w:p>
        </w:tc>
        <w:tc>
          <w:tcPr>
            <w:tcW w:type="dxa" w:w="1440"/>
            <w:vAlign w:val="center"/>
          </w:tcPr>
          <w:p>
            <w:r>
              <w:rPr>
                <w:b/>
                <w:sz w:val="16"/>
              </w:rPr>
              <w:t>Minimum rate</w:t>
            </w:r>
          </w:p>
        </w:tc>
        <w:tc>
          <w:tcPr>
            <w:tcW w:type="dxa" w:w="4320"/>
            <w:vAlign w:val="center"/>
          </w:tcPr>
          <w:p>
            <w:r>
              <w:rPr>
                <w:b/>
                <w:sz w:val="16"/>
              </w:rPr>
              <w:t>Note</w:t>
            </w:r>
          </w:p>
        </w:tc>
      </w:tr>
      <w:tr>
        <w:tc>
          <w:tcPr>
            <w:tcW w:type="dxa" w:w="936"/>
            <w:vAlign w:val="center"/>
          </w:tcPr>
          <w:p>
            <w:r>
              <w:rPr>
                <w:sz w:val="16"/>
              </w:rPr>
              <w:t>AI0</w:t>
            </w:r>
          </w:p>
        </w:tc>
        <w:tc>
          <w:tcPr>
            <w:tcW w:type="dxa" w:w="2304"/>
            <w:vAlign w:val="center"/>
          </w:tcPr>
          <w:p>
            <w:r>
              <w:rPr>
                <w:sz w:val="16"/>
              </w:rPr>
              <w:t>RX_EXCITATION</w:t>
            </w:r>
          </w:p>
        </w:tc>
        <w:tc>
          <w:tcPr>
            <w:tcW w:type="dxa" w:w="1440"/>
            <w:vAlign w:val="center"/>
          </w:tcPr>
          <w:p>
            <w:r>
              <w:rPr>
                <w:sz w:val="16"/>
              </w:rPr>
              <w:t>20 kS/s</w:t>
            </w:r>
          </w:p>
        </w:tc>
        <w:tc>
          <w:tcPr>
            <w:tcW w:type="dxa" w:w="4320"/>
            <w:vAlign w:val="center"/>
          </w:tcPr>
          <w:p>
            <w:r>
              <w:rPr>
                <w:sz w:val="16"/>
              </w:rPr>
              <w:t>Measures actual 1 kHz excitation</w:t>
            </w:r>
          </w:p>
        </w:tc>
      </w:tr>
      <w:tr>
        <w:tc>
          <w:tcPr>
            <w:tcW w:type="dxa" w:w="936"/>
            <w:vAlign w:val="center"/>
          </w:tcPr>
          <w:p>
            <w:r>
              <w:rPr>
                <w:sz w:val="16"/>
              </w:rPr>
              <w:t>AI1</w:t>
            </w:r>
          </w:p>
        </w:tc>
        <w:tc>
          <w:tcPr>
            <w:tcW w:type="dxa" w:w="2304"/>
            <w:vAlign w:val="center"/>
          </w:tcPr>
          <w:p>
            <w:r>
              <w:rPr>
                <w:sz w:val="16"/>
              </w:rPr>
              <w:t>RX_CELL</w:t>
            </w:r>
          </w:p>
        </w:tc>
        <w:tc>
          <w:tcPr>
            <w:tcW w:type="dxa" w:w="1440"/>
            <w:vAlign w:val="center"/>
          </w:tcPr>
          <w:p>
            <w:r>
              <w:rPr>
                <w:sz w:val="16"/>
              </w:rPr>
              <w:t>20 kS/s</w:t>
            </w:r>
          </w:p>
        </w:tc>
        <w:tc>
          <w:tcPr>
            <w:tcW w:type="dxa" w:w="4320"/>
            <w:vAlign w:val="center"/>
          </w:tcPr>
          <w:p>
            <w:r>
              <w:rPr>
                <w:sz w:val="16"/>
              </w:rPr>
              <w:t>Primary receiver waveform</w:t>
            </w:r>
          </w:p>
        </w:tc>
      </w:tr>
      <w:tr>
        <w:tc>
          <w:tcPr>
            <w:tcW w:type="dxa" w:w="936"/>
            <w:vAlign w:val="center"/>
          </w:tcPr>
          <w:p>
            <w:r>
              <w:rPr>
                <w:sz w:val="16"/>
              </w:rPr>
              <w:t>AI2</w:t>
            </w:r>
          </w:p>
        </w:tc>
        <w:tc>
          <w:tcPr>
            <w:tcW w:type="dxa" w:w="2304"/>
            <w:vAlign w:val="center"/>
          </w:tcPr>
          <w:p>
            <w:r>
              <w:rPr>
                <w:sz w:val="16"/>
              </w:rPr>
              <w:t>TEMP_IF</w:t>
            </w:r>
          </w:p>
        </w:tc>
        <w:tc>
          <w:tcPr>
            <w:tcW w:type="dxa" w:w="1440"/>
            <w:vAlign w:val="center"/>
          </w:tcPr>
          <w:p>
            <w:r>
              <w:rPr>
                <w:sz w:val="16"/>
              </w:rPr>
              <w:t>10 S/s</w:t>
            </w:r>
          </w:p>
        </w:tc>
        <w:tc>
          <w:tcPr>
            <w:tcW w:type="dxa" w:w="4320"/>
            <w:vAlign w:val="center"/>
          </w:tcPr>
          <w:p>
            <w:r>
              <w:rPr>
                <w:sz w:val="16"/>
              </w:rPr>
              <w:t>Interface temperature</w:t>
            </w:r>
          </w:p>
        </w:tc>
      </w:tr>
      <w:tr>
        <w:tc>
          <w:tcPr>
            <w:tcW w:type="dxa" w:w="936"/>
            <w:vAlign w:val="center"/>
          </w:tcPr>
          <w:p>
            <w:r>
              <w:rPr>
                <w:sz w:val="16"/>
              </w:rPr>
              <w:t>AI3</w:t>
            </w:r>
          </w:p>
        </w:tc>
        <w:tc>
          <w:tcPr>
            <w:tcW w:type="dxa" w:w="2304"/>
            <w:vAlign w:val="center"/>
          </w:tcPr>
          <w:p>
            <w:r>
              <w:rPr>
                <w:sz w:val="16"/>
              </w:rPr>
              <w:t>VIB_IF</w:t>
            </w:r>
          </w:p>
        </w:tc>
        <w:tc>
          <w:tcPr>
            <w:tcW w:type="dxa" w:w="1440"/>
            <w:vAlign w:val="center"/>
          </w:tcPr>
          <w:p>
            <w:r>
              <w:rPr>
                <w:sz w:val="16"/>
              </w:rPr>
              <w:t>5 kS/s</w:t>
            </w:r>
          </w:p>
        </w:tc>
        <w:tc>
          <w:tcPr>
            <w:tcW w:type="dxa" w:w="4320"/>
            <w:vAlign w:val="center"/>
          </w:tcPr>
          <w:p>
            <w:r>
              <w:rPr>
                <w:sz w:val="16"/>
              </w:rPr>
              <w:t>Vibration leakage monitor</w:t>
            </w:r>
          </w:p>
        </w:tc>
      </w:tr>
      <w:tr>
        <w:tc>
          <w:tcPr>
            <w:tcW w:type="dxa" w:w="936"/>
            <w:vAlign w:val="center"/>
          </w:tcPr>
          <w:p>
            <w:r>
              <w:rPr>
                <w:sz w:val="16"/>
              </w:rPr>
              <w:t>AI4</w:t>
            </w:r>
          </w:p>
        </w:tc>
        <w:tc>
          <w:tcPr>
            <w:tcW w:type="dxa" w:w="2304"/>
            <w:vAlign w:val="center"/>
          </w:tcPr>
          <w:p>
            <w:r>
              <w:rPr>
                <w:sz w:val="16"/>
              </w:rPr>
              <w:t>EM_IF</w:t>
            </w:r>
          </w:p>
        </w:tc>
        <w:tc>
          <w:tcPr>
            <w:tcW w:type="dxa" w:w="1440"/>
            <w:vAlign w:val="center"/>
          </w:tcPr>
          <w:p>
            <w:r>
              <w:rPr>
                <w:sz w:val="16"/>
              </w:rPr>
              <w:t>100 kS/s</w:t>
            </w:r>
          </w:p>
        </w:tc>
        <w:tc>
          <w:tcPr>
            <w:tcW w:type="dxa" w:w="4320"/>
            <w:vAlign w:val="center"/>
          </w:tcPr>
          <w:p>
            <w:r>
              <w:rPr>
                <w:sz w:val="16"/>
              </w:rPr>
              <w:t>EM leakage monitor</w:t>
            </w:r>
          </w:p>
        </w:tc>
      </w:tr>
      <w:tr>
        <w:tc>
          <w:tcPr>
            <w:tcW w:type="dxa" w:w="936"/>
            <w:vAlign w:val="center"/>
          </w:tcPr>
          <w:p>
            <w:r>
              <w:rPr>
                <w:sz w:val="16"/>
              </w:rPr>
              <w:t>AI5</w:t>
            </w:r>
          </w:p>
        </w:tc>
        <w:tc>
          <w:tcPr>
            <w:tcW w:type="dxa" w:w="2304"/>
            <w:vAlign w:val="center"/>
          </w:tcPr>
          <w:p>
            <w:r>
              <w:rPr>
                <w:sz w:val="16"/>
              </w:rPr>
              <w:t>ACOUSTIC_IF</w:t>
            </w:r>
          </w:p>
        </w:tc>
        <w:tc>
          <w:tcPr>
            <w:tcW w:type="dxa" w:w="1440"/>
            <w:vAlign w:val="center"/>
          </w:tcPr>
          <w:p>
            <w:r>
              <w:rPr>
                <w:sz w:val="16"/>
              </w:rPr>
              <w:t>48 kS/s</w:t>
            </w:r>
          </w:p>
        </w:tc>
        <w:tc>
          <w:tcPr>
            <w:tcW w:type="dxa" w:w="4320"/>
            <w:vAlign w:val="center"/>
          </w:tcPr>
          <w:p>
            <w:r>
              <w:rPr>
                <w:sz w:val="16"/>
              </w:rPr>
              <w:t>Acoustic leakage monitor</w:t>
            </w:r>
          </w:p>
        </w:tc>
      </w:tr>
      <w:tr>
        <w:tc>
          <w:tcPr>
            <w:tcW w:type="dxa" w:w="936"/>
            <w:vAlign w:val="center"/>
          </w:tcPr>
          <w:p>
            <w:r>
              <w:rPr>
                <w:sz w:val="16"/>
              </w:rPr>
              <w:t>AI6</w:t>
            </w:r>
          </w:p>
        </w:tc>
        <w:tc>
          <w:tcPr>
            <w:tcW w:type="dxa" w:w="2304"/>
            <w:vAlign w:val="center"/>
          </w:tcPr>
          <w:p>
            <w:r>
              <w:rPr>
                <w:sz w:val="16"/>
              </w:rPr>
              <w:t>OPTICAL_IF</w:t>
            </w:r>
          </w:p>
        </w:tc>
        <w:tc>
          <w:tcPr>
            <w:tcW w:type="dxa" w:w="1440"/>
            <w:vAlign w:val="center"/>
          </w:tcPr>
          <w:p>
            <w:r>
              <w:rPr>
                <w:sz w:val="16"/>
              </w:rPr>
              <w:t>1 kS/s</w:t>
            </w:r>
          </w:p>
        </w:tc>
        <w:tc>
          <w:tcPr>
            <w:tcW w:type="dxa" w:w="4320"/>
            <w:vAlign w:val="center"/>
          </w:tcPr>
          <w:p>
            <w:r>
              <w:rPr>
                <w:sz w:val="16"/>
              </w:rPr>
              <w:t>Optical leakage monitor</w:t>
            </w:r>
          </w:p>
        </w:tc>
      </w:tr>
      <w:tr>
        <w:tc>
          <w:tcPr>
            <w:tcW w:type="dxa" w:w="936"/>
            <w:vAlign w:val="center"/>
          </w:tcPr>
          <w:p>
            <w:r>
              <w:rPr>
                <w:sz w:val="16"/>
              </w:rPr>
              <w:t>AI7</w:t>
            </w:r>
          </w:p>
        </w:tc>
        <w:tc>
          <w:tcPr>
            <w:tcW w:type="dxa" w:w="2304"/>
            <w:vAlign w:val="center"/>
          </w:tcPr>
          <w:p>
            <w:r>
              <w:rPr>
                <w:sz w:val="16"/>
              </w:rPr>
              <w:t>POWER_MON</w:t>
            </w:r>
          </w:p>
        </w:tc>
        <w:tc>
          <w:tcPr>
            <w:tcW w:type="dxa" w:w="1440"/>
            <w:vAlign w:val="center"/>
          </w:tcPr>
          <w:p>
            <w:r>
              <w:rPr>
                <w:sz w:val="16"/>
              </w:rPr>
              <w:t>5 kS/s</w:t>
            </w:r>
          </w:p>
        </w:tc>
        <w:tc>
          <w:tcPr>
            <w:tcW w:type="dxa" w:w="4320"/>
            <w:vAlign w:val="center"/>
          </w:tcPr>
          <w:p>
            <w:r>
              <w:rPr>
                <w:sz w:val="16"/>
              </w:rPr>
              <w:t>Shared-power leakage monitor</w:t>
            </w:r>
          </w:p>
        </w:tc>
      </w:tr>
      <w:tr>
        <w:tc>
          <w:tcPr>
            <w:tcW w:type="dxa" w:w="936"/>
            <w:vAlign w:val="center"/>
          </w:tcPr>
          <w:p>
            <w:r>
              <w:rPr>
                <w:sz w:val="16"/>
              </w:rPr>
              <w:t>AI8</w:t>
            </w:r>
          </w:p>
        </w:tc>
        <w:tc>
          <w:tcPr>
            <w:tcW w:type="dxa" w:w="2304"/>
            <w:vAlign w:val="center"/>
          </w:tcPr>
          <w:p>
            <w:r>
              <w:rPr>
                <w:sz w:val="16"/>
              </w:rPr>
              <w:t>FLOW_PRESS</w:t>
            </w:r>
          </w:p>
        </w:tc>
        <w:tc>
          <w:tcPr>
            <w:tcW w:type="dxa" w:w="1440"/>
            <w:vAlign w:val="center"/>
          </w:tcPr>
          <w:p>
            <w:r>
              <w:rPr>
                <w:sz w:val="16"/>
              </w:rPr>
              <w:t>1 kS/s</w:t>
            </w:r>
          </w:p>
        </w:tc>
        <w:tc>
          <w:tcPr>
            <w:tcW w:type="dxa" w:w="4320"/>
            <w:vAlign w:val="center"/>
          </w:tcPr>
          <w:p>
            <w:r>
              <w:rPr>
                <w:sz w:val="16"/>
              </w:rPr>
              <w:t>Flow/pressure state</w:t>
            </w:r>
          </w:p>
        </w:tc>
      </w:tr>
      <w:tr>
        <w:tc>
          <w:tcPr>
            <w:tcW w:type="dxa" w:w="936"/>
            <w:vAlign w:val="center"/>
          </w:tcPr>
          <w:p>
            <w:r>
              <w:rPr>
                <w:sz w:val="16"/>
              </w:rPr>
              <w:t>AI9</w:t>
            </w:r>
          </w:p>
        </w:tc>
        <w:tc>
          <w:tcPr>
            <w:tcW w:type="dxa" w:w="2304"/>
            <w:vAlign w:val="center"/>
          </w:tcPr>
          <w:p>
            <w:r>
              <w:rPr>
                <w:sz w:val="16"/>
              </w:rPr>
              <w:t>REF_DUMMY</w:t>
            </w:r>
          </w:p>
        </w:tc>
        <w:tc>
          <w:tcPr>
            <w:tcW w:type="dxa" w:w="1440"/>
            <w:vAlign w:val="center"/>
          </w:tcPr>
          <w:p>
            <w:r>
              <w:rPr>
                <w:sz w:val="16"/>
              </w:rPr>
              <w:t>20 kS/s</w:t>
            </w:r>
          </w:p>
        </w:tc>
        <w:tc>
          <w:tcPr>
            <w:tcW w:type="dxa" w:w="4320"/>
            <w:vAlign w:val="center"/>
          </w:tcPr>
          <w:p>
            <w:r>
              <w:rPr>
                <w:sz w:val="16"/>
              </w:rPr>
              <w:t>Electrically similar dummy receiver</w:t>
            </w:r>
          </w:p>
        </w:tc>
      </w:tr>
    </w:tbl>
    <w:p>
      <w:r>
        <w:rPr>
          <w:i w:val="0"/>
        </w:rPr>
        <w:t>The earlier v0.2 TX current-proxy channel becomes optional during Stage-1A if it would create an unnecessary information bridge. If used, it must be independently isolated and explicitly included in the leakage model.</w:t>
      </w:r>
    </w:p>
    <w:p>
      <w:pPr>
        <w:pStyle w:val="Heading1"/>
      </w:pPr>
      <w:r>
        <w:t>23. Connector and Wiring Freeze</w:t>
      </w:r>
    </w:p>
    <w:p>
      <w:r>
        <w:rPr>
          <w:i w:val="0"/>
        </w:rPr>
        <w:t>The reference NI USB-6363 BNC configuration uses BNC analog inputs. BNC center conductors carry the measured signal; shields are bonded according to the finalized grounding plan. Shields must not be connected at multiple points if doing so creates a measurable ground loop.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center"/>
          </w:tcPr>
          <w:p>
            <w:r>
              <w:rPr>
                <w:b/>
                <w:sz w:val="16"/>
              </w:rPr>
              <w:t>ID</w:t>
            </w:r>
          </w:p>
        </w:tc>
        <w:tc>
          <w:tcPr>
            <w:tcW w:type="dxa" w:w="1944"/>
            <w:vAlign w:val="center"/>
          </w:tcPr>
          <w:p>
            <w:r>
              <w:rPr>
                <w:b/>
                <w:sz w:val="16"/>
              </w:rPr>
              <w:t>Source</w:t>
            </w:r>
          </w:p>
        </w:tc>
        <w:tc>
          <w:tcPr>
            <w:tcW w:type="dxa" w:w="2088"/>
            <w:vAlign w:val="center"/>
          </w:tcPr>
          <w:p>
            <w:r>
              <w:rPr>
                <w:b/>
                <w:sz w:val="16"/>
              </w:rPr>
              <w:t>Destination</w:t>
            </w:r>
          </w:p>
        </w:tc>
        <w:tc>
          <w:tcPr>
            <w:tcW w:type="dxa" w:w="4320"/>
            <w:vAlign w:val="center"/>
          </w:tcPr>
          <w:p>
            <w:r>
              <w:rPr>
                <w:b/>
                <w:sz w:val="16"/>
              </w:rPr>
              <w:t>Reference implementation</w:t>
            </w:r>
          </w:p>
        </w:tc>
      </w:tr>
      <w:tr>
        <w:tc>
          <w:tcPr>
            <w:tcW w:type="dxa" w:w="936"/>
            <w:vAlign w:val="center"/>
          </w:tcPr>
          <w:p>
            <w:r>
              <w:rPr>
                <w:sz w:val="16"/>
              </w:rPr>
              <w:t>E-001</w:t>
            </w:r>
          </w:p>
        </w:tc>
        <w:tc>
          <w:tcPr>
            <w:tcW w:type="dxa" w:w="1944"/>
            <w:vAlign w:val="center"/>
          </w:tcPr>
          <w:p>
            <w:r>
              <w:rPr>
                <w:sz w:val="16"/>
              </w:rPr>
              <w:t>AWG CH1</w:t>
            </w:r>
          </w:p>
        </w:tc>
        <w:tc>
          <w:tcPr>
            <w:tcW w:type="dxa" w:w="2088"/>
            <w:vAlign w:val="center"/>
          </w:tcPr>
          <w:p>
            <w:r>
              <w:rPr>
                <w:sz w:val="16"/>
              </w:rPr>
              <w:t>100 kΩ series resistor</w:t>
            </w:r>
          </w:p>
        </w:tc>
        <w:tc>
          <w:tcPr>
            <w:tcW w:type="dxa" w:w="4320"/>
            <w:vAlign w:val="center"/>
          </w:tcPr>
          <w:p>
            <w:r>
              <w:rPr>
                <w:sz w:val="16"/>
              </w:rPr>
              <w:t>50 Ω BNC coax; source configured for high-Z load unless verified otherwise</w:t>
            </w:r>
          </w:p>
        </w:tc>
      </w:tr>
      <w:tr>
        <w:tc>
          <w:tcPr>
            <w:tcW w:type="dxa" w:w="936"/>
            <w:vAlign w:val="center"/>
          </w:tcPr>
          <w:p>
            <w:r>
              <w:rPr>
                <w:sz w:val="16"/>
              </w:rPr>
              <w:t>E-002</w:t>
            </w:r>
          </w:p>
        </w:tc>
        <w:tc>
          <w:tcPr>
            <w:tcW w:type="dxa" w:w="1944"/>
            <w:vAlign w:val="center"/>
          </w:tcPr>
          <w:p>
            <w:r>
              <w:rPr>
                <w:sz w:val="16"/>
              </w:rPr>
              <w:t>Series resistor output</w:t>
            </w:r>
          </w:p>
        </w:tc>
        <w:tc>
          <w:tcPr>
            <w:tcW w:type="dxa" w:w="2088"/>
            <w:vAlign w:val="center"/>
          </w:tcPr>
          <w:p>
            <w:r>
              <w:rPr>
                <w:sz w:val="16"/>
              </w:rPr>
              <w:t>Pt electrode 1</w:t>
            </w:r>
          </w:p>
        </w:tc>
        <w:tc>
          <w:tcPr>
            <w:tcW w:type="dxa" w:w="4320"/>
            <w:vAlign w:val="center"/>
          </w:tcPr>
          <w:p>
            <w:r>
              <w:rPr>
                <w:sz w:val="16"/>
              </w:rPr>
              <w:t>Shielded lead; shortest practical run</w:t>
            </w:r>
          </w:p>
        </w:tc>
      </w:tr>
      <w:tr>
        <w:tc>
          <w:tcPr>
            <w:tcW w:type="dxa" w:w="936"/>
            <w:vAlign w:val="center"/>
          </w:tcPr>
          <w:p>
            <w:r>
              <w:rPr>
                <w:sz w:val="16"/>
              </w:rPr>
              <w:t>E-003</w:t>
            </w:r>
          </w:p>
        </w:tc>
        <w:tc>
          <w:tcPr>
            <w:tcW w:type="dxa" w:w="1944"/>
            <w:vAlign w:val="center"/>
          </w:tcPr>
          <w:p>
            <w:r>
              <w:rPr>
                <w:sz w:val="16"/>
              </w:rPr>
              <w:t>Pt electrode 2</w:t>
            </w:r>
          </w:p>
        </w:tc>
        <w:tc>
          <w:tcPr>
            <w:tcW w:type="dxa" w:w="2088"/>
            <w:vAlign w:val="center"/>
          </w:tcPr>
          <w:p>
            <w:r>
              <w:rPr>
                <w:sz w:val="16"/>
              </w:rPr>
              <w:t>AWG return/reference</w:t>
            </w:r>
          </w:p>
        </w:tc>
        <w:tc>
          <w:tcPr>
            <w:tcW w:type="dxa" w:w="4320"/>
            <w:vAlign w:val="center"/>
          </w:tcPr>
          <w:p>
            <w:r>
              <w:rPr>
                <w:sz w:val="16"/>
              </w:rPr>
              <w:t>Shielded return</w:t>
            </w:r>
          </w:p>
        </w:tc>
      </w:tr>
      <w:tr>
        <w:tc>
          <w:tcPr>
            <w:tcW w:type="dxa" w:w="936"/>
            <w:vAlign w:val="center"/>
          </w:tcPr>
          <w:p>
            <w:r>
              <w:rPr>
                <w:sz w:val="16"/>
              </w:rPr>
              <w:t>E-004</w:t>
            </w:r>
          </w:p>
        </w:tc>
        <w:tc>
          <w:tcPr>
            <w:tcW w:type="dxa" w:w="1944"/>
            <w:vAlign w:val="center"/>
          </w:tcPr>
          <w:p>
            <w:r>
              <w:rPr>
                <w:sz w:val="16"/>
              </w:rPr>
              <w:t>Excitation monitor</w:t>
            </w:r>
          </w:p>
        </w:tc>
        <w:tc>
          <w:tcPr>
            <w:tcW w:type="dxa" w:w="2088"/>
            <w:vAlign w:val="center"/>
          </w:tcPr>
          <w:p>
            <w:r>
              <w:rPr>
                <w:sz w:val="16"/>
              </w:rPr>
              <w:t>DAQ AI0</w:t>
            </w:r>
          </w:p>
        </w:tc>
        <w:tc>
          <w:tcPr>
            <w:tcW w:type="dxa" w:w="4320"/>
            <w:vAlign w:val="center"/>
          </w:tcPr>
          <w:p>
            <w:r>
              <w:rPr>
                <w:sz w:val="16"/>
              </w:rPr>
              <w:t>BNC T or isolated monitor point</w:t>
            </w:r>
          </w:p>
        </w:tc>
      </w:tr>
      <w:tr>
        <w:tc>
          <w:tcPr>
            <w:tcW w:type="dxa" w:w="936"/>
            <w:vAlign w:val="center"/>
          </w:tcPr>
          <w:p>
            <w:r>
              <w:rPr>
                <w:sz w:val="16"/>
              </w:rPr>
              <w:t>E-005</w:t>
            </w:r>
          </w:p>
        </w:tc>
        <w:tc>
          <w:tcPr>
            <w:tcW w:type="dxa" w:w="1944"/>
            <w:vAlign w:val="center"/>
          </w:tcPr>
          <w:p>
            <w:r>
              <w:rPr>
                <w:sz w:val="16"/>
              </w:rPr>
              <w:t>Cell monitor</w:t>
            </w:r>
          </w:p>
        </w:tc>
        <w:tc>
          <w:tcPr>
            <w:tcW w:type="dxa" w:w="2088"/>
            <w:vAlign w:val="center"/>
          </w:tcPr>
          <w:p>
            <w:r>
              <w:rPr>
                <w:sz w:val="16"/>
              </w:rPr>
              <w:t>DAQ AI1</w:t>
            </w:r>
          </w:p>
        </w:tc>
        <w:tc>
          <w:tcPr>
            <w:tcW w:type="dxa" w:w="4320"/>
            <w:vAlign w:val="center"/>
          </w:tcPr>
          <w:p>
            <w:r>
              <w:rPr>
                <w:sz w:val="16"/>
              </w:rPr>
              <w:t>High-impedance buffered monitor</w:t>
            </w:r>
          </w:p>
        </w:tc>
      </w:tr>
      <w:tr>
        <w:tc>
          <w:tcPr>
            <w:tcW w:type="dxa" w:w="936"/>
            <w:vAlign w:val="center"/>
          </w:tcPr>
          <w:p>
            <w:r>
              <w:rPr>
                <w:sz w:val="16"/>
              </w:rPr>
              <w:t>E-006</w:t>
            </w:r>
          </w:p>
        </w:tc>
        <w:tc>
          <w:tcPr>
            <w:tcW w:type="dxa" w:w="1944"/>
            <w:vAlign w:val="center"/>
          </w:tcPr>
          <w:p>
            <w:r>
              <w:rPr>
                <w:sz w:val="16"/>
              </w:rPr>
              <w:t>Dummy network</w:t>
            </w:r>
          </w:p>
        </w:tc>
        <w:tc>
          <w:tcPr>
            <w:tcW w:type="dxa" w:w="2088"/>
            <w:vAlign w:val="center"/>
          </w:tcPr>
          <w:p>
            <w:r>
              <w:rPr>
                <w:sz w:val="16"/>
              </w:rPr>
              <w:t>DAQ AI9</w:t>
            </w:r>
          </w:p>
        </w:tc>
        <w:tc>
          <w:tcPr>
            <w:tcW w:type="dxa" w:w="4320"/>
            <w:vAlign w:val="center"/>
          </w:tcPr>
          <w:p>
            <w:r>
              <w:rPr>
                <w:sz w:val="16"/>
              </w:rPr>
              <w:t>Fixed RC network approximating receiver impedance</w:t>
            </w:r>
          </w:p>
        </w:tc>
      </w:tr>
      <w:tr>
        <w:tc>
          <w:tcPr>
            <w:tcW w:type="dxa" w:w="936"/>
            <w:vAlign w:val="center"/>
          </w:tcPr>
          <w:p>
            <w:r>
              <w:rPr>
                <w:sz w:val="16"/>
              </w:rPr>
              <w:t>E-007</w:t>
            </w:r>
          </w:p>
        </w:tc>
        <w:tc>
          <w:tcPr>
            <w:tcW w:type="dxa" w:w="1944"/>
            <w:vAlign w:val="center"/>
          </w:tcPr>
          <w:p>
            <w:r>
              <w:rPr>
                <w:sz w:val="16"/>
              </w:rPr>
              <w:t>ARM marker</w:t>
            </w:r>
          </w:p>
        </w:tc>
        <w:tc>
          <w:tcPr>
            <w:tcW w:type="dxa" w:w="2088"/>
            <w:vAlign w:val="center"/>
          </w:tcPr>
          <w:p>
            <w:r>
              <w:rPr>
                <w:sz w:val="16"/>
              </w:rPr>
              <w:t>DAQ DI</w:t>
            </w:r>
          </w:p>
        </w:tc>
        <w:tc>
          <w:tcPr>
            <w:tcW w:type="dxa" w:w="4320"/>
            <w:vAlign w:val="center"/>
          </w:tcPr>
          <w:p>
            <w:r>
              <w:rPr>
                <w:sz w:val="16"/>
              </w:rPr>
              <w:t>TTL only; no challenge content</w:t>
            </w:r>
          </w:p>
        </w:tc>
      </w:tr>
      <w:tr>
        <w:tc>
          <w:tcPr>
            <w:tcW w:type="dxa" w:w="936"/>
            <w:vAlign w:val="center"/>
          </w:tcPr>
          <w:p>
            <w:r>
              <w:rPr>
                <w:sz w:val="16"/>
              </w:rPr>
              <w:t>E-008</w:t>
            </w:r>
          </w:p>
        </w:tc>
        <w:tc>
          <w:tcPr>
            <w:tcW w:type="dxa" w:w="1944"/>
            <w:vAlign w:val="center"/>
          </w:tcPr>
          <w:p>
            <w:r>
              <w:rPr>
                <w:sz w:val="16"/>
              </w:rPr>
              <w:t>TX ACTIVE marker</w:t>
            </w:r>
          </w:p>
        </w:tc>
        <w:tc>
          <w:tcPr>
            <w:tcW w:type="dxa" w:w="2088"/>
            <w:vAlign w:val="center"/>
          </w:tcPr>
          <w:p>
            <w:r>
              <w:rPr>
                <w:sz w:val="16"/>
              </w:rPr>
              <w:t>DAQ DI</w:t>
            </w:r>
          </w:p>
        </w:tc>
        <w:tc>
          <w:tcPr>
            <w:tcW w:type="dxa" w:w="4320"/>
            <w:vAlign w:val="center"/>
          </w:tcPr>
          <w:p>
            <w:r>
              <w:rPr>
                <w:sz w:val="16"/>
              </w:rPr>
              <w:t>TTL envelope only; no symbol content</w:t>
            </w:r>
          </w:p>
        </w:tc>
      </w:tr>
      <w:tr>
        <w:tc>
          <w:tcPr>
            <w:tcW w:type="dxa" w:w="936"/>
            <w:vAlign w:val="center"/>
          </w:tcPr>
          <w:p>
            <w:r>
              <w:rPr>
                <w:sz w:val="16"/>
              </w:rPr>
              <w:t>E-009</w:t>
            </w:r>
          </w:p>
        </w:tc>
        <w:tc>
          <w:tcPr>
            <w:tcW w:type="dxa" w:w="1944"/>
            <w:vAlign w:val="center"/>
          </w:tcPr>
          <w:p>
            <w:r>
              <w:rPr>
                <w:sz w:val="16"/>
              </w:rPr>
              <w:t>CLOSE marker</w:t>
            </w:r>
          </w:p>
        </w:tc>
        <w:tc>
          <w:tcPr>
            <w:tcW w:type="dxa" w:w="2088"/>
            <w:vAlign w:val="center"/>
          </w:tcPr>
          <w:p>
            <w:r>
              <w:rPr>
                <w:sz w:val="16"/>
              </w:rPr>
              <w:t>DAQ DI</w:t>
            </w:r>
          </w:p>
        </w:tc>
        <w:tc>
          <w:tcPr>
            <w:tcW w:type="dxa" w:w="4320"/>
            <w:vAlign w:val="center"/>
          </w:tcPr>
          <w:p>
            <w:r>
              <w:rPr>
                <w:sz w:val="16"/>
              </w:rPr>
              <w:t>TTL event</w:t>
            </w:r>
          </w:p>
        </w:tc>
      </w:tr>
    </w:tbl>
    <w:p>
      <w:r>
        <w:rPr>
          <w:i w:val="0"/>
        </w:rPr>
        <w:t>A pre-campaign continuity and insulation test records DC resistance between every Zone-A signal conductor and every Zone-C signal conductor with the intentional physical interface disconnected. Unexpected conductive paths are a hard failure of A3.</w:t>
      </w:r>
    </w:p>
    <w:p>
      <w:pPr>
        <w:pStyle w:val="Heading1"/>
      </w:pPr>
      <w:r>
        <w:t>24. Dimensioned Laboratory Reference Layout</w:t>
      </w:r>
    </w:p>
    <w:p>
      <w:pPr>
        <w:jc w:val="center"/>
      </w:pPr>
      <w:r>
        <w:drawing>
          <wp:inline xmlns:a="http://schemas.openxmlformats.org/drawingml/2006/main" xmlns:pic="http://schemas.openxmlformats.org/drawingml/2006/picture">
            <wp:extent cx="5715000" cy="2746566"/>
            <wp:docPr id="8" name="Picture 8"/>
            <wp:cNvGraphicFramePr>
              <a:graphicFrameLocks noChangeAspect="1"/>
            </wp:cNvGraphicFramePr>
            <a:graphic>
              <a:graphicData uri="http://schemas.openxmlformats.org/drawingml/2006/picture">
                <pic:pic>
                  <pic:nvPicPr>
                    <pic:cNvPr id="0" name="figure_v03_bench_layout.png"/>
                    <pic:cNvPicPr/>
                  </pic:nvPicPr>
                  <pic:blipFill>
                    <a:blip r:embed="rId17"/>
                    <a:stretch>
                      <a:fillRect/>
                    </a:stretch>
                  </pic:blipFill>
                  <pic:spPr>
                    <a:xfrm>
                      <a:off x="0" y="0"/>
                      <a:ext cx="5715000" cy="2746566"/>
                    </a:xfrm>
                    <a:prstGeom prst="rect"/>
                  </pic:spPr>
                </pic:pic>
              </a:graphicData>
            </a:graphic>
          </wp:inline>
        </w:drawing>
      </w:r>
    </w:p>
    <w:p>
      <w:pPr>
        <w:jc w:val="center"/>
      </w:pPr>
      <w:r>
        <w:rPr>
          <w:i/>
          <w:sz w:val="18"/>
        </w:rPr>
        <w:t>Figure 8. Reference three-zone bench arrangement.</w:t>
      </w:r>
    </w:p>
    <w:p>
      <w:r>
        <w:rPr>
          <w:i w:val="0"/>
        </w:rPr>
        <w:t>The reference planning layout uses three 1200 mm × 750 mm work surfaces with at least 700 mm clear separation between adjacent zones. This is not a universal facility requirement; the requirement is measurable separation of functions and enumerated coupling paths. Where available, Zone A and Zone C should use separate mains circuits or separately instrumented isolation supplies.</w:t>
      </w:r>
    </w:p>
    <w:p>
      <w:r>
        <w:rPr>
          <w:i w:val="0"/>
        </w:rPr>
        <w:t>Zone B should contain the minimum active electronics necessary for sensing. Displays, networked computers, status LEDs, and unnecessary switching supplies are excluded from the immediate receiver enclosure during blinded trials.</w:t>
      </w:r>
    </w:p>
    <w:p>
      <w:pPr>
        <w:pStyle w:val="Heading1"/>
      </w:pPr>
      <w:r>
        <w:t>25. Information-Flow and Software Freeze</w:t>
      </w:r>
    </w:p>
    <w:p>
      <w:pPr>
        <w:jc w:val="center"/>
      </w:pPr>
      <w:r>
        <w:drawing>
          <wp:inline xmlns:a="http://schemas.openxmlformats.org/drawingml/2006/main" xmlns:pic="http://schemas.openxmlformats.org/drawingml/2006/picture">
            <wp:extent cx="5577840" cy="2590352"/>
            <wp:docPr id="9" name="Picture 9"/>
            <wp:cNvGraphicFramePr>
              <a:graphicFrameLocks noChangeAspect="1"/>
            </wp:cNvGraphicFramePr>
            <a:graphic>
              <a:graphicData uri="http://schemas.openxmlformats.org/drawingml/2006/picture">
                <pic:pic>
                  <pic:nvPicPr>
                    <pic:cNvPr id="0" name="figure_v03_information_flow.png"/>
                    <pic:cNvPicPr/>
                  </pic:nvPicPr>
                  <pic:blipFill>
                    <a:blip r:embed="rId18"/>
                    <a:stretch>
                      <a:fillRect/>
                    </a:stretch>
                  </pic:blipFill>
                  <pic:spPr>
                    <a:xfrm>
                      <a:off x="0" y="0"/>
                      <a:ext cx="5577840" cy="2590352"/>
                    </a:xfrm>
                    <a:prstGeom prst="rect"/>
                  </pic:spPr>
                </pic:pic>
              </a:graphicData>
            </a:graphic>
          </wp:inline>
        </w:drawing>
      </w:r>
    </w:p>
    <w:p>
      <w:pPr>
        <w:jc w:val="center"/>
      </w:pPr>
      <w:r>
        <w:rPr>
          <w:i/>
          <w:sz w:val="18"/>
        </w:rPr>
        <w:t>Figure 9. Information-flow freeze for confirmatory operation.</w:t>
      </w:r>
    </w:p>
    <w:p>
      <w:r>
        <w:rPr>
          <w:i w:val="0"/>
        </w:rPr>
        <w:t>The Challenge Authority may provide plaintext challenge information only to the TX path. The DAQ receives trial identifiers, acquisition settings, and state markers, but never challenge plaintext or expected response before CLOSE. The Analysis Vault receives receiver and telemetry artifacts only after they are sealed, and receives challenge plaintext only after CLOSE evidence has been validated.</w:t>
      </w:r>
    </w:p>
    <w:p>
      <w:pPr>
        <w:pStyle w:val="Heading2"/>
      </w:pPr>
      <w:r>
        <w:t>25.1 Repository Freeze</w:t>
      </w:r>
    </w:p>
    <w:p>
      <w:pPr>
        <w:ind w:left="504" w:right="504"/>
      </w:pPr>
      <w:r>
        <w:rPr>
          <w:rFonts w:ascii="Consolas" w:hAnsi="Consolas"/>
          <w:sz w:val="17"/>
        </w:rPr>
        <w:t>/scale-seti-phase1</w:t>
        <w:br/>
      </w:r>
      <w:r>
        <w:rPr>
          <w:rFonts w:ascii="Consolas" w:hAnsi="Consolas"/>
          <w:sz w:val="17"/>
        </w:rPr>
        <w:t xml:space="preserve">  /challenge-authority</w:t>
        <w:br/>
      </w:r>
      <w:r>
        <w:rPr>
          <w:rFonts w:ascii="Consolas" w:hAnsi="Consolas"/>
          <w:sz w:val="17"/>
        </w:rPr>
        <w:t xml:space="preserve">  /tx-driver</w:t>
        <w:br/>
      </w:r>
      <w:r>
        <w:rPr>
          <w:rFonts w:ascii="Consolas" w:hAnsi="Consolas"/>
          <w:sz w:val="17"/>
        </w:rPr>
        <w:t xml:space="preserve">  /daq-capture</w:t>
        <w:br/>
      </w:r>
      <w:r>
        <w:rPr>
          <w:rFonts w:ascii="Consolas" w:hAnsi="Consolas"/>
          <w:sz w:val="17"/>
        </w:rPr>
        <w:t xml:space="preserve">  /telemetry-capture</w:t>
        <w:br/>
      </w:r>
      <w:r>
        <w:rPr>
          <w:rFonts w:ascii="Consolas" w:hAnsi="Consolas"/>
          <w:sz w:val="17"/>
        </w:rPr>
        <w:t xml:space="preserve">  /artifact-sealer</w:t>
        <w:br/>
      </w:r>
      <w:r>
        <w:rPr>
          <w:rFonts w:ascii="Consolas" w:hAnsi="Consolas"/>
          <w:sz w:val="17"/>
        </w:rPr>
        <w:t xml:space="preserve">  /unseal-service</w:t>
        <w:br/>
      </w:r>
      <w:r>
        <w:rPr>
          <w:rFonts w:ascii="Consolas" w:hAnsi="Consolas"/>
          <w:sz w:val="17"/>
        </w:rPr>
        <w:t xml:space="preserve">  /scorer</w:t>
        <w:br/>
      </w:r>
      <w:r>
        <w:rPr>
          <w:rFonts w:ascii="Consolas" w:hAnsi="Consolas"/>
          <w:sz w:val="17"/>
        </w:rPr>
        <w:t xml:space="preserve">  /schemas</w:t>
        <w:br/>
      </w:r>
      <w:r>
        <w:rPr>
          <w:rFonts w:ascii="Consolas" w:hAnsi="Consolas"/>
          <w:sz w:val="17"/>
        </w:rPr>
        <w:t xml:space="preserve">  /tests</w:t>
        <w:br/>
      </w:r>
      <w:r>
        <w:rPr>
          <w:rFonts w:ascii="Consolas" w:hAnsi="Consolas"/>
          <w:sz w:val="17"/>
        </w:rPr>
        <w:t xml:space="preserve">  /campaigns</w:t>
      </w:r>
    </w:p>
    <w:p>
      <w:r>
        <w:rPr>
          <w:i w:val="0"/>
        </w:rPr>
        <w:t>No shared application library may contain both challenge-plaintext handling and receiver-decoding functions unless the confirmatory deployment compiles and deploys them into separate trust domains and a code review demonstrates that no pre-CLOSE path exists.</w:t>
      </w:r>
    </w:p>
    <w:p>
      <w:pPr>
        <w:pStyle w:val="Heading1"/>
      </w:pPr>
      <w:r>
        <w:t>26. Machine-Readable Schemas</w:t>
      </w:r>
    </w:p>
    <w:p>
      <w:r>
        <w:rPr>
          <w:i w:val="0"/>
        </w:rPr>
        <w:t>v0.3 creates four normative JSON Schema files distributed with the design package:</w:t>
      </w:r>
    </w:p>
    <w:p>
      <w:pPr>
        <w:pStyle w:val="ListNumber"/>
      </w:pPr>
      <w:r>
        <w:t>trial_record.schema.json - per-trial lifecycle and artifact references.</w:t>
      </w:r>
    </w:p>
    <w:p>
      <w:pPr>
        <w:pStyle w:val="ListNumber"/>
      </w:pPr>
      <w:r>
        <w:t>campaign_manifest.schema.json - frozen campaign configuration.</w:t>
      </w:r>
    </w:p>
    <w:p>
      <w:pPr>
        <w:pStyle w:val="ListNumber"/>
      </w:pPr>
      <w:r>
        <w:t>calibration_record.schema.json - CAL-01 through CAL-07 results.</w:t>
      </w:r>
    </w:p>
    <w:p>
      <w:pPr>
        <w:pStyle w:val="ListNumber"/>
      </w:pPr>
      <w:r>
        <w:t>scoring_output.schema.json - post-CLOSE scoring output.</w:t>
      </w:r>
    </w:p>
    <w:p>
      <w:r>
        <w:rPr>
          <w:i w:val="0"/>
        </w:rPr>
        <w:t>The schemas use JSON Schema Draft 2020-12. Implementations may store equivalent records in a database, but exported replication bundles must validate against the published schemas or a versioned successor.</w:t>
      </w:r>
    </w:p>
    <w:p>
      <w:pPr>
        <w:pStyle w:val="Heading1"/>
      </w:pPr>
      <w:r>
        <w:t>27. Synthetic 100-Trial Dry-Run Campaign</w:t>
      </w:r>
    </w:p>
    <w:p>
      <w:r>
        <w:rPr>
          <w:i w:val="0"/>
        </w:rPr>
        <w:t>Before hardware exists, the software pipeline should be exercised against deterministic synthetic data. v0.3 includes a 100-trial commissioning set with 25 trials in each condition: POSITIVE, BLOCKED, SHAM, and PASSIVE.</w:t>
      </w:r>
    </w:p>
    <w:p>
      <w:r>
        <w:rPr>
          <w:i w:val="0"/>
        </w:rPr>
        <w:t>The synthetic POSITIVE trials intentionally produce near-perfect challenge recovery. Control trials intentionally produce random 128-bit outputs around the 50% bit-accuracy null expectation. A second file contains normalized receiver and telemetry time series. These files exist only to validate software plumbing and must never be represented as experimental observations.</w:t>
      </w:r>
    </w:p>
    <w:p>
      <w:r>
        <w:rPr>
          <w:i w:val="0"/>
        </w:rPr>
        <w:t>The included score_campaign.py recomputes Hamming distances, produces condition-level summaries, and applies a deliberately simple sanity gate: high positive-control accuracy and approximately chance-level control accuracy. This is a reference dry-run utility, not the final statistical analysis plan.</w:t>
      </w:r>
    </w:p>
    <w:p>
      <w:pPr>
        <w:pStyle w:val="Heading2"/>
      </w:pPr>
      <w:r>
        <w:t>27.1 v0.3 Synthetic Expected Behavior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center"/>
          </w:tcPr>
          <w:p>
            <w:r>
              <w:rPr>
                <w:b/>
                <w:sz w:val="17"/>
              </w:rPr>
              <w:t>Condition</w:t>
            </w:r>
          </w:p>
        </w:tc>
        <w:tc>
          <w:tcPr>
            <w:tcW w:type="dxa" w:w="1152"/>
            <w:vAlign w:val="center"/>
          </w:tcPr>
          <w:p>
            <w:r>
              <w:rPr>
                <w:b/>
                <w:sz w:val="17"/>
              </w:rPr>
              <w:t>Trials</w:t>
            </w:r>
          </w:p>
        </w:tc>
        <w:tc>
          <w:tcPr>
            <w:tcW w:type="dxa" w:w="2880"/>
            <w:vAlign w:val="center"/>
          </w:tcPr>
          <w:p>
            <w:r>
              <w:rPr>
                <w:b/>
                <w:sz w:val="17"/>
              </w:rPr>
              <w:t>Expected bit accuracy</w:t>
            </w:r>
          </w:p>
        </w:tc>
        <w:tc>
          <w:tcPr>
            <w:tcW w:type="dxa" w:w="3168"/>
            <w:vAlign w:val="center"/>
          </w:tcPr>
          <w:p>
            <w:r>
              <w:rPr>
                <w:b/>
                <w:sz w:val="17"/>
              </w:rPr>
              <w:t>Expected exact matches</w:t>
            </w:r>
          </w:p>
        </w:tc>
      </w:tr>
      <w:tr>
        <w:tc>
          <w:tcPr>
            <w:tcW w:type="dxa" w:w="1872"/>
            <w:vAlign w:val="center"/>
          </w:tcPr>
          <w:p>
            <w:r>
              <w:rPr>
                <w:sz w:val="17"/>
              </w:rPr>
              <w:t>POSITIVE</w:t>
            </w:r>
          </w:p>
        </w:tc>
        <w:tc>
          <w:tcPr>
            <w:tcW w:type="dxa" w:w="1152"/>
            <w:vAlign w:val="center"/>
          </w:tcPr>
          <w:p>
            <w:r>
              <w:rPr>
                <w:sz w:val="17"/>
              </w:rPr>
              <w:t>25</w:t>
            </w:r>
          </w:p>
        </w:tc>
        <w:tc>
          <w:tcPr>
            <w:tcW w:type="dxa" w:w="2880"/>
            <w:vAlign w:val="center"/>
          </w:tcPr>
          <w:p>
            <w:r>
              <w:rPr>
                <w:sz w:val="17"/>
              </w:rPr>
              <w:t>&gt; 0.98</w:t>
            </w:r>
          </w:p>
        </w:tc>
        <w:tc>
          <w:tcPr>
            <w:tcW w:type="dxa" w:w="3168"/>
            <w:vAlign w:val="center"/>
          </w:tcPr>
          <w:p>
            <w:r>
              <w:rPr>
                <w:sz w:val="17"/>
              </w:rPr>
              <w:t>Many</w:t>
            </w:r>
          </w:p>
        </w:tc>
      </w:tr>
      <w:tr>
        <w:tc>
          <w:tcPr>
            <w:tcW w:type="dxa" w:w="1872"/>
            <w:vAlign w:val="center"/>
          </w:tcPr>
          <w:p>
            <w:r>
              <w:rPr>
                <w:sz w:val="17"/>
              </w:rPr>
              <w:t>BLOCKED</w:t>
            </w:r>
          </w:p>
        </w:tc>
        <w:tc>
          <w:tcPr>
            <w:tcW w:type="dxa" w:w="1152"/>
            <w:vAlign w:val="center"/>
          </w:tcPr>
          <w:p>
            <w:r>
              <w:rPr>
                <w:sz w:val="17"/>
              </w:rPr>
              <w:t>25</w:t>
            </w:r>
          </w:p>
        </w:tc>
        <w:tc>
          <w:tcPr>
            <w:tcW w:type="dxa" w:w="2880"/>
            <w:vAlign w:val="center"/>
          </w:tcPr>
          <w:p>
            <w:r>
              <w:rPr>
                <w:sz w:val="17"/>
              </w:rPr>
              <w:t>~0.50</w:t>
            </w:r>
          </w:p>
        </w:tc>
        <w:tc>
          <w:tcPr>
            <w:tcW w:type="dxa" w:w="3168"/>
            <w:vAlign w:val="center"/>
          </w:tcPr>
          <w:p>
            <w:r>
              <w:rPr>
                <w:sz w:val="17"/>
              </w:rPr>
              <w:t>0 expected</w:t>
            </w:r>
          </w:p>
        </w:tc>
      </w:tr>
      <w:tr>
        <w:tc>
          <w:tcPr>
            <w:tcW w:type="dxa" w:w="1872"/>
            <w:vAlign w:val="center"/>
          </w:tcPr>
          <w:p>
            <w:r>
              <w:rPr>
                <w:sz w:val="17"/>
              </w:rPr>
              <w:t>SHAM</w:t>
            </w:r>
          </w:p>
        </w:tc>
        <w:tc>
          <w:tcPr>
            <w:tcW w:type="dxa" w:w="1152"/>
            <w:vAlign w:val="center"/>
          </w:tcPr>
          <w:p>
            <w:r>
              <w:rPr>
                <w:sz w:val="17"/>
              </w:rPr>
              <w:t>25</w:t>
            </w:r>
          </w:p>
        </w:tc>
        <w:tc>
          <w:tcPr>
            <w:tcW w:type="dxa" w:w="2880"/>
            <w:vAlign w:val="center"/>
          </w:tcPr>
          <w:p>
            <w:r>
              <w:rPr>
                <w:sz w:val="17"/>
              </w:rPr>
              <w:t>~0.50</w:t>
            </w:r>
          </w:p>
        </w:tc>
        <w:tc>
          <w:tcPr>
            <w:tcW w:type="dxa" w:w="3168"/>
            <w:vAlign w:val="center"/>
          </w:tcPr>
          <w:p>
            <w:r>
              <w:rPr>
                <w:sz w:val="17"/>
              </w:rPr>
              <w:t>0 expected</w:t>
            </w:r>
          </w:p>
        </w:tc>
      </w:tr>
      <w:tr>
        <w:tc>
          <w:tcPr>
            <w:tcW w:type="dxa" w:w="1872"/>
            <w:vAlign w:val="center"/>
          </w:tcPr>
          <w:p>
            <w:r>
              <w:rPr>
                <w:sz w:val="17"/>
              </w:rPr>
              <w:t>PASSIVE</w:t>
            </w:r>
          </w:p>
        </w:tc>
        <w:tc>
          <w:tcPr>
            <w:tcW w:type="dxa" w:w="1152"/>
            <w:vAlign w:val="center"/>
          </w:tcPr>
          <w:p>
            <w:r>
              <w:rPr>
                <w:sz w:val="17"/>
              </w:rPr>
              <w:t>25</w:t>
            </w:r>
          </w:p>
        </w:tc>
        <w:tc>
          <w:tcPr>
            <w:tcW w:type="dxa" w:w="2880"/>
            <w:vAlign w:val="center"/>
          </w:tcPr>
          <w:p>
            <w:r>
              <w:rPr>
                <w:sz w:val="17"/>
              </w:rPr>
              <w:t>~0.50</w:t>
            </w:r>
          </w:p>
        </w:tc>
        <w:tc>
          <w:tcPr>
            <w:tcW w:type="dxa" w:w="3168"/>
            <w:vAlign w:val="center"/>
          </w:tcPr>
          <w:p>
            <w:r>
              <w:rPr>
                <w:sz w:val="17"/>
              </w:rPr>
              <w:t>0 expected</w:t>
            </w:r>
          </w:p>
        </w:tc>
      </w:tr>
    </w:tbl>
    <w:p>
      <w:pPr>
        <w:pStyle w:val="Heading1"/>
      </w:pPr>
      <w:r>
        <w:t>28. Stage-1A Acceptance Additions</w:t>
      </w:r>
    </w:p>
    <w:p>
      <w:r>
        <w:rPr>
          <w:i w:val="0"/>
        </w:rPr>
        <w:t>The existing A0-A6 gates remain in force. v0.3 adds the following Stage-1A commissioning criteria before the apparatus may enter the 100-trial blinded campaign: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vAlign w:val="center"/>
          </w:tcPr>
          <w:p>
            <w:r>
              <w:rPr>
                <w:b/>
                <w:sz w:val="16"/>
              </w:rPr>
              <w:t>ID</w:t>
            </w:r>
          </w:p>
        </w:tc>
        <w:tc>
          <w:tcPr>
            <w:tcW w:type="dxa" w:w="2376"/>
            <w:vAlign w:val="center"/>
          </w:tcPr>
          <w:p>
            <w:r>
              <w:rPr>
                <w:b/>
                <w:sz w:val="16"/>
              </w:rPr>
              <w:t>Criterion</w:t>
            </w:r>
          </w:p>
        </w:tc>
        <w:tc>
          <w:tcPr>
            <w:tcW w:type="dxa" w:w="5760"/>
            <w:vAlign w:val="center"/>
          </w:tcPr>
          <w:p>
            <w:r>
              <w:rPr>
                <w:b/>
                <w:sz w:val="16"/>
              </w:rPr>
              <w:t>Pass condition</w:t>
            </w:r>
          </w:p>
        </w:tc>
      </w:tr>
      <w:tr>
        <w:tc>
          <w:tcPr>
            <w:tcW w:type="dxa" w:w="1008"/>
            <w:vAlign w:val="center"/>
          </w:tcPr>
          <w:p>
            <w:r>
              <w:rPr>
                <w:sz w:val="16"/>
              </w:rPr>
              <w:t>A2.1</w:t>
            </w:r>
          </w:p>
        </w:tc>
        <w:tc>
          <w:tcPr>
            <w:tcW w:type="dxa" w:w="2376"/>
            <w:vAlign w:val="center"/>
          </w:tcPr>
          <w:p>
            <w:r>
              <w:rPr>
                <w:sz w:val="16"/>
              </w:rPr>
              <w:t>L/H electrical separation</w:t>
            </w:r>
          </w:p>
        </w:tc>
        <w:tc>
          <w:tcPr>
            <w:tcW w:type="dxa" w:w="5760"/>
            <w:vAlign w:val="center"/>
          </w:tcPr>
          <w:p>
            <w:r>
              <w:rPr>
                <w:sz w:val="16"/>
              </w:rPr>
              <w:t>Receiver distributions separated without clipping; target Cohen's d ≥ 5 during calibration</w:t>
            </w:r>
          </w:p>
        </w:tc>
      </w:tr>
      <w:tr>
        <w:tc>
          <w:tcPr>
            <w:tcW w:type="dxa" w:w="1008"/>
            <w:vAlign w:val="center"/>
          </w:tcPr>
          <w:p>
            <w:r>
              <w:rPr>
                <w:sz w:val="16"/>
              </w:rPr>
              <w:t>A2.2</w:t>
            </w:r>
          </w:p>
        </w:tc>
        <w:tc>
          <w:tcPr>
            <w:tcW w:type="dxa" w:w="2376"/>
            <w:vAlign w:val="center"/>
          </w:tcPr>
          <w:p>
            <w:r>
              <w:rPr>
                <w:sz w:val="16"/>
              </w:rPr>
              <w:t>Transition repeatability</w:t>
            </w:r>
          </w:p>
        </w:tc>
        <w:tc>
          <w:tcPr>
            <w:tcW w:type="dxa" w:w="5760"/>
            <w:vAlign w:val="center"/>
          </w:tcPr>
          <w:p>
            <w:r>
              <w:rPr>
                <w:sz w:val="16"/>
              </w:rPr>
              <w:t>95% settling-time CV ≤ 15% across 20 L↔H transitions</w:t>
            </w:r>
          </w:p>
        </w:tc>
      </w:tr>
      <w:tr>
        <w:tc>
          <w:tcPr>
            <w:tcW w:type="dxa" w:w="1008"/>
            <w:vAlign w:val="center"/>
          </w:tcPr>
          <w:p>
            <w:r>
              <w:rPr>
                <w:sz w:val="16"/>
              </w:rPr>
              <w:t>A2.3</w:t>
            </w:r>
          </w:p>
        </w:tc>
        <w:tc>
          <w:tcPr>
            <w:tcW w:type="dxa" w:w="2376"/>
            <w:vAlign w:val="center"/>
          </w:tcPr>
          <w:p>
            <w:r>
              <w:rPr>
                <w:sz w:val="16"/>
              </w:rPr>
              <w:t>Residual memory</w:t>
            </w:r>
          </w:p>
        </w:tc>
        <w:tc>
          <w:tcPr>
            <w:tcW w:type="dxa" w:w="5760"/>
            <w:vAlign w:val="center"/>
          </w:tcPr>
          <w:p>
            <w:r>
              <w:rPr>
                <w:sz w:val="16"/>
              </w:rPr>
              <w:t>After guard interval, prior symbol improves next-symbol prediction by &lt; 1% absolute</w:t>
            </w:r>
          </w:p>
        </w:tc>
      </w:tr>
      <w:tr>
        <w:tc>
          <w:tcPr>
            <w:tcW w:type="dxa" w:w="1008"/>
            <w:vAlign w:val="center"/>
          </w:tcPr>
          <w:p>
            <w:r>
              <w:rPr>
                <w:sz w:val="16"/>
              </w:rPr>
              <w:t>A3.1</w:t>
            </w:r>
          </w:p>
        </w:tc>
        <w:tc>
          <w:tcPr>
            <w:tcW w:type="dxa" w:w="2376"/>
            <w:vAlign w:val="center"/>
          </w:tcPr>
          <w:p>
            <w:r>
              <w:rPr>
                <w:sz w:val="16"/>
              </w:rPr>
              <w:t>Zone isolation</w:t>
            </w:r>
          </w:p>
        </w:tc>
        <w:tc>
          <w:tcPr>
            <w:tcW w:type="dxa" w:w="5760"/>
            <w:vAlign w:val="center"/>
          </w:tcPr>
          <w:p>
            <w:r>
              <w:rPr>
                <w:sz w:val="16"/>
              </w:rPr>
              <w:t>No undocumented conductive/network path between Challenge/TX and DAQ/Analysis</w:t>
            </w:r>
          </w:p>
        </w:tc>
      </w:tr>
      <w:tr>
        <w:tc>
          <w:tcPr>
            <w:tcW w:type="dxa" w:w="1008"/>
            <w:vAlign w:val="center"/>
          </w:tcPr>
          <w:p>
            <w:r>
              <w:rPr>
                <w:sz w:val="16"/>
              </w:rPr>
              <w:t>A3.2</w:t>
            </w:r>
          </w:p>
        </w:tc>
        <w:tc>
          <w:tcPr>
            <w:tcW w:type="dxa" w:w="2376"/>
            <w:vAlign w:val="center"/>
          </w:tcPr>
          <w:p>
            <w:r>
              <w:rPr>
                <w:sz w:val="16"/>
              </w:rPr>
              <w:t>Dummy receiver</w:t>
            </w:r>
          </w:p>
        </w:tc>
        <w:tc>
          <w:tcPr>
            <w:tcW w:type="dxa" w:w="5760"/>
            <w:vAlign w:val="center"/>
          </w:tcPr>
          <w:p>
            <w:r>
              <w:rPr>
                <w:sz w:val="16"/>
              </w:rPr>
              <w:t>Challenge correlation indistinguishable from preregistered null</w:t>
            </w:r>
          </w:p>
        </w:tc>
      </w:tr>
      <w:tr>
        <w:tc>
          <w:tcPr>
            <w:tcW w:type="dxa" w:w="1008"/>
            <w:vAlign w:val="center"/>
          </w:tcPr>
          <w:p>
            <w:r>
              <w:rPr>
                <w:sz w:val="16"/>
              </w:rPr>
              <w:t>A4.1</w:t>
            </w:r>
          </w:p>
        </w:tc>
        <w:tc>
          <w:tcPr>
            <w:tcW w:type="dxa" w:w="2376"/>
            <w:vAlign w:val="center"/>
          </w:tcPr>
          <w:p>
            <w:r>
              <w:rPr>
                <w:sz w:val="16"/>
              </w:rPr>
              <w:t>Blinding dry run</w:t>
            </w:r>
          </w:p>
        </w:tc>
        <w:tc>
          <w:tcPr>
            <w:tcW w:type="dxa" w:w="5760"/>
            <w:vAlign w:val="center"/>
          </w:tcPr>
          <w:p>
            <w:r>
              <w:rPr>
                <w:sz w:val="16"/>
              </w:rPr>
              <w:t>Analysis operator cannot identify condition above chance from metadata before unseal</w:t>
            </w:r>
          </w:p>
        </w:tc>
      </w:tr>
      <w:tr>
        <w:tc>
          <w:tcPr>
            <w:tcW w:type="dxa" w:w="1008"/>
            <w:vAlign w:val="center"/>
          </w:tcPr>
          <w:p>
            <w:r>
              <w:rPr>
                <w:sz w:val="16"/>
              </w:rPr>
              <w:t>A5.1</w:t>
            </w:r>
          </w:p>
        </w:tc>
        <w:tc>
          <w:tcPr>
            <w:tcW w:type="dxa" w:w="2376"/>
            <w:vAlign w:val="center"/>
          </w:tcPr>
          <w:p>
            <w:r>
              <w:rPr>
                <w:sz w:val="16"/>
              </w:rPr>
              <w:t>Schema validation</w:t>
            </w:r>
          </w:p>
        </w:tc>
        <w:tc>
          <w:tcPr>
            <w:tcW w:type="dxa" w:w="5760"/>
            <w:vAlign w:val="center"/>
          </w:tcPr>
          <w:p>
            <w:r>
              <w:rPr>
                <w:sz w:val="16"/>
              </w:rPr>
              <w:t>100% of campaign records validate against v0.3 schemas</w:t>
            </w:r>
          </w:p>
        </w:tc>
      </w:tr>
    </w:tbl>
    <w:p>
      <w:r>
        <w:rPr>
          <w:i w:val="0"/>
        </w:rPr>
        <w:t>These thresholds are engineering starting points and must receive statistical review before a confirmatory study.</w:t>
      </w:r>
    </w:p>
    <w:p>
      <w:pPr>
        <w:pStyle w:val="Heading1"/>
      </w:pPr>
      <w:r>
        <w:t>29. Stage 1B Transition Rule</w:t>
      </w:r>
    </w:p>
    <w:p>
      <w:r>
        <w:rPr>
          <w:i w:val="0"/>
        </w:rPr>
        <w:t>Stage 1B replaces only the receiver interface after Stage-1A completes A0-A6. The challenge authority, blinding, capture, telemetry, archive, and scoring boundaries remain unchanged. The preferred first Stage-1B candidate is a graphene-FET or equivalent nanoscale ion-sensitive receiver with a documented transfer function.</w:t>
      </w:r>
    </w:p>
    <w:p>
      <w:r>
        <w:rPr>
          <w:i w:val="0"/>
        </w:rPr>
        <w:t>The reason for this sequence is methodological: if a custom nanoscale sensor produces an anomaly before the protocol stack is validated, the experiment cannot distinguish sensor novelty from information-channel novelty. Stage-1A removes that ambiguity.</w:t>
      </w:r>
    </w:p>
    <w:p>
      <w:pPr>
        <w:pStyle w:val="Heading1"/>
      </w:pPr>
      <w:r>
        <w:t>30. v0.3 Release Artifacts</w:t>
      </w:r>
    </w:p>
    <w:p>
      <w:pPr>
        <w:pStyle w:val="ListBullet"/>
      </w:pPr>
      <w:r>
        <w:t>DOCX/PDF/Markdown design package</w:t>
      </w:r>
    </w:p>
    <w:p>
      <w:pPr>
        <w:pStyle w:val="ListBullet"/>
      </w:pPr>
      <w:r>
        <w:t>Four engineering figures</w:t>
      </w:r>
    </w:p>
    <w:p>
      <w:pPr>
        <w:pStyle w:val="ListBullet"/>
      </w:pPr>
      <w:r>
        <w:t>Four JSON Schema files</w:t>
      </w:r>
    </w:p>
    <w:p>
      <w:pPr>
        <w:pStyle w:val="ListBullet"/>
      </w:pPr>
      <w:r>
        <w:t>Deterministic 100-trial synthetic campaign</w:t>
      </w:r>
    </w:p>
    <w:p>
      <w:pPr>
        <w:pStyle w:val="ListBullet"/>
      </w:pPr>
      <w:r>
        <w:t>Synthetic receiver/telemetry traces</w:t>
      </w:r>
    </w:p>
    <w:p>
      <w:pPr>
        <w:pStyle w:val="ListBullet"/>
      </w:pPr>
      <w:r>
        <w:t>Reference scoring script</w:t>
      </w:r>
    </w:p>
    <w:p>
      <w:pPr>
        <w:pStyle w:val="ListBullet"/>
      </w:pPr>
      <w:r>
        <w:t>Generated scoring outputs and campaign summary</w:t>
      </w:r>
    </w:p>
    <w:p>
      <w:pPr>
        <w:pStyle w:val="ListBullet"/>
      </w:pPr>
      <w:r>
        <w:t>README instructions for the dry run</w:t>
      </w:r>
    </w:p>
    <w:p>
      <w:r>
        <w:rPr>
          <w:i w:val="0"/>
        </w:rPr>
        <w:t>This is the first release intended to be sufficiently concrete that a second team can critique the selected Stage-1A implementation rather than only the concept.</w:t>
      </w:r>
    </w:p>
    <w:p>
      <w:pPr>
        <w:pStyle w:val="Heading1"/>
      </w:pPr>
      <w:r>
        <w:t>References</w:t>
      </w:r>
    </w:p>
    <w:p>
      <w:r>
        <w:rPr>
          <w:i w:val="0"/>
        </w:rPr>
        <w:t>1. Zhang, S.; Akan, O. B. “Ion Transmitter for Molecular Communication.” IEEE Transactions on Nanobioscience 25(3), 361-370, 2026.</w:t>
      </w:r>
    </w:p>
    <w:p>
      <w:r>
        <w:rPr>
          <w:i w:val="0"/>
        </w:rPr>
        <w:t>2. Kuscu, M. et al. “Fabrication and microfluidic analysis of graphene-based molecular communication receiver for Internet of Nano Things.” Scientific Reports 11, 19600, 2021.</w:t>
      </w:r>
    </w:p>
    <w:p>
      <w:r>
        <w:rPr>
          <w:i w:val="0"/>
        </w:rPr>
        <w:t>3. National Instruments. USB-6363 product specifications: 32 AI, 16-bit, 2 MS/s; multifunction I/O. Accessed September 2026.</w:t>
      </w:r>
    </w:p>
    <w:p>
      <w:r>
        <w:rPr>
          <w:i w:val="0"/>
        </w:rPr>
        <w:t>4. Keysight Technologies. 33500B Series Trueform Waveform Generators product documentation: 16-bit arbitrary waveform generation. Accessed September 2026.</w:t>
      </w:r>
    </w:p>
    <w:p>
      <w:r>
        <w:rPr>
          <w:i w:val="0"/>
        </w:rPr>
        <w:t>5. Tektronix/Keithley. Model 2450 Source Measure Unit documentation and specifications. Accessed September 2026.</w:t>
      </w:r>
    </w:p>
    <w:p>
      <w:r>
        <w:rPr>
          <w:i w:val="0"/>
        </w:rPr>
        <w:t>6. ID Quantique. Quantis QRNG PCIe product documentation. Accessed September 2026.</w:t>
      </w:r>
    </w:p>
    <w:p>
      <w:r>
        <w:rPr>
          <w:i w:val="0"/>
        </w:rPr>
        <w:t>7. Scale-SETI: A Search for Technological Intelligence Across Physical Scale. Formal Technical Review Draft - Revision 5, September 2026.</w:t>
      </w:r>
    </w:p>
    <w:p>
      <w:r>
        <w:rPr>
          <w:i w:val="0"/>
        </w:rPr>
        <w:t>8. NI. “USB-6363 Multifunction I/O Device.” Product specifications, accessed September 2026. https://www.ni.com/en/shop/hardware/voltage/model-usb-6363</w:t>
      </w:r>
    </w:p>
    <w:p>
      <w:r>
        <w:rPr>
          <w:i w:val="0"/>
        </w:rPr>
        <w:t>9. Keysight Technologies. “33500B Series Trueform Waveform Generators.” Data sheet, accessed September 2026. https://www.keysight.com/</w:t>
      </w:r>
    </w:p>
    <w:p>
      <w:r>
        <w:rPr>
          <w:i w:val="0"/>
        </w:rPr>
        <w:t>10. Elveflow. “OB1 MK4 Microfluidic Flow Controller.” Product specifications, accessed September 2026. https://elveflow.com/microfluidic-products/microfluidics-flow-control-systems/ob1-pressure-controller/</w:t>
      </w:r>
    </w:p>
    <w:p>
      <w:r>
        <w:rPr>
          <w:i w:val="0"/>
        </w:rPr>
        <w:t>11. Elveflow. “MUX Distribution 12/1 Bidirectional Microfluidic Valve.” Product specifications, accessed September 2026. https://www.elveflow.com/microfluidic-products/microfluidics-flow-control-systems/mux-distrib/</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Scale-SETI Phase-1 Design Package | v0.3 | Engineering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