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Scale-SETI External Technical Review Guide</w:t>
      </w:r>
    </w:p>
    <w:p>
      <w:pPr>
        <w:jc w:val="center"/>
      </w:pPr>
      <w:r>
        <w:rPr>
          <w:i/>
          <w:sz w:val="25"/>
        </w:rPr>
        <w:t>Reviewer Packet v0.1 - September 2026</w:t>
      </w:r>
    </w:p>
    <w:p>
      <w:pPr>
        <w:spacing w:after="100"/>
      </w:pPr>
      <w:r>
        <w:rPr>
          <w:b/>
          <w:i w:val="0"/>
        </w:rPr>
        <w:t>Thank you for reviewing this work. The purpose of this review is criticism and error discovery, not endorsement of the underlying speculative hypothesis.</w:t>
      </w:r>
    </w:p>
    <w:p>
      <w:pPr>
        <w:spacing w:after="100"/>
      </w:pPr>
      <w:r>
        <w:rPr>
          <w:b w:val="0"/>
          <w:i w:val="0"/>
        </w:rPr>
        <w:t>Scale-SETI asks whether a search for technological intelligence should consider not only separation across astronomical distance, but also separation across physical scale or weakly coupled domains. The core paper proposes same-scale, down-scale, and up-scale search directions. The accompanying Phase-1 package does not attempt to prove another domain exists; it defines a conventional microscopic communication bench for validating blinding, controls, leakage detection, challenge-response logic, and reproducibility.</w:t>
      </w:r>
    </w:p>
    <w:p>
      <w:pPr>
        <w:pStyle w:val="Heading1"/>
        <w:keepNext/>
      </w:pPr>
      <w:r>
        <w:t>What we are asking you to review</w:t>
      </w:r>
    </w:p>
    <w:p>
      <w:pPr>
        <w:pStyle w:val="ListBullet"/>
        <w:spacing w:after="40"/>
      </w:pPr>
      <w:r>
        <w:t>Whether the central research question is stated in a scientifically testable way.</w:t>
      </w:r>
    </w:p>
    <w:p>
      <w:pPr>
        <w:pStyle w:val="ListBullet"/>
        <w:spacing w:after="40"/>
      </w:pPr>
      <w:r>
        <w:t>Whether established science, analogy, and speculation are separated clearly enough.</w:t>
      </w:r>
    </w:p>
    <w:p>
      <w:pPr>
        <w:pStyle w:val="ListBullet"/>
        <w:spacing w:after="40"/>
      </w:pPr>
      <w:r>
        <w:t>Whether important prior work or closer precedents are missing.</w:t>
      </w:r>
    </w:p>
    <w:p>
      <w:pPr>
        <w:pStyle w:val="ListBullet"/>
        <w:spacing w:after="40"/>
      </w:pPr>
      <w:r>
        <w:t>Whether the proposed experiment can distinguish genuine information transfer from ordinary coupling, instrumentation artifacts, or analysis leakage.</w:t>
      </w:r>
    </w:p>
    <w:p>
      <w:pPr>
        <w:pStyle w:val="ListBullet"/>
        <w:spacing w:after="40"/>
      </w:pPr>
      <w:r>
        <w:t>Whether the control matrix, blinding, evidence thresholds, and replication logic are defensible.</w:t>
      </w:r>
    </w:p>
    <w:p>
      <w:pPr>
        <w:pStyle w:val="ListBullet"/>
        <w:spacing w:after="40"/>
      </w:pPr>
      <w:r>
        <w:t>Whether the Phase-1 design is reproducible enough for another qualified lab to critique or build.</w:t>
      </w:r>
    </w:p>
    <w:p>
      <w:pPr>
        <w:pStyle w:val="ListBullet"/>
        <w:spacing w:after="40"/>
      </w:pPr>
      <w:r>
        <w:t>What would make you reject, revise, or take the proposal more seriously.</w:t>
      </w:r>
    </w:p>
    <w:p>
      <w:pPr>
        <w:pStyle w:val="Heading1"/>
        <w:keepNext/>
      </w:pPr>
      <w:r>
        <w:t>What we are NOT asking you to assume</w:t>
      </w:r>
    </w:p>
    <w:p>
      <w:pPr>
        <w:pStyle w:val="ListBullet"/>
        <w:spacing w:after="40"/>
      </w:pPr>
      <w:r>
        <w:t>That another scale-domain civilization exists.</w:t>
      </w:r>
    </w:p>
    <w:p>
      <w:pPr>
        <w:pStyle w:val="ListBullet"/>
        <w:spacing w:after="40"/>
      </w:pPr>
      <w:r>
        <w:t>That scale is literally a new physical dimension.</w:t>
      </w:r>
    </w:p>
    <w:p>
      <w:pPr>
        <w:pStyle w:val="ListBullet"/>
        <w:spacing w:after="40"/>
      </w:pPr>
      <w:r>
        <w:t>That unexplained detector behavior should be interpreted as intelligence.</w:t>
      </w:r>
    </w:p>
    <w:p>
      <w:pPr>
        <w:pStyle w:val="ListBullet"/>
        <w:spacing w:after="40"/>
      </w:pPr>
      <w:r>
        <w:t>That the wall, radio-channel, or macro/micro analogies are physical mechanisms rather than explanatory models.</w:t>
      </w:r>
    </w:p>
    <w:p>
      <w:pPr>
        <w:pStyle w:val="ListBullet"/>
        <w:spacing w:after="40"/>
      </w:pPr>
      <w:r>
        <w:t>That the current Phase-1 apparatus is a detector of another universe; it is a validation platform for the methodology.</w:t>
      </w:r>
    </w:p>
    <w:p>
      <w:pPr>
        <w:pStyle w:val="Heading1"/>
        <w:keepNext/>
      </w:pPr>
      <w:r>
        <w:t>Primary review questions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vAlign w:val="center"/>
            <w:shd w:fill="D9EAF7"/>
          </w:tcPr>
          <w:p>
            <w:r>
              <w:rPr>
                <w:b/>
                <w:sz w:val="16"/>
              </w:rPr>
              <w:t>ID</w:t>
            </w:r>
          </w:p>
        </w:tc>
        <w:tc>
          <w:tcPr>
            <w:tcW w:type="dxa" w:w="1872"/>
            <w:vAlign w:val="center"/>
            <w:shd w:fill="D9EAF7"/>
          </w:tcPr>
          <w:p>
            <w:r>
              <w:rPr>
                <w:b/>
                <w:sz w:val="16"/>
              </w:rPr>
              <w:t>Area</w:t>
            </w:r>
          </w:p>
        </w:tc>
        <w:tc>
          <w:tcPr>
            <w:tcW w:type="dxa" w:w="7344"/>
            <w:vAlign w:val="center"/>
            <w:shd w:fill="D9EAF7"/>
          </w:tcPr>
          <w:p>
            <w:r>
              <w:rPr>
                <w:b/>
                <w:sz w:val="16"/>
              </w:rPr>
              <w:t>Question</w:t>
            </w:r>
          </w:p>
        </w:tc>
      </w:tr>
      <w:tr>
        <w:trPr>
          <w:cantSplit/>
        </w:trPr>
        <w:tc>
          <w:tcPr>
            <w:tcW w:type="dxa" w:w="792"/>
            <w:vAlign w:val="top"/>
          </w:tcPr>
          <w:p>
            <w:pPr>
              <w:spacing w:after="20"/>
            </w:pPr>
            <w:r>
              <w:rPr>
                <w:sz w:val="16"/>
              </w:rPr>
              <w:t>Q1</w:t>
            </w:r>
          </w:p>
        </w:tc>
        <w:tc>
          <w:tcPr>
            <w:tcW w:type="dxa" w:w="1872"/>
            <w:vAlign w:val="top"/>
          </w:tcPr>
          <w:p>
            <w:pPr>
              <w:spacing w:after="20"/>
            </w:pPr>
            <w:r>
              <w:rPr>
                <w:sz w:val="16"/>
              </w:rPr>
              <w:t>Scientific framing</w:t>
            </w:r>
          </w:p>
        </w:tc>
        <w:tc>
          <w:tcPr>
            <w:tcW w:type="dxa" w:w="7344"/>
            <w:vAlign w:val="top"/>
          </w:tcPr>
          <w:p>
            <w:pPr>
              <w:spacing w:after="20"/>
            </w:pPr>
            <w:r>
              <w:rPr>
                <w:sz w:val="16"/>
              </w:rPr>
              <w:t>Is the core Scale-SETI question sufficiently falsifiable to justify a research program?</w:t>
            </w:r>
          </w:p>
        </w:tc>
      </w:tr>
      <w:tr>
        <w:trPr>
          <w:cantSplit/>
        </w:trPr>
        <w:tc>
          <w:tcPr>
            <w:tcW w:type="dxa" w:w="792"/>
            <w:vAlign w:val="top"/>
          </w:tcPr>
          <w:p>
            <w:pPr>
              <w:spacing w:after="20"/>
            </w:pPr>
            <w:r>
              <w:rPr>
                <w:sz w:val="16"/>
              </w:rPr>
              <w:t>Q2</w:t>
            </w:r>
          </w:p>
        </w:tc>
        <w:tc>
          <w:tcPr>
            <w:tcW w:type="dxa" w:w="1872"/>
            <w:vAlign w:val="top"/>
          </w:tcPr>
          <w:p>
            <w:pPr>
              <w:spacing w:after="20"/>
            </w:pPr>
            <w:r>
              <w:rPr>
                <w:sz w:val="16"/>
              </w:rPr>
              <w:t>Prior work / novelty</w:t>
            </w:r>
          </w:p>
        </w:tc>
        <w:tc>
          <w:tcPr>
            <w:tcW w:type="dxa" w:w="7344"/>
            <w:vAlign w:val="top"/>
          </w:tcPr>
          <w:p>
            <w:pPr>
              <w:spacing w:after="20"/>
            </w:pPr>
            <w:r>
              <w:rPr>
                <w:sz w:val="16"/>
              </w:rPr>
              <w:t>What existing literature most closely overlaps the concept, and is any novelty claim overstated?</w:t>
            </w:r>
          </w:p>
        </w:tc>
      </w:tr>
      <w:tr>
        <w:trPr>
          <w:cantSplit/>
        </w:trPr>
        <w:tc>
          <w:tcPr>
            <w:tcW w:type="dxa" w:w="792"/>
            <w:vAlign w:val="top"/>
          </w:tcPr>
          <w:p>
            <w:pPr>
              <w:spacing w:after="20"/>
            </w:pPr>
            <w:r>
              <w:rPr>
                <w:sz w:val="16"/>
              </w:rPr>
              <w:t>Q3</w:t>
            </w:r>
          </w:p>
        </w:tc>
        <w:tc>
          <w:tcPr>
            <w:tcW w:type="dxa" w:w="1872"/>
            <w:vAlign w:val="top"/>
          </w:tcPr>
          <w:p>
            <w:pPr>
              <w:spacing w:after="20"/>
            </w:pPr>
            <w:r>
              <w:rPr>
                <w:sz w:val="16"/>
              </w:rPr>
              <w:t>Physics</w:t>
            </w:r>
          </w:p>
        </w:tc>
        <w:tc>
          <w:tcPr>
            <w:tcW w:type="dxa" w:w="7344"/>
            <w:vAlign w:val="top"/>
          </w:tcPr>
          <w:p>
            <w:pPr>
              <w:spacing w:after="20"/>
            </w:pPr>
            <w:r>
              <w:rPr>
                <w:sz w:val="16"/>
              </w:rPr>
              <w:t>What conventional physical mechanisms could mimic the proposed cross-boundary information channel?</w:t>
            </w:r>
          </w:p>
        </w:tc>
      </w:tr>
      <w:tr>
        <w:trPr>
          <w:cantSplit/>
        </w:trPr>
        <w:tc>
          <w:tcPr>
            <w:tcW w:type="dxa" w:w="792"/>
            <w:vAlign w:val="top"/>
          </w:tcPr>
          <w:p>
            <w:pPr>
              <w:spacing w:after="20"/>
            </w:pPr>
            <w:r>
              <w:rPr>
                <w:sz w:val="16"/>
              </w:rPr>
              <w:t>Q4</w:t>
            </w:r>
          </w:p>
        </w:tc>
        <w:tc>
          <w:tcPr>
            <w:tcW w:type="dxa" w:w="1872"/>
            <w:vAlign w:val="top"/>
          </w:tcPr>
          <w:p>
            <w:pPr>
              <w:spacing w:after="20"/>
            </w:pPr>
            <w:r>
              <w:rPr>
                <w:sz w:val="16"/>
              </w:rPr>
              <w:t>Experimental controls</w:t>
            </w:r>
          </w:p>
        </w:tc>
        <w:tc>
          <w:tcPr>
            <w:tcW w:type="dxa" w:w="7344"/>
            <w:vAlign w:val="top"/>
          </w:tcPr>
          <w:p>
            <w:pPr>
              <w:spacing w:after="20"/>
            </w:pPr>
            <w:r>
              <w:rPr>
                <w:sz w:val="16"/>
              </w:rPr>
              <w:t>What missing control would most worry you?</w:t>
            </w:r>
          </w:p>
        </w:tc>
      </w:tr>
      <w:tr>
        <w:trPr>
          <w:cantSplit/>
        </w:trPr>
        <w:tc>
          <w:tcPr>
            <w:tcW w:type="dxa" w:w="792"/>
            <w:vAlign w:val="top"/>
          </w:tcPr>
          <w:p>
            <w:pPr>
              <w:spacing w:after="20"/>
            </w:pPr>
            <w:r>
              <w:rPr>
                <w:sz w:val="16"/>
              </w:rPr>
              <w:t>Q5</w:t>
            </w:r>
          </w:p>
        </w:tc>
        <w:tc>
          <w:tcPr>
            <w:tcW w:type="dxa" w:w="1872"/>
            <w:vAlign w:val="top"/>
          </w:tcPr>
          <w:p>
            <w:pPr>
              <w:spacing w:after="20"/>
            </w:pPr>
            <w:r>
              <w:rPr>
                <w:sz w:val="16"/>
              </w:rPr>
              <w:t>Statistics</w:t>
            </w:r>
          </w:p>
        </w:tc>
        <w:tc>
          <w:tcPr>
            <w:tcW w:type="dxa" w:w="7344"/>
            <w:vAlign w:val="top"/>
          </w:tcPr>
          <w:p>
            <w:pPr>
              <w:spacing w:after="20"/>
            </w:pPr>
            <w:r>
              <w:rPr>
                <w:sz w:val="16"/>
              </w:rPr>
              <w:t>Are the proposed challenge-response metrics, null construction, and escalation thresholds defensible?</w:t>
            </w:r>
          </w:p>
        </w:tc>
      </w:tr>
      <w:tr>
        <w:trPr>
          <w:cantSplit/>
        </w:trPr>
        <w:tc>
          <w:tcPr>
            <w:tcW w:type="dxa" w:w="792"/>
            <w:vAlign w:val="top"/>
          </w:tcPr>
          <w:p>
            <w:pPr>
              <w:spacing w:after="20"/>
            </w:pPr>
            <w:r>
              <w:rPr>
                <w:sz w:val="16"/>
              </w:rPr>
              <w:t>Q6</w:t>
            </w:r>
          </w:p>
        </w:tc>
        <w:tc>
          <w:tcPr>
            <w:tcW w:type="dxa" w:w="1872"/>
            <w:vAlign w:val="top"/>
          </w:tcPr>
          <w:p>
            <w:pPr>
              <w:spacing w:after="20"/>
            </w:pPr>
            <w:r>
              <w:rPr>
                <w:sz w:val="16"/>
              </w:rPr>
              <w:t>Engineering</w:t>
            </w:r>
          </w:p>
        </w:tc>
        <w:tc>
          <w:tcPr>
            <w:tcW w:type="dxa" w:w="7344"/>
            <w:vAlign w:val="top"/>
          </w:tcPr>
          <w:p>
            <w:pPr>
              <w:spacing w:after="20"/>
            </w:pPr>
            <w:r>
              <w:rPr>
                <w:sz w:val="16"/>
              </w:rPr>
              <w:t>Could a competent lab reproduce Phase 1 from the design package? What critical detail is missing?</w:t>
            </w:r>
          </w:p>
        </w:tc>
      </w:tr>
      <w:tr>
        <w:trPr>
          <w:cantSplit/>
        </w:trPr>
        <w:tc>
          <w:tcPr>
            <w:tcW w:type="dxa" w:w="792"/>
            <w:vAlign w:val="top"/>
          </w:tcPr>
          <w:p>
            <w:pPr>
              <w:spacing w:after="20"/>
            </w:pPr>
            <w:r>
              <w:rPr>
                <w:sz w:val="16"/>
              </w:rPr>
              <w:t>Q7</w:t>
            </w:r>
          </w:p>
        </w:tc>
        <w:tc>
          <w:tcPr>
            <w:tcW w:type="dxa" w:w="1872"/>
            <w:vAlign w:val="top"/>
          </w:tcPr>
          <w:p>
            <w:pPr>
              <w:spacing w:after="20"/>
            </w:pPr>
            <w:r>
              <w:rPr>
                <w:sz w:val="16"/>
              </w:rPr>
              <w:t>Up-scale SETI</w:t>
            </w:r>
          </w:p>
        </w:tc>
        <w:tc>
          <w:tcPr>
            <w:tcW w:type="dxa" w:w="7344"/>
            <w:vAlign w:val="top"/>
          </w:tcPr>
          <w:p>
            <w:pPr>
              <w:spacing w:after="20"/>
            </w:pPr>
            <w:r>
              <w:rPr>
                <w:sz w:val="16"/>
              </w:rPr>
              <w:t>Is the distributed long-baseline up-scale search framed as a reasonable future research question without overclaiming?</w:t>
            </w:r>
          </w:p>
        </w:tc>
      </w:tr>
      <w:tr>
        <w:trPr>
          <w:cantSplit/>
        </w:trPr>
        <w:tc>
          <w:tcPr>
            <w:tcW w:type="dxa" w:w="792"/>
            <w:vAlign w:val="top"/>
          </w:tcPr>
          <w:p>
            <w:pPr>
              <w:spacing w:after="20"/>
            </w:pPr>
            <w:r>
              <w:rPr>
                <w:sz w:val="16"/>
              </w:rPr>
              <w:t>Q8</w:t>
            </w:r>
          </w:p>
        </w:tc>
        <w:tc>
          <w:tcPr>
            <w:tcW w:type="dxa" w:w="1872"/>
            <w:vAlign w:val="top"/>
          </w:tcPr>
          <w:p>
            <w:pPr>
              <w:spacing w:after="20"/>
            </w:pPr>
            <w:r>
              <w:rPr>
                <w:sz w:val="16"/>
              </w:rPr>
              <w:t>Decision</w:t>
            </w:r>
          </w:p>
        </w:tc>
        <w:tc>
          <w:tcPr>
            <w:tcW w:type="dxa" w:w="7344"/>
            <w:vAlign w:val="top"/>
          </w:tcPr>
          <w:p>
            <w:pPr>
              <w:spacing w:after="20"/>
            </w:pPr>
            <w:r>
              <w:rPr>
                <w:sz w:val="16"/>
              </w:rPr>
              <w:t>Would you recommend: proceed, proceed with conditions, major revision, or do not proceed? Why?</w:t>
            </w:r>
          </w:p>
        </w:tc>
      </w:tr>
    </w:tbl>
    <w:p>
      <w:pPr>
        <w:pStyle w:val="Heading1"/>
        <w:keepNext/>
      </w:pPr>
      <w:r>
        <w:t>Documents in this packet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vAlign w:val="center"/>
            <w:shd w:fill="D9EAF7"/>
          </w:tcPr>
          <w:p>
            <w:r>
              <w:rPr>
                <w:b/>
                <w:sz w:val="16"/>
              </w:rPr>
              <w:t>Document</w:t>
            </w:r>
          </w:p>
        </w:tc>
        <w:tc>
          <w:tcPr>
            <w:tcW w:type="dxa" w:w="3888"/>
            <w:vAlign w:val="center"/>
            <w:shd w:fill="D9EAF7"/>
          </w:tcPr>
          <w:p>
            <w:r>
              <w:rPr>
                <w:b/>
                <w:sz w:val="16"/>
              </w:rPr>
              <w:t>Purpose</w:t>
            </w:r>
          </w:p>
        </w:tc>
        <w:tc>
          <w:tcPr>
            <w:tcW w:type="dxa" w:w="2880"/>
            <w:vAlign w:val="center"/>
            <w:shd w:fill="D9EAF7"/>
          </w:tcPr>
          <w:p>
            <w:r>
              <w:rPr>
                <w:b/>
                <w:sz w:val="16"/>
              </w:rPr>
              <w:t>Suggested review depth</w:t>
            </w:r>
          </w:p>
        </w:tc>
      </w:tr>
      <w:tr>
        <w:trPr>
          <w:cantSplit/>
        </w:trPr>
        <w:tc>
          <w:tcPr>
            <w:tcW w:type="dxa" w:w="3312"/>
            <w:vAlign w:val="top"/>
          </w:tcPr>
          <w:p>
            <w:pPr>
              <w:spacing w:after="20"/>
            </w:pPr>
            <w:r>
              <w:rPr>
                <w:sz w:val="16"/>
              </w:rPr>
              <w:t>Scale-SETI Concept Paper Candidate 1.0</w:t>
            </w:r>
          </w:p>
        </w:tc>
        <w:tc>
          <w:tcPr>
            <w:tcW w:type="dxa" w:w="3888"/>
            <w:vAlign w:val="top"/>
          </w:tcPr>
          <w:p>
            <w:pPr>
              <w:spacing w:after="20"/>
            </w:pPr>
            <w:r>
              <w:rPr>
                <w:sz w:val="16"/>
              </w:rPr>
              <w:t>18-page publication candidate; conceptual/scientific argument</w:t>
            </w:r>
          </w:p>
        </w:tc>
        <w:tc>
          <w:tcPr>
            <w:tcW w:type="dxa" w:w="2880"/>
            <w:vAlign w:val="top"/>
          </w:tcPr>
          <w:p>
            <w:pPr>
              <w:spacing w:after="20"/>
            </w:pPr>
            <w:r>
              <w:rPr>
                <w:sz w:val="16"/>
              </w:rPr>
              <w:t>Primary review</w:t>
            </w:r>
          </w:p>
        </w:tc>
      </w:tr>
      <w:tr>
        <w:trPr>
          <w:cantSplit/>
        </w:trPr>
        <w:tc>
          <w:tcPr>
            <w:tcW w:type="dxa" w:w="3312"/>
            <w:vAlign w:val="top"/>
          </w:tcPr>
          <w:p>
            <w:pPr>
              <w:spacing w:after="20"/>
            </w:pPr>
            <w:r>
              <w:rPr>
                <w:sz w:val="16"/>
              </w:rPr>
              <w:t>Phase-1 Design Package v0.3</w:t>
            </w:r>
          </w:p>
        </w:tc>
        <w:tc>
          <w:tcPr>
            <w:tcW w:type="dxa" w:w="3888"/>
            <w:vAlign w:val="top"/>
          </w:tcPr>
          <w:p>
            <w:pPr>
              <w:spacing w:after="20"/>
            </w:pPr>
            <w:r>
              <w:rPr>
                <w:sz w:val="16"/>
              </w:rPr>
              <w:t>21-page engineering validation package</w:t>
            </w:r>
          </w:p>
        </w:tc>
        <w:tc>
          <w:tcPr>
            <w:tcW w:type="dxa" w:w="2880"/>
            <w:vAlign w:val="top"/>
          </w:tcPr>
          <w:p>
            <w:pPr>
              <w:spacing w:after="20"/>
            </w:pPr>
            <w:r>
              <w:rPr>
                <w:sz w:val="16"/>
              </w:rPr>
              <w:t>Deep review if within your expertise</w:t>
            </w:r>
          </w:p>
        </w:tc>
      </w:tr>
      <w:tr>
        <w:trPr>
          <w:cantSplit/>
        </w:trPr>
        <w:tc>
          <w:tcPr>
            <w:tcW w:type="dxa" w:w="3312"/>
            <w:vAlign w:val="top"/>
          </w:tcPr>
          <w:p>
            <w:pPr>
              <w:spacing w:after="20"/>
            </w:pPr>
            <w:r>
              <w:rPr>
                <w:sz w:val="16"/>
              </w:rPr>
              <w:t>Project Roadmap v1.1</w:t>
            </w:r>
          </w:p>
        </w:tc>
        <w:tc>
          <w:tcPr>
            <w:tcW w:type="dxa" w:w="3888"/>
            <w:vAlign w:val="top"/>
          </w:tcPr>
          <w:p>
            <w:pPr>
              <w:spacing w:after="20"/>
            </w:pPr>
            <w:r>
              <w:rPr>
                <w:sz w:val="16"/>
              </w:rPr>
              <w:t>Scope/stopping rules and publication/build sequence</w:t>
            </w:r>
          </w:p>
        </w:tc>
        <w:tc>
          <w:tcPr>
            <w:tcW w:type="dxa" w:w="2880"/>
            <w:vAlign w:val="top"/>
          </w:tcPr>
          <w:p>
            <w:pPr>
              <w:spacing w:after="20"/>
            </w:pPr>
            <w:r>
              <w:rPr>
                <w:sz w:val="16"/>
              </w:rPr>
              <w:t>Optional context</w:t>
            </w:r>
          </w:p>
        </w:tc>
      </w:tr>
      <w:tr>
        <w:trPr>
          <w:cantSplit/>
        </w:trPr>
        <w:tc>
          <w:tcPr>
            <w:tcW w:type="dxa" w:w="3312"/>
            <w:vAlign w:val="top"/>
          </w:tcPr>
          <w:p>
            <w:pPr>
              <w:spacing w:after="20"/>
            </w:pPr>
            <w:r>
              <w:rPr>
                <w:sz w:val="16"/>
              </w:rPr>
              <w:t>Reviewer Feedback Form</w:t>
            </w:r>
          </w:p>
        </w:tc>
        <w:tc>
          <w:tcPr>
            <w:tcW w:type="dxa" w:w="3888"/>
            <w:vAlign w:val="top"/>
          </w:tcPr>
          <w:p>
            <w:pPr>
              <w:spacing w:after="20"/>
            </w:pPr>
            <w:r>
              <w:rPr>
                <w:sz w:val="16"/>
              </w:rPr>
              <w:t>Structured comments and disposition</w:t>
            </w:r>
          </w:p>
        </w:tc>
        <w:tc>
          <w:tcPr>
            <w:tcW w:type="dxa" w:w="2880"/>
            <w:vAlign w:val="top"/>
          </w:tcPr>
          <w:p>
            <w:pPr>
              <w:spacing w:after="20"/>
            </w:pPr>
            <w:r>
              <w:rPr>
                <w:sz w:val="16"/>
              </w:rPr>
              <w:t>Please return if practical</w:t>
            </w:r>
          </w:p>
        </w:tc>
      </w:tr>
    </w:tbl>
    <w:p>
      <w:pPr>
        <w:pStyle w:val="Heading1"/>
        <w:keepNext/>
      </w:pPr>
      <w:r>
        <w:t>How feedback will be handled</w:t>
      </w:r>
    </w:p>
    <w:p>
      <w:pPr>
        <w:spacing w:after="100"/>
      </w:pPr>
      <w:r>
        <w:rPr>
          <w:b w:val="0"/>
          <w:i w:val="0"/>
        </w:rPr>
        <w:t>Comments will be logged as Critical, Major, Minor, Deferred, or Rejected with Rationale. Critical and Major issues must be resolved or explicitly dispositioned before Concept Paper 1.0 and Design Package 1.0 are frozen. Reviewer names will not be quoted publicly without permission.</w:t>
      </w:r>
    </w:p>
    <w:p>
      <w:pPr>
        <w:jc w:val="center"/>
      </w:pPr>
      <w:r>
        <w:rPr>
          <w:b/>
          <w:color w:val="1F4E79"/>
          <w:sz w:val="24"/>
        </w:rPr>
        <w:t>The strongest review is one that identifies why the experiment or interpretation could be wrong.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Scale-SETI External Technical Review Guide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