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Scale-SETI Project Roadmap and Scope Control</w:t>
      </w:r>
    </w:p>
    <w:p>
      <w:pPr>
        <w:jc w:val="center"/>
      </w:pPr>
      <w:r>
        <w:rPr>
          <w:i/>
          <w:sz w:val="28"/>
        </w:rPr>
        <w:t>Publication, Engineering, Review, and Experimental Plan</w:t>
      </w:r>
    </w:p>
    <w:p>
      <w:pPr>
        <w:jc w:val="center"/>
      </w:pPr>
      <w:r>
        <w:t>Version 1.1</w:t>
        <w:br/>
        <w:t>Tim Boccaleri</w:t>
        <w:br/>
        <w:t>September 2026</w:t>
      </w:r>
    </w:p>
    <w:p/>
    <w:p>
      <w:pPr>
        <w:jc w:val="center"/>
      </w:pPr>
      <w:r>
        <w:rPr>
          <w:b/>
        </w:rPr>
        <w:t>If a new item does not close a defined publication, reproducibility, review, or experimental gap, it does not belong in the current artifact.</w:t>
      </w:r>
    </w:p>
    <w:p>
      <w:pPr>
        <w:pStyle w:val="Heading1"/>
      </w:pPr>
      <w:r>
        <w:t>1. Purpose</w:t>
      </w:r>
    </w:p>
    <w:p>
      <w:r>
        <w:t>This roadmap prevents scope drift and defines what each Scale-SETI artifact is supposed to accomplish. The project will no longer add material simply because additional detail is possible. Each document has a defined audience, stopping condition, and next action.</w:t>
      </w:r>
    </w:p>
    <w:p>
      <w:pPr>
        <w:pStyle w:val="Heading1"/>
      </w:pPr>
      <w:r>
        <w:t>2. Project Architecture</w:t>
      </w:r>
    </w:p>
    <w:p>
      <w:pPr>
        <w:pStyle w:val="Heading2"/>
      </w:pPr>
      <w:r>
        <w:t>Product A - Core Concept Paper</w:t>
      </w:r>
    </w:p>
    <w:p>
      <w:r>
        <w:t>Purpose: Present the intellectual contribution, scientific motivation, falsifiable research question, evidence standards, relationship to prior work, and high-level experimental roadmap.</w:t>
      </w:r>
    </w:p>
    <w:p>
      <w:r>
        <w:t>Primary audience: Physicists, SETI/technosignature researchers, information theorists, experimentalists, reviewers, and potential collaborators.</w:t>
      </w:r>
    </w:p>
    <w:p>
      <w:r>
        <w:t>Baseline: Revision 5 technical-review edition.</w:t>
      </w:r>
    </w:p>
    <w:p>
      <w:r>
        <w:t>What belongs here:</w:t>
      </w:r>
    </w:p>
    <w:p>
      <w:pPr>
        <w:pStyle w:val="ListBullet"/>
      </w:pPr>
      <w:r>
        <w:t>central Scale-SETI hypothesis and search-space framing</w:t>
      </w:r>
    </w:p>
    <w:p>
      <w:pPr>
        <w:pStyle w:val="ListBullet"/>
      </w:pPr>
      <w:r>
        <w:t>established science versus speculative extensions</w:t>
      </w:r>
    </w:p>
    <w:p>
      <w:pPr>
        <w:pStyle w:val="ListBullet"/>
      </w:pPr>
      <w:r>
        <w:t>minimal scale-coordinate framework</w:t>
      </w:r>
    </w:p>
    <w:p>
      <w:pPr>
        <w:pStyle w:val="ListBullet"/>
      </w:pPr>
      <w:r>
        <w:t>relationship to prior work</w:t>
      </w:r>
    </w:p>
    <w:p>
      <w:pPr>
        <w:pStyle w:val="ListBullet"/>
      </w:pPr>
      <w:r>
        <w:t>falsifiability and evidence ladder</w:t>
      </w:r>
    </w:p>
    <w:p>
      <w:pPr>
        <w:pStyle w:val="ListBullet"/>
      </w:pPr>
      <w:r>
        <w:t>high-level Phase-1 experimental design</w:t>
      </w:r>
    </w:p>
    <w:p>
      <w:pPr>
        <w:pStyle w:val="ListBullet"/>
      </w:pPr>
      <w:r>
        <w:t>major objections and limitations</w:t>
      </w:r>
    </w:p>
    <w:p>
      <w:pPr>
        <w:pStyle w:val="ListBullet"/>
      </w:pPr>
      <w:r>
        <w:t>publication-quality references</w:t>
      </w:r>
    </w:p>
    <w:p>
      <w:pPr>
        <w:pStyle w:val="ListBullet"/>
      </w:pPr>
      <w:r>
        <w:t>up-scale SETI as a conceptual/distributed-analysis branch distinct from the Phase-1 microscopic bench</w:t>
      </w:r>
    </w:p>
    <w:p>
      <w:pPr>
        <w:pStyle w:val="ListBullet"/>
      </w:pPr>
      <w:r>
        <w:t>bidirectional macro/micro model showing that our regime may be intermediate rather than privileged</w:t>
      </w:r>
    </w:p>
    <w:p>
      <w:pPr>
        <w:pStyle w:val="ListBullet"/>
      </w:pPr>
      <w:r>
        <w:t>wall analogy as the accessible conceptual explanation of a shared boundary interface</w:t>
      </w:r>
    </w:p>
    <w:p>
      <w:pPr>
        <w:pStyle w:val="ListBullet"/>
      </w:pPr>
      <w:r>
        <w:t>expanded SETI search-space framework: same-scale, down-scale, and up-scale search</w:t>
      </w:r>
    </w:p>
    <w:p>
      <w:r>
        <w:t>What does not belong here:</w:t>
      </w:r>
    </w:p>
    <w:p>
      <w:pPr>
        <w:pStyle w:val="ListBullet"/>
      </w:pPr>
      <w:r>
        <w:t>connector pinouts</w:t>
      </w:r>
    </w:p>
    <w:p>
      <w:pPr>
        <w:pStyle w:val="ListBullet"/>
      </w:pPr>
      <w:r>
        <w:t>full wiring schedules</w:t>
      </w:r>
    </w:p>
    <w:p>
      <w:pPr>
        <w:pStyle w:val="ListBullet"/>
      </w:pPr>
      <w:r>
        <w:t>detailed procurement BOMs</w:t>
      </w:r>
    </w:p>
    <w:p>
      <w:pPr>
        <w:pStyle w:val="ListBullet"/>
      </w:pPr>
      <w:r>
        <w:t>calibration worksheets</w:t>
      </w:r>
    </w:p>
    <w:p>
      <w:pPr>
        <w:pStyle w:val="ListBullet"/>
      </w:pPr>
      <w:r>
        <w:t>software repository internals</w:t>
      </w:r>
    </w:p>
    <w:p>
      <w:pPr>
        <w:pStyle w:val="ListBullet"/>
      </w:pPr>
      <w:r>
        <w:t>fabrication drawings</w:t>
      </w:r>
    </w:p>
    <w:p>
      <w:pPr>
        <w:pStyle w:val="ListBullet"/>
      </w:pPr>
      <w:r>
        <w:t>step-by-step bench assembly</w:t>
      </w:r>
    </w:p>
    <w:p>
      <w:r>
        <w:t>Target size/scope: 25-35 pages including references and essential figures.</w:t>
      </w:r>
    </w:p>
    <w:p>
      <w:r>
        <w:t>Definition of done:</w:t>
      </w:r>
    </w:p>
    <w:p>
      <w:pPr/>
      <w:r>
        <w:t>1. hypothesis clear and internally consistent</w:t>
      </w:r>
    </w:p>
    <w:p>
      <w:pPr/>
      <w:r>
        <w:t>2. established science separated from speculation</w:t>
      </w:r>
    </w:p>
    <w:p>
      <w:pPr/>
      <w:r>
        <w:t>3. novelty and prior work accurately represented</w:t>
      </w:r>
    </w:p>
    <w:p>
      <w:pPr/>
      <w:r>
        <w:t>4. falsifiable proposition explicit</w:t>
      </w:r>
    </w:p>
    <w:p>
      <w:pPr/>
      <w:r>
        <w:t>5. evidence and failure criteria defined</w:t>
      </w:r>
    </w:p>
    <w:p>
      <w:pPr/>
      <w:r>
        <w:t>6. major objections addressed</w:t>
      </w:r>
    </w:p>
    <w:p>
      <w:pPr/>
      <w:r>
        <w:t>7. external reviewers given opportunity to critique</w:t>
      </w:r>
    </w:p>
    <w:p>
      <w:pPr/>
      <w:r>
        <w:t>8. remaining changes limited to scientific accuracy, clarity, or reviewer response</w:t>
      </w:r>
    </w:p>
    <w:p>
      <w:pPr>
        <w:pStyle w:val="Heading2"/>
      </w:pPr>
      <w:r>
        <w:t>Product B - Phase-1 Technical Design Package</w:t>
      </w:r>
    </w:p>
    <w:p>
      <w:r>
        <w:t>Purpose: Allow an independent instrumentation/microfluidics laboratory to reproduce the first controlled experiment without guessing important design decisions.</w:t>
      </w:r>
    </w:p>
    <w:p>
      <w:r>
        <w:t>Primary audience: Instrumentation engineers, microfluidics researchers, electronics engineers, experimental physicists, software/data engineers, and replication labs.</w:t>
      </w:r>
    </w:p>
    <w:p>
      <w:r>
        <w:t>Baseline: Phase-1 Design Package v0.3.</w:t>
      </w:r>
    </w:p>
    <w:p>
      <w:r>
        <w:t>What belongs here:</w:t>
      </w:r>
    </w:p>
    <w:p>
      <w:pPr>
        <w:pStyle w:val="ListBullet"/>
      </w:pPr>
      <w:r>
        <w:t>complete architecture</w:t>
      </w:r>
    </w:p>
    <w:p>
      <w:pPr>
        <w:pStyle w:val="ListBullet"/>
      </w:pPr>
      <w:r>
        <w:t>electrical and fluidic schematics</w:t>
      </w:r>
    </w:p>
    <w:p>
      <w:pPr>
        <w:pStyle w:val="ListBullet"/>
      </w:pPr>
      <w:r>
        <w:t>wiring and I/O maps</w:t>
      </w:r>
    </w:p>
    <w:p>
      <w:pPr>
        <w:pStyle w:val="ListBullet"/>
      </w:pPr>
      <w:r>
        <w:t>mechanical/fabrication drawings</w:t>
      </w:r>
    </w:p>
    <w:p>
      <w:pPr>
        <w:pStyle w:val="ListBullet"/>
      </w:pPr>
      <w:r>
        <w:t>BOM and alternates</w:t>
      </w:r>
    </w:p>
    <w:p>
      <w:pPr>
        <w:pStyle w:val="ListBullet"/>
      </w:pPr>
      <w:r>
        <w:t>host/network isolation design</w:t>
      </w:r>
    </w:p>
    <w:p>
      <w:pPr>
        <w:pStyle w:val="ListBullet"/>
      </w:pPr>
      <w:r>
        <w:t>software interfaces and schemas</w:t>
      </w:r>
    </w:p>
    <w:p>
      <w:pPr>
        <w:pStyle w:val="ListBullet"/>
      </w:pPr>
      <w:r>
        <w:t>calibration procedures</w:t>
      </w:r>
    </w:p>
    <w:p>
      <w:pPr>
        <w:pStyle w:val="ListBullet"/>
      </w:pPr>
      <w:r>
        <w:t>control matrix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bring-up procedure</w:t>
      </w:r>
    </w:p>
    <w:p>
      <w:pPr>
        <w:pStyle w:val="ListBullet"/>
      </w:pPr>
      <w:r>
        <w:t>troubleshooting and replication instructions</w:t>
      </w:r>
    </w:p>
    <w:p>
      <w:pPr>
        <w:pStyle w:val="ListBullet"/>
      </w:pPr>
      <w:r>
        <w:t>release manifests and hashes</w:t>
      </w:r>
    </w:p>
    <w:p>
      <w:r>
        <w:t>Target size/scope: As long as needed for complete reproducibility.</w:t>
      </w:r>
    </w:p>
    <w:p>
      <w:r>
        <w:t>Definition of done:</w:t>
      </w:r>
    </w:p>
    <w:p>
      <w:pPr/>
      <w:r>
        <w:t>1. critical components identified by part number or performance specification</w:t>
      </w:r>
    </w:p>
    <w:p>
      <w:pPr/>
      <w:r>
        <w:t>2. every intentional signal path documented</w:t>
      </w:r>
    </w:p>
    <w:p>
      <w:pPr/>
      <w:r>
        <w:t>3. relevant leakage paths mitigated or measured</w:t>
      </w:r>
    </w:p>
    <w:p>
      <w:pPr/>
      <w:r>
        <w:t>4. all electrical/fluidic interfaces documented</w:t>
      </w:r>
    </w:p>
    <w:p>
      <w:pPr/>
      <w:r>
        <w:t>5. calibration and acceptance procedures executable</w:t>
      </w:r>
    </w:p>
    <w:p>
      <w:pPr/>
      <w:r>
        <w:t>6. data schemas and interfaces validated</w:t>
      </w:r>
    </w:p>
    <w:p>
      <w:pPr/>
      <w:r>
        <w:t>7. another qualified lab can build from the package</w:t>
      </w:r>
    </w:p>
    <w:p>
      <w:pPr/>
      <w:r>
        <w:t>8. unresolved decisions non-critical or explicitly documented</w:t>
      </w:r>
    </w:p>
    <w:p>
      <w:pPr>
        <w:pStyle w:val="Heading2"/>
      </w:pPr>
      <w:r>
        <w:t>Product C - Experimental Results Paper</w:t>
      </w:r>
    </w:p>
    <w:p>
      <w:r>
        <w:t>Purpose: Report actual experimental results, including null results, after commissioning and preregistration.</w:t>
      </w:r>
    </w:p>
    <w:p>
      <w:r>
        <w:t>Primary audience: Scientific reviewers and the broader research community.</w:t>
      </w:r>
    </w:p>
    <w:p>
      <w:r>
        <w:t>Baseline: Created only after real data exist.</w:t>
      </w:r>
    </w:p>
    <w:p>
      <w:r>
        <w:t>What belongs here:</w:t>
      </w:r>
    </w:p>
    <w:p>
      <w:pPr>
        <w:pStyle w:val="ListBullet"/>
      </w:pPr>
      <w:r>
        <w:t>final apparatus used</w:t>
      </w:r>
    </w:p>
    <w:p>
      <w:pPr>
        <w:pStyle w:val="ListBullet"/>
      </w:pPr>
      <w:r>
        <w:t>deviations from Design Package 1.0</w:t>
      </w:r>
    </w:p>
    <w:p>
      <w:pPr>
        <w:pStyle w:val="ListBullet"/>
      </w:pPr>
      <w:r>
        <w:t>preregistered hypotheses and analysis</w:t>
      </w:r>
    </w:p>
    <w:p>
      <w:pPr>
        <w:pStyle w:val="ListBullet"/>
      </w:pPr>
      <w:r>
        <w:t>calibration and acceptance results</w:t>
      </w:r>
    </w:p>
    <w:p>
      <w:pPr>
        <w:pStyle w:val="ListBullet"/>
      </w:pPr>
      <w:r>
        <w:t>control results</w:t>
      </w:r>
    </w:p>
    <w:p>
      <w:pPr>
        <w:pStyle w:val="ListBullet"/>
      </w:pPr>
      <w:r>
        <w:t>blinded trial results</w:t>
      </w:r>
    </w:p>
    <w:p>
      <w:pPr>
        <w:pStyle w:val="ListBullet"/>
      </w:pPr>
      <w:r>
        <w:t>statistics and uncertainty</w:t>
      </w:r>
    </w:p>
    <w:p>
      <w:pPr>
        <w:pStyle w:val="ListBullet"/>
      </w:pPr>
      <w:r>
        <w:t>anomaly investigation</w:t>
      </w:r>
    </w:p>
    <w:p>
      <w:pPr>
        <w:pStyle w:val="ListBullet"/>
      </w:pPr>
      <w:r>
        <w:t>raw-data availability</w:t>
      </w:r>
    </w:p>
    <w:p>
      <w:pPr>
        <w:pStyle w:val="ListBullet"/>
      </w:pPr>
      <w:r>
        <w:t>independent replication status</w:t>
      </w:r>
    </w:p>
    <w:p>
      <w:r>
        <w:t>Target size/scope: Determined by results and target venue.</w:t>
      </w:r>
    </w:p>
    <w:p>
      <w:r>
        <w:t>Definition of done:</w:t>
      </w:r>
    </w:p>
    <w:p>
      <w:pPr/>
      <w:r>
        <w:t>1. real experimental data exist</w:t>
      </w:r>
    </w:p>
    <w:p>
      <w:pPr/>
      <w:r>
        <w:t>2. analysis follows preregistration</w:t>
      </w:r>
    </w:p>
    <w:p>
      <w:pPr/>
      <w:r>
        <w:t>3. results and controls are complete</w:t>
      </w:r>
    </w:p>
    <w:p>
      <w:pPr/>
      <w:r>
        <w:t>4. data and code are archived</w:t>
      </w:r>
    </w:p>
    <w:p>
      <w:pPr>
        <w:pStyle w:val="Heading1"/>
      </w:pPr>
      <w:r>
        <w:t>3. Current Project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Original idea</w:t>
            </w:r>
          </w:p>
        </w:tc>
        <w:tc>
          <w:tcPr>
            <w:tcW w:type="dxa" w:w="3312"/>
            <w:vAlign w:val="top"/>
          </w:tcPr>
          <w:p>
            <w:r>
              <w:t>Complete</w:t>
            </w:r>
          </w:p>
        </w:tc>
        <w:tc>
          <w:tcPr>
            <w:tcW w:type="dxa" w:w="3312"/>
            <w:vAlign w:val="top"/>
          </w:tcPr>
          <w:p>
            <w:r>
              <w:t>Search for intelligence across physical scale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Conceptual hypothesis</w:t>
            </w:r>
          </w:p>
        </w:tc>
        <w:tc>
          <w:tcPr>
            <w:tcW w:type="dxa" w:w="3312"/>
            <w:vAlign w:val="top"/>
          </w:tcPr>
          <w:p>
            <w:r>
              <w:t>Complete</w:t>
            </w:r>
          </w:p>
        </w:tc>
        <w:tc>
          <w:tcPr>
            <w:tcW w:type="dxa" w:w="3312"/>
            <w:vAlign w:val="top"/>
          </w:tcPr>
          <w:p>
            <w:r>
              <w:t>Hierarchical / nonlinear scale framing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Scientific framing</w:t>
            </w:r>
          </w:p>
        </w:tc>
        <w:tc>
          <w:tcPr>
            <w:tcW w:type="dxa" w:w="3312"/>
            <w:vAlign w:val="top"/>
          </w:tcPr>
          <w:p>
            <w:r>
              <w:t>Complete</w:t>
            </w:r>
          </w:p>
        </w:tc>
        <w:tc>
          <w:tcPr>
            <w:tcW w:type="dxa" w:w="3312"/>
            <w:vAlign w:val="top"/>
          </w:tcPr>
          <w:p>
            <w:r>
              <w:t>Established science separated from speculation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Falsifiability framework</w:t>
            </w:r>
          </w:p>
        </w:tc>
        <w:tc>
          <w:tcPr>
            <w:tcW w:type="dxa" w:w="3312"/>
            <w:vAlign w:val="top"/>
          </w:tcPr>
          <w:p>
            <w:r>
              <w:t>Complete</w:t>
            </w:r>
          </w:p>
        </w:tc>
        <w:tc>
          <w:tcPr>
            <w:tcW w:type="dxa" w:w="3312"/>
            <w:vAlign w:val="top"/>
          </w:tcPr>
          <w:p>
            <w:r>
              <w:t>Challenge-response and control hierarchy defined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Formal technical review</w:t>
            </w:r>
          </w:p>
        </w:tc>
        <w:tc>
          <w:tcPr>
            <w:tcW w:type="dxa" w:w="3312"/>
            <w:vAlign w:val="top"/>
          </w:tcPr>
          <w:p>
            <w:r>
              <w:t>Complete</w:t>
            </w:r>
          </w:p>
        </w:tc>
        <w:tc>
          <w:tcPr>
            <w:tcW w:type="dxa" w:w="3312"/>
            <w:vAlign w:val="top"/>
          </w:tcPr>
          <w:p>
            <w:r>
              <w:t>Revision 5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Phase-1 reference architecture</w:t>
            </w:r>
          </w:p>
        </w:tc>
        <w:tc>
          <w:tcPr>
            <w:tcW w:type="dxa" w:w="3312"/>
            <w:vAlign w:val="top"/>
          </w:tcPr>
          <w:p>
            <w:r>
              <w:t>Complete</w:t>
            </w:r>
          </w:p>
        </w:tc>
        <w:tc>
          <w:tcPr>
            <w:tcW w:type="dxa" w:w="3312"/>
            <w:vAlign w:val="top"/>
          </w:tcPr>
          <w:p>
            <w:r>
              <w:t>Known-physics validation bench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Engineering control documents</w:t>
            </w:r>
          </w:p>
        </w:tc>
        <w:tc>
          <w:tcPr>
            <w:tcW w:type="dxa" w:w="3312"/>
            <w:vAlign w:val="top"/>
          </w:tcPr>
          <w:p>
            <w:r>
              <w:t>Complete</w:t>
            </w:r>
          </w:p>
        </w:tc>
        <w:tc>
          <w:tcPr>
            <w:tcW w:type="dxa" w:w="3312"/>
            <w:vAlign w:val="top"/>
          </w:tcPr>
          <w:p>
            <w:r>
              <w:t>Through v0.3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Stage-1 implementation choice</w:t>
            </w:r>
          </w:p>
        </w:tc>
        <w:tc>
          <w:tcPr>
            <w:tcW w:type="dxa" w:w="3312"/>
            <w:vAlign w:val="top"/>
          </w:tcPr>
          <w:p>
            <w:r>
              <w:t>Complete</w:t>
            </w:r>
          </w:p>
        </w:tc>
        <w:tc>
          <w:tcPr>
            <w:tcW w:type="dxa" w:w="3312"/>
            <w:vAlign w:val="top"/>
          </w:tcPr>
          <w:p>
            <w:r>
              <w:t>Ion concentration / microfluidic reference channel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Dry-run software/data pipeline</w:t>
            </w:r>
          </w:p>
        </w:tc>
        <w:tc>
          <w:tcPr>
            <w:tcW w:type="dxa" w:w="3312"/>
            <w:vAlign w:val="top"/>
          </w:tcPr>
          <w:p>
            <w:r>
              <w:t>Complete</w:t>
            </w:r>
          </w:p>
        </w:tc>
        <w:tc>
          <w:tcPr>
            <w:tcW w:type="dxa" w:w="3312"/>
            <w:vAlign w:val="top"/>
          </w:tcPr>
          <w:p>
            <w:r>
              <w:t>Synthetic campaign demonstrated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Fabrication/build release</w:t>
            </w:r>
          </w:p>
        </w:tc>
        <w:tc>
          <w:tcPr>
            <w:tcW w:type="dxa" w:w="3312"/>
            <w:vAlign w:val="top"/>
          </w:tcPr>
          <w:p>
            <w:r>
              <w:t>NEXT</w:t>
            </w:r>
          </w:p>
        </w:tc>
        <w:tc>
          <w:tcPr>
            <w:tcW w:type="dxa" w:w="3312"/>
            <w:vAlign w:val="top"/>
          </w:tcPr>
          <w:p>
            <w:r>
              <w:t>Close remaining reproducibility gaps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External expert review</w:t>
            </w:r>
          </w:p>
        </w:tc>
        <w:tc>
          <w:tcPr>
            <w:tcW w:type="dxa" w:w="3312"/>
            <w:vAlign w:val="top"/>
          </w:tcPr>
          <w:p>
            <w:r>
              <w:t>Pending</w:t>
            </w:r>
          </w:p>
        </w:tc>
        <w:tc>
          <w:tcPr>
            <w:tcW w:type="dxa" w:w="3312"/>
            <w:vAlign w:val="top"/>
          </w:tcPr>
          <w:p>
            <w:r>
              <w:t>NEXT publication gate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Concept Paper Candidate 1.0</w:t>
            </w:r>
          </w:p>
        </w:tc>
        <w:tc>
          <w:tcPr>
            <w:tcW w:type="dxa" w:w="3312"/>
            <w:vAlign w:val="top"/>
          </w:tcPr>
          <w:p>
            <w:r>
              <w:t>Complete</w:t>
            </w:r>
          </w:p>
        </w:tc>
        <w:tc>
          <w:tcPr>
            <w:tcW w:type="dxa" w:w="3312"/>
            <w:vAlign w:val="top"/>
          </w:tcPr>
          <w:p>
            <w:r>
              <w:t>Expanded same-scale/down-scale/up-scale framework; ready for external review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Public preprint / DOI</w:t>
            </w:r>
          </w:p>
        </w:tc>
        <w:tc>
          <w:tcPr>
            <w:tcW w:type="dxa" w:w="3312"/>
            <w:vAlign w:val="top"/>
          </w:tcPr>
          <w:p>
            <w:r>
              <w:t>Pending</w:t>
            </w:r>
          </w:p>
        </w:tc>
        <w:tc>
          <w:tcPr>
            <w:tcW w:type="dxa" w:w="3312"/>
            <w:vAlign w:val="top"/>
          </w:tcPr>
          <w:p>
            <w:r>
              <w:t>Zenodo / OSF first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Physical prototype</w:t>
            </w:r>
          </w:p>
        </w:tc>
        <w:tc>
          <w:tcPr>
            <w:tcW w:type="dxa" w:w="3312"/>
            <w:vAlign w:val="top"/>
          </w:tcPr>
          <w:p>
            <w:r>
              <w:t>Pending</w:t>
            </w:r>
          </w:p>
        </w:tc>
        <w:tc>
          <w:tcPr>
            <w:tcW w:type="dxa" w:w="3312"/>
            <w:vAlign w:val="top"/>
          </w:tcPr>
          <w:p>
            <w:r>
              <w:t>After design review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Commissioning</w:t>
            </w:r>
          </w:p>
        </w:tc>
        <w:tc>
          <w:tcPr>
            <w:tcW w:type="dxa" w:w="3312"/>
            <w:vAlign w:val="top"/>
          </w:tcPr>
          <w:p>
            <w:r>
              <w:t>Pending</w:t>
            </w:r>
          </w:p>
        </w:tc>
        <w:tc>
          <w:tcPr>
            <w:tcW w:type="dxa" w:w="3312"/>
            <w:vAlign w:val="top"/>
          </w:tcPr>
          <w:p>
            <w:r>
              <w:t>Acceptance gates before search experiment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Search experiment</w:t>
            </w:r>
          </w:p>
        </w:tc>
        <w:tc>
          <w:tcPr>
            <w:tcW w:type="dxa" w:w="3312"/>
            <w:vAlign w:val="top"/>
          </w:tcPr>
          <w:p>
            <w:r>
              <w:t>Pending</w:t>
            </w:r>
          </w:p>
        </w:tc>
        <w:tc>
          <w:tcPr>
            <w:tcW w:type="dxa" w:w="3312"/>
            <w:vAlign w:val="top"/>
          </w:tcPr>
          <w:p>
            <w:r>
              <w:t>Only after validated baseline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Results paper</w:t>
            </w:r>
          </w:p>
        </w:tc>
        <w:tc>
          <w:tcPr>
            <w:tcW w:type="dxa" w:w="3312"/>
            <w:vAlign w:val="top"/>
          </w:tcPr>
          <w:p>
            <w:r>
              <w:t>Pending</w:t>
            </w:r>
          </w:p>
        </w:tc>
        <w:tc>
          <w:tcPr>
            <w:tcW w:type="dxa" w:w="3312"/>
            <w:vAlign w:val="top"/>
          </w:tcPr>
          <w:p>
            <w:r>
              <w:t>Based on real data</w:t>
            </w:r>
          </w:p>
        </w:tc>
      </w:tr>
    </w:tbl>
    <w:p>
      <w:pPr>
        <w:spacing w:after="160"/>
      </w:pPr>
      <w:r>
        <w:rPr>
          <w:b/>
        </w:rPr>
        <w:t>Scope boundary added in v1.1: the up-scale SETI concept belongs to Product A. It does not reopen the Phase-1 microscopic engineering scope. Any future distributed up-scale sensor/probe architecture is deferred until after Concept Paper 1.0 review and publication planning.</w:t>
      </w:r>
    </w:p>
    <w:p>
      <w:pPr>
        <w:pStyle w:val="Heading1"/>
      </w:pPr>
      <w:r>
        <w:t>4. Remaining Work Before External Review</w:t>
      </w:r>
    </w:p>
    <w:p>
      <w:r>
        <w:t>Complete only the engineering items necessary for a competent external reviewer to evaluate reproducibility and failure modes.</w:t>
      </w:r>
    </w:p>
    <w:p>
      <w:pPr>
        <w:pStyle w:val="ListBullet"/>
      </w:pPr>
      <w:r>
        <w:t>dimensioned receiver-cell / flow-cell drawing</w:t>
      </w:r>
    </w:p>
    <w:p>
      <w:pPr>
        <w:pStyle w:val="ListBullet"/>
      </w:pPr>
      <w:r>
        <w:t>complete electrical schematic with component values</w:t>
      </w:r>
    </w:p>
    <w:p>
      <w:pPr>
        <w:pStyle w:val="ListBullet"/>
      </w:pPr>
      <w:r>
        <w:t>grounding, shielding, and isolation schematic</w:t>
      </w:r>
    </w:p>
    <w:p>
      <w:pPr>
        <w:pStyle w:val="ListBullet"/>
      </w:pPr>
      <w:r>
        <w:t>fluidic assembly drawing</w:t>
      </w:r>
    </w:p>
    <w:p>
      <w:pPr>
        <w:pStyle w:val="ListBullet"/>
      </w:pPr>
      <w:r>
        <w:t>connector and pin schedule</w:t>
      </w:r>
    </w:p>
    <w:p>
      <w:pPr>
        <w:pStyle w:val="ListBullet"/>
      </w:pPr>
      <w:r>
        <w:t>final procurement BOM with quantities, alternates, and performance requirements</w:t>
      </w:r>
    </w:p>
    <w:p>
      <w:pPr>
        <w:pStyle w:val="ListBullet"/>
      </w:pPr>
      <w:r>
        <w:t>physical cable-routing and zone-boundary drawing</w:t>
      </w:r>
    </w:p>
    <w:p>
      <w:pPr>
        <w:pStyle w:val="ListBullet"/>
      </w:pPr>
      <w:r>
        <w:t>bench assembly procedure</w:t>
      </w:r>
    </w:p>
    <w:p>
      <w:pPr>
        <w:pStyle w:val="ListBullet"/>
      </w:pPr>
      <w:r>
        <w:t>bench bring-up sequence</w:t>
      </w:r>
    </w:p>
    <w:p>
      <w:pPr>
        <w:pStyle w:val="ListBullet"/>
      </w:pPr>
      <w:r>
        <w:t>troubleshooting matrix</w:t>
      </w:r>
    </w:p>
    <w:p>
      <w:pPr>
        <w:pStyle w:val="ListBullet"/>
      </w:pPr>
      <w:r>
        <w:t>acceptance-test procedure and forms</w:t>
      </w:r>
    </w:p>
    <w:p>
      <w:pPr>
        <w:pStyle w:val="ListBullet"/>
      </w:pPr>
      <w:r>
        <w:t>list of unresolved engineering assumptions</w:t>
      </w:r>
    </w:p>
    <w:p>
      <w:pPr>
        <w:pStyle w:val="Heading1"/>
      </w:pPr>
      <w:r>
        <w:t>5. External Technical Review Plan</w:t>
      </w:r>
    </w:p>
    <w:p>
      <w:r>
        <w:t>The goal of external review is criticism, not endorsement. Seek 5-10 contacts across molecular communication, microfluidics, nanosensors, experimental physics, instrumentation, statistics/information theory, quantum measurement, and SETI/technosignatures.</w:t>
      </w:r>
    </w:p>
    <w:p>
      <w:r>
        <w:t>Core reviewer questions:</w:t>
      </w:r>
    </w:p>
    <w:p>
      <w:pPr/>
      <w:r>
        <w:t>1. Is there a known conventional physical pathway that invalidates the isolation logic?</w:t>
      </w:r>
    </w:p>
    <w:p>
      <w:pPr/>
      <w:r>
        <w:t>2. Are the positive, negative, sham, delayed, replay, clock, and network controls sufficient?</w:t>
      </w:r>
    </w:p>
    <w:p>
      <w:pPr/>
      <w:r>
        <w:t>3. Are the statistical thresholds and multiple-testing controls defensible?</w:t>
      </w:r>
    </w:p>
    <w:p>
      <w:pPr/>
      <w:r>
        <w:t>4. Is important prior work missing?</w:t>
      </w:r>
    </w:p>
    <w:p>
      <w:pPr/>
      <w:r>
        <w:t>5. Does existing literature make the proposal non-novel?</w:t>
      </w:r>
    </w:p>
    <w:p>
      <w:pPr/>
      <w:r>
        <w:t>6. Could another lab reproduce Phase 1 from the package?</w:t>
      </w:r>
    </w:p>
    <w:p>
      <w:pPr/>
      <w:r>
        <w:t>7. Which assumptions require direct measurement before confirmatory work?</w:t>
      </w:r>
    </w:p>
    <w:p>
      <w:pPr/>
      <w:r>
        <w:t>8. What result would justify escalation?</w:t>
      </w:r>
    </w:p>
    <w:p>
      <w:r>
        <w:t>Review disposition categories:</w:t>
      </w:r>
    </w:p>
    <w:p>
      <w:pPr>
        <w:pStyle w:val="ListBullet"/>
      </w:pPr>
      <w:r>
        <w:t>Critical - must be resolved before release</w:t>
      </w:r>
    </w:p>
    <w:p>
      <w:pPr>
        <w:pStyle w:val="ListBullet"/>
      </w:pPr>
      <w:r>
        <w:t>Major - normally resolved before release</w:t>
      </w:r>
    </w:p>
    <w:p>
      <w:pPr>
        <w:pStyle w:val="ListBullet"/>
      </w:pPr>
      <w:r>
        <w:t>Minor - clarity or non-critical implementation improvement</w:t>
      </w:r>
    </w:p>
    <w:p>
      <w:pPr>
        <w:pStyle w:val="ListBullet"/>
      </w:pPr>
      <w:r>
        <w:t>Deferred - valid but outside current scope</w:t>
      </w:r>
    </w:p>
    <w:p>
      <w:pPr>
        <w:pStyle w:val="ListBullet"/>
      </w:pPr>
      <w:r>
        <w:t>Rejected with rationale - reviewed but not adopted</w:t>
      </w:r>
    </w:p>
    <w:p>
      <w:pPr>
        <w:pStyle w:val="Heading1"/>
      </w:pPr>
      <w:r>
        <w:t>6. Publication Plan</w:t>
      </w:r>
    </w:p>
    <w:p>
      <w:pPr>
        <w:pStyle w:val="Heading2"/>
      </w:pPr>
      <w:r>
        <w:t>Stage 1 - Candidate Release</w:t>
      </w:r>
    </w:p>
    <w:p>
      <w:r>
        <w:t>Use the completed Concept Paper Candidate 1.0 as the publication-review baseline; do not expand it except to answer scientific/reviewer gaps.</w:t>
      </w:r>
    </w:p>
    <w:p>
      <w:pPr>
        <w:pStyle w:val="Heading2"/>
      </w:pPr>
      <w:r>
        <w:t>Stage 2 - Public Preprint and Research Record</w:t>
      </w:r>
    </w:p>
    <w:p>
      <w:r>
        <w:t>After feedback, publish Concept Paper 1.0 on a DOI-bearing repository such as Zenodo; create an OSF project for protocols, preregistration, data, code, and updates; archive the design package and release hashes.</w:t>
      </w:r>
    </w:p>
    <w:p>
      <w:pPr>
        <w:pStyle w:val="Heading2"/>
      </w:pPr>
      <w:r>
        <w:t>Stage 3 - arXiv / scholarly distribution</w:t>
      </w:r>
    </w:p>
    <w:p>
      <w:r>
        <w:t>Attempt an appropriate arXiv submission once mature and category/endorsement requirements are addressed.</w:t>
      </w:r>
    </w:p>
    <w:p>
      <w:pPr>
        <w:pStyle w:val="Heading2"/>
      </w:pPr>
      <w:r>
        <w:t>Stage 4 - Journal or conference submission</w:t>
      </w:r>
    </w:p>
    <w:p>
      <w:r>
        <w:t>Choose the venue after review; the concept paper and later experimental-results paper may require different venues.</w:t>
      </w:r>
    </w:p>
    <w:p>
      <w:pPr>
        <w:pStyle w:val="Heading1"/>
      </w:pPr>
      <w:r>
        <w:t>7. Build and Experiment Plan</w:t>
      </w:r>
    </w:p>
    <w:p>
      <w:pPr>
        <w:pStyle w:val="Heading2"/>
      </w:pPr>
      <w:r>
        <w:t>Phase 1A - Known-Physics Commissioning</w:t>
      </w:r>
    </w:p>
    <w:p>
      <w:r>
        <w:t>Prove the challenge generation, microscopic communication, isolation, blinded analysis, telemetry, controls, scoring, and 100-trial commissioning pipeline. No claim about another scale is tested.</w:t>
      </w:r>
    </w:p>
    <w:p>
      <w:pPr>
        <w:pStyle w:val="Heading2"/>
      </w:pPr>
      <w:r>
        <w:t>Phase 1B - Stronger Isolation / Alternative Microscopic Interface</w:t>
      </w:r>
    </w:p>
    <w:p>
      <w:r>
        <w:t>Only after Phase 1A passes. Change one physical layer at a time while keeping the protocol fixed.</w:t>
      </w:r>
    </w:p>
    <w:p>
      <w:pPr>
        <w:pStyle w:val="Heading2"/>
      </w:pPr>
      <w:r>
        <w:t>Phase 2 - Search Experiment</w:t>
      </w:r>
    </w:p>
    <w:p>
      <w:r>
        <w:t>Only after commissioning and external review. Remove or block the known information path while retaining blinded challenge/receiver infrastructure. Reproducible challenge-linked information dependence is the target.</w:t>
      </w:r>
    </w:p>
    <w:p>
      <w:pPr>
        <w:pStyle w:val="Heading2"/>
      </w:pPr>
      <w:r>
        <w:t>Phase 3 - Independent Replication</w:t>
      </w:r>
    </w:p>
    <w:p>
      <w:r>
        <w:t>Any serious candidate must be reproduced by independent laboratories with fresh challenges and independent implementations.</w:t>
      </w:r>
    </w:p>
    <w:p>
      <w:pPr>
        <w:pStyle w:val="Heading1"/>
      </w:pPr>
      <w:r>
        <w:t>8. Scope-Control Rules</w:t>
      </w:r>
    </w:p>
    <w:p>
      <w:pPr/>
      <w:r>
        <w:t>1. Which product does the item belong to?</w:t>
      </w:r>
    </w:p>
    <w:p>
      <w:pPr/>
      <w:r>
        <w:t>2. Which defined gap does it close?</w:t>
      </w:r>
    </w:p>
    <w:p>
      <w:pPr/>
      <w:r>
        <w:t>3. Is it required before the next project gate?</w:t>
      </w:r>
    </w:p>
    <w:p>
      <w:pPr/>
      <w:r>
        <w:t>4. Could it be deferred without weakening the deliverable?</w:t>
      </w:r>
    </w:p>
    <w:p>
      <w:pPr/>
      <w:r>
        <w:t>5. Does it introduce a new unvalidated assumption or testing burden?</w:t>
      </w:r>
    </w:p>
    <w:p>
      <w:pPr>
        <w:jc w:val="center"/>
      </w:pPr>
      <w:r>
        <w:rPr>
          <w:b/>
        </w:rPr>
        <w:t>No feature is added to Phase-1 Design Package 1.0 unless it is necessary to reproduce, validate, isolate, analyze, or safely operate the defined Phase-1 experiment.</w:t>
      </w:r>
    </w:p>
    <w:p>
      <w:pPr>
        <w:pStyle w:val="Heading1"/>
      </w:pPr>
      <w:r>
        <w:t>9. Change-Control Process</w:t>
      </w:r>
    </w:p>
    <w:p>
      <w:r>
        <w:t>After Candidate 1.0, substantive changes receive an identifier in the form SETI-CR-YYYY-NNN. Each request records the requested change, reason, artifact affected, risk if omitted, new assumptions, verification required, disposition, approver, and date.</w:t>
      </w:r>
    </w:p>
    <w:p>
      <w:pPr>
        <w:pStyle w:val="Heading1"/>
      </w:pPr>
      <w:r>
        <w:t>10. Immediate Next Actions</w:t>
      </w:r>
    </w:p>
    <w:p>
      <w:pPr/>
      <w:r>
        <w:t>1. Complete remaining fabrication/build closure items.</w:t>
      </w:r>
    </w:p>
    <w:p>
      <w:pPr/>
      <w:r>
        <w:t>2. Produce Phase-1 Technical Design Package Candidate 1.0.</w:t>
      </w:r>
    </w:p>
    <w:p>
      <w:pPr/>
      <w:r>
        <w:t>3. Use the completed Concept Paper Candidate 1.0 as the publication-review baseline; do not expand it except to answer scientific/reviewer gaps.</w:t>
      </w:r>
    </w:p>
    <w:p>
      <w:pPr/>
      <w:r>
        <w:t>4. Build an external-review packet with both candidate documents and a one-page reviewer guide.</w:t>
      </w:r>
    </w:p>
    <w:p>
      <w:pPr/>
      <w:r>
        <w:t>5. Send to targeted reviewers and log feedback.</w:t>
      </w:r>
    </w:p>
    <w:p>
      <w:pPr/>
      <w:r>
        <w:t>6. Resolve Critical and Major findings.</w:t>
      </w:r>
    </w:p>
    <w:p>
      <w:pPr/>
      <w:r>
        <w:t>7. Freeze Concept Paper 1.0 and Design Package 1.0.</w:t>
      </w:r>
    </w:p>
    <w:p>
      <w:pPr/>
      <w:r>
        <w:t>8. Publish the concept/preprint and repository record.</w:t>
      </w:r>
    </w:p>
    <w:p>
      <w:pPr/>
      <w:r>
        <w:t>9. Only then authorize significant Phase-1 hardware procurement and physical build.</w:t>
      </w:r>
    </w:p>
    <w:p>
      <w:pPr>
        <w:pStyle w:val="Heading1"/>
      </w:pPr>
      <w:r>
        <w:t>11. Definition of Project Success</w:t>
      </w:r>
    </w:p>
    <w:p>
      <w:pPr>
        <w:pStyle w:val="ListBullet"/>
      </w:pPr>
      <w:r>
        <w:t>a clearly defined and falsifiable search concept</w:t>
      </w:r>
    </w:p>
    <w:p>
      <w:pPr>
        <w:pStyle w:val="ListBullet"/>
      </w:pPr>
      <w:r>
        <w:t>a reproducible experimental methodology</w:t>
      </w:r>
    </w:p>
    <w:p>
      <w:pPr>
        <w:pStyle w:val="ListBullet"/>
      </w:pPr>
      <w:r>
        <w:t>a high-quality null result or reproducible anomaly</w:t>
      </w:r>
    </w:p>
    <w:p>
      <w:pPr>
        <w:pStyle w:val="ListBullet"/>
      </w:pPr>
      <w:r>
        <w:t>public data, protocols, and code sufficient for independent scrutiny</w:t>
      </w:r>
    </w:p>
    <w:p>
      <w:pPr>
        <w:pStyle w:val="ListBullet"/>
      </w:pPr>
      <w:r>
        <w:t>a clear scientific record separating observation from interpretation</w:t>
      </w:r>
    </w:p>
    <w:p>
      <w:r>
        <w:t>The project should never define success as obtaining a preferred outcome.</w:t>
      </w:r>
    </w:p>
    <w:p>
      <w:pPr>
        <w:pStyle w:val="Heading1"/>
      </w:pPr>
      <w:r>
        <w:t>12. Final Stop Rule</w:t>
      </w:r>
    </w:p>
    <w:p>
      <w:pPr>
        <w:jc w:val="center"/>
      </w:pPr>
      <w:r>
        <w:rPr>
          <w:b/>
          <w:color w:val="1F4E79"/>
          <w:sz w:val="28"/>
        </w:rPr>
        <w:t>At that point, we stop expanding documents and start testing the experiment.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Scale-SETI Project Roadmap | Version 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Scale-SETI Project Roadmap and Scope Control v1.1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