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Бенчмарк: Qwen 35B MoE — 40 вопросов ЦГЦУ</w:t>
      </w:r>
    </w:p>
    <w:p>
      <w:r>
        <w:rPr>
          <w:b/>
        </w:rPr>
        <w:t xml:space="preserve">Модель: </w:t>
      </w:r>
      <w:r>
        <w:t>qwen3.6-35b-a3b (active ~3B, MoE), контекст 64K</w:t>
      </w:r>
    </w:p>
    <w:p>
      <w:r>
        <w:rPr>
          <w:b/>
        </w:rPr>
        <w:t xml:space="preserve">Инструменты: </w:t>
      </w:r>
      <w:r>
        <w:t>describe, query, search_knowledge, current_datetime (живой MCP)</w:t>
      </w:r>
    </w:p>
    <w:p>
      <w:r>
        <w:rPr>
          <w:b/>
        </w:rPr>
        <w:t xml:space="preserve">Системный промпт: </w:t>
      </w:r>
      <w:r>
        <w:t>боевой пресет «ЦГЦУ Ассистент 35Б MoE» (1496 симв.)</w:t>
      </w:r>
    </w:p>
    <w:p>
      <w:r>
        <w:rPr>
          <w:b/>
        </w:rPr>
        <w:t xml:space="preserve">Лимит: </w:t>
      </w:r>
      <w:r>
        <w:t>10 ходов на вопрос; все числа сверены с БД</w:t>
      </w:r>
    </w:p>
    <w:p>
      <w:pPr>
        <w:pStyle w:val="Heading1"/>
      </w:pPr>
      <w:r>
        <w:t>Сводка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Реальных ответов</w:t>
            </w:r>
          </w:p>
        </w:tc>
        <w:tc>
          <w:tcPr>
            <w:tcW w:type="dxa" w:w="4320"/>
          </w:tcPr>
          <w:p>
            <w:r>
              <w:t>18 / 40</w:t>
            </w:r>
          </w:p>
        </w:tc>
      </w:tr>
      <w:tr>
        <w:tc>
          <w:tcPr>
            <w:tcW w:type="dxa" w:w="4320"/>
          </w:tcPr>
          <w:p>
            <w:r>
              <w:t>Упёрся в лимит ходов (cap)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Сред. число вызовов</w:t>
            </w:r>
          </w:p>
        </w:tc>
        <w:tc>
          <w:tcPr>
            <w:tcW w:type="dxa" w:w="4320"/>
          </w:tcPr>
          <w:p>
            <w:r>
              <w:t>8.1</w:t>
            </w:r>
          </w:p>
        </w:tc>
      </w:tr>
      <w:tr>
        <w:tc>
          <w:tcPr>
            <w:tcW w:type="dxa" w:w="4320"/>
          </w:tcPr>
          <w:p>
            <w:r>
              <w:t>Общее число вызовов</w:t>
            </w:r>
          </w:p>
        </w:tc>
        <w:tc>
          <w:tcPr>
            <w:tcW w:type="dxa" w:w="4320"/>
          </w:tcPr>
          <w:p>
            <w:r>
              <w:t>324</w:t>
            </w:r>
          </w:p>
        </w:tc>
      </w:tr>
      <w:tr>
        <w:tc>
          <w:tcPr>
            <w:tcW w:type="dxa" w:w="4320"/>
          </w:tcPr>
          <w:p>
            <w:r>
              <w:t>Сред. время на вопрос</w:t>
            </w:r>
          </w:p>
        </w:tc>
        <w:tc>
          <w:tcPr>
            <w:tcW w:type="dxa" w:w="4320"/>
          </w:tcPr>
          <w:p>
            <w:r>
              <w:t>15.0 с</w:t>
            </w:r>
          </w:p>
        </w:tc>
      </w:tr>
      <w:tr>
        <w:tc>
          <w:tcPr>
            <w:tcW w:type="dxa" w:w="4320"/>
          </w:tcPr>
          <w:p>
            <w:r>
              <w:t>Общее время (40 вопросов)</w:t>
            </w:r>
          </w:p>
        </w:tc>
        <w:tc>
          <w:tcPr>
            <w:tcW w:type="dxa" w:w="4320"/>
          </w:tcPr>
          <w:p>
            <w:r>
              <w:t>601,7 с (10,0 мин)</w:t>
            </w:r>
          </w:p>
        </w:tc>
      </w:tr>
      <w:tr>
        <w:tc>
          <w:tcPr>
            <w:tcW w:type="dxa" w:w="4320"/>
          </w:tcPr>
          <w:p>
            <w:r>
              <w:t>Сред. латентность на вызов</w:t>
            </w:r>
          </w:p>
        </w:tc>
        <w:tc>
          <w:tcPr>
            <w:tcW w:type="dxa" w:w="4320"/>
          </w:tcPr>
          <w:p>
            <w:r>
              <w:t>1.86 с</w:t>
            </w:r>
          </w:p>
        </w:tc>
      </w:tr>
      <w:tr>
        <w:tc>
          <w:tcPr>
            <w:tcW w:type="dxa" w:w="4320"/>
          </w:tcPr>
          <w:p>
            <w:r>
              <w:t>Фактическая точность</w:t>
            </w:r>
          </w:p>
        </w:tc>
        <w:tc>
          <w:tcPr>
            <w:tcW w:type="dxa" w:w="4320"/>
          </w:tcPr>
          <w:p>
            <w:r>
              <w:t>18/18 верно — все отвеченные точны</w:t>
            </w:r>
          </w:p>
        </w:tc>
      </w:tr>
      <w:tr>
        <w:tc>
          <w:tcPr>
            <w:tcW w:type="dxa" w:w="4320"/>
          </w:tcPr>
          <w:p>
            <w:r>
              <w:t>Средний балл (все 40)</w:t>
            </w:r>
          </w:p>
        </w:tc>
        <w:tc>
          <w:tcPr>
            <w:tcW w:type="dxa" w:w="4320"/>
          </w:tcPr>
          <w:p>
            <w:r>
              <w:t>5,5 / 10</w:t>
            </w:r>
          </w:p>
        </w:tc>
      </w:tr>
      <w:tr>
        <w:tc>
          <w:tcPr>
            <w:tcW w:type="dxa" w:w="4320"/>
          </w:tcPr>
          <w:p>
            <w:r>
              <w:t>Средний балл (только ANS)</w:t>
            </w:r>
          </w:p>
        </w:tc>
        <w:tc>
          <w:tcPr>
            <w:tcW w:type="dxa" w:w="4320"/>
          </w:tcPr>
          <w:p>
            <w:r>
              <w:t>9,6 / 10</w:t>
            </w:r>
          </w:p>
        </w:tc>
      </w:tr>
    </w:tbl>
    <w:p>
      <w:pPr>
        <w:pStyle w:val="Heading1"/>
      </w:pPr>
      <w:r>
        <w:t>Таблица по вопросам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Гр.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Вопрос (кратко)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Выз.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Ответ / результат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Балл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Тенденция доли отправок в срок, апрель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16,0с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зациклился на date-range, indicator неоднозначен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Погрузка ежесуточно + по классам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26,6с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перебор имён, повторные SELECT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Сдача поездов Забайкальск широкая колея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17,3с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нет per-station данных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Доля ДВ портов от экспорта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24,9с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indicator_number не найден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Травматизм 30.04.2026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24,2с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сокр. имя indicator не угадано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Грузооборот апрель, динамика и тренд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28,3с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Таблица по датам, тренд, откл. план/год — верно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Начисленная vs взысканная выручка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26,4с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fishing по именам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Участковая скорость за апрель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16,5с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зациклился на выборке по датам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Средний вес поезда за апрель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16,5с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зациклился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Отказы техсредств 1/2/3 кат., 15.03.2022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10,8с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перебор по категориям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Погрузка 01-05 апреля, факт + откл.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35,4с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Таблица сутки x показатель, верные числа, зоны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Отказы/нарушения — лучшие/худшие подразд.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15,8с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нет по подразделениям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Комментарий «Погрузка общая» 30.04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10,2с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3155,5 тыс. т, -1,4% план, +1,9% к году — дословно верно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Управленч. решения по доле в срок 30.04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11,3с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Приказ ЦУП № 2499/2 от 30.04, конкретные пункты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Красная зона раздел «Срок доставки» 30.04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12,1с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Таблица показателей раздела II, zone=2 — верно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Задержанных отправок с нарушением срока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12,0с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нет отдельного indicator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Филиалы с макс. задержками апрель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15,2с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нет per-филиал данных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 причины задержек по ответственности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17,9с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разбивка по кодам есть, но cap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Отставленные поезда Забайкальск апрель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12,2с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нет per-station в схеме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Задержки «нет локомотива перевозчика»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11,8с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per-причина данных нет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Задержки Южно-Уральская дорога апрель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11,7с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нет per-road задержек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Выполнение расписания грузовых 15.04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6,1с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61,54% верно, +22,91 п.п. к плану, жёлтая зона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Отставлено поездов 09.04 по коду 21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13,2с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per-код данных нет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Задержано поездов 23.04 по ответств. подр.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16,6с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зациклился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Фактов опоздания с начала апреля (накопит.)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17,0с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зациклился на month_fact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Персонал на рабочих местах 01.04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6,7с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548,38 тыс. чел. — верно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Персонал 01.04 vs 17.04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14,9с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548,38 -&gt; 543,55, -4,83 (-0,88%) — верно, таблица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Персонал Красноярский РЦКУ 01.04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22,8с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нет per-РЦКУ данных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Персонал Центрального подчинения 01.04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20,0с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нет per-подчинение данных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Отсутствующий персонал 01.04, причины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18,4с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120,81 тыс. верно, структура: отпуск/больн./командир.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На больничном 01.04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9,0с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23,19 тыс. чел. — верно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В отпуске 01.04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5,9с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53,96 тыс. чел. — верно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Укомплектованность штата 01.04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12,1с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100,56%, зелёная зона, +0,56 п.п. — верно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В командировке 01.04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7,3с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13,33 тыс. чел. (13 330), ответств. ЦКАДР — верно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Списочная численность 01.04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7,0с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670,65 тыс. чел. + рабочие места 548,38 — верно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Что означает ЦФТО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3,6с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«Центр фирменного транспортного обслуживания», 1 вызов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Подразделения Аппарата управления РЖД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33,8с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Нет ответа — 19 вызовов KB, hit max, cap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Факторы влияния на долю отправок в срок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5,7с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 групп факторов из справочника, 1 вызов — верно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ПТЭ об обязанностях работников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4,2с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Разделы ПТЭ процитированы, п. 5-7 — верно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Красная зона 01.03.2022 vs 30.04.2026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4,3с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88 vs 47, снижение -41 (-46,6%) — верно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10/10</w:t>
            </w:r>
          </w:p>
        </w:tc>
      </w:tr>
    </w:tbl>
    <w:p/>
    <w:p>
      <w:r>
        <w:rPr>
          <w:b/>
        </w:rPr>
        <w:t>Средний балл: 5,5 / 10</w:t>
      </w:r>
      <w:r>
        <w:t xml:space="preserve">  |  По отвеченным (18): 9,6/10  |  По cap-hit (22): 1,7/10</w:t>
      </w:r>
    </w:p>
    <w:p>
      <w:pPr>
        <w:pStyle w:val="Heading1"/>
      </w:pPr>
      <w:r>
        <w:t>Оценка по группам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Ответов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Итог</w:t>
            </w:r>
          </w:p>
        </w:tc>
      </w:tr>
      <w:tr>
        <w:tc>
          <w:tcPr>
            <w:tcW w:type="dxa" w:w="2160"/>
          </w:tcPr>
          <w:p>
            <w:r>
              <w:t>A (5)</w:t>
            </w:r>
          </w:p>
        </w:tc>
        <w:tc>
          <w:tcPr>
            <w:tcW w:type="dxa" w:w="2160"/>
          </w:tcPr>
          <w:p>
            <w:r>
              <w:t>Основные вопросы заказчика</w:t>
            </w:r>
          </w:p>
        </w:tc>
        <w:tc>
          <w:tcPr>
            <w:tcW w:type="dxa" w:w="2160"/>
          </w:tcPr>
          <w:p>
            <w:r>
              <w:t>0/5</w:t>
            </w:r>
          </w:p>
        </w:tc>
        <w:tc>
          <w:tcPr>
            <w:tcW w:type="dxa" w:w="2160"/>
          </w:tcPr>
          <w:p>
            <w:r>
              <w:t>Все cap — зацикливание или нет per-station данных</w:t>
            </w:r>
          </w:p>
        </w:tc>
      </w:tr>
      <w:tr>
        <w:tc>
          <w:tcPr>
            <w:tcW w:type="dxa" w:w="2160"/>
          </w:tcPr>
          <w:p>
            <w:r>
              <w:t>B (5)</w:t>
            </w:r>
          </w:p>
        </w:tc>
        <w:tc>
          <w:tcPr>
            <w:tcW w:type="dxa" w:w="2160"/>
          </w:tcPr>
          <w:p>
            <w:r>
              <w:t>Аналитические коллег</w:t>
            </w:r>
          </w:p>
        </w:tc>
        <w:tc>
          <w:tcPr>
            <w:tcW w:type="dxa" w:w="2160"/>
          </w:tcPr>
          <w:p>
            <w:r>
              <w:t>1/5</w:t>
            </w:r>
          </w:p>
        </w:tc>
        <w:tc>
          <w:tcPr>
            <w:tcW w:type="dxa" w:w="2160"/>
          </w:tcPr>
          <w:p>
            <w:r>
              <w:t>Только грузооборот (Q6) ответил</w:t>
            </w:r>
          </w:p>
        </w:tc>
      </w:tr>
      <w:tr>
        <w:tc>
          <w:tcPr>
            <w:tcW w:type="dxa" w:w="2160"/>
          </w:tcPr>
          <w:p>
            <w:r>
              <w:t>C (5)</w:t>
            </w:r>
          </w:p>
        </w:tc>
        <w:tc>
          <w:tcPr>
            <w:tcW w:type="dxa" w:w="2160"/>
          </w:tcPr>
          <w:p>
            <w:r>
              <w:t>Углублённая аналитика</w:t>
            </w:r>
          </w:p>
        </w:tc>
        <w:tc>
          <w:tcPr>
            <w:tcW w:type="dxa" w:w="2160"/>
          </w:tcPr>
          <w:p>
            <w:r>
              <w:t>4/5</w:t>
            </w:r>
          </w:p>
        </w:tc>
        <w:tc>
          <w:tcPr>
            <w:tcW w:type="dxa" w:w="2160"/>
          </w:tcPr>
          <w:p>
            <w:r>
              <w:t>Комментарии, решения, разделы — 9/10</w:t>
            </w:r>
          </w:p>
        </w:tc>
      </w:tr>
      <w:tr>
        <w:tc>
          <w:tcPr>
            <w:tcW w:type="dxa" w:w="2160"/>
          </w:tcPr>
          <w:p>
            <w:r>
              <w:t>D (10)</w:t>
            </w:r>
          </w:p>
        </w:tc>
        <w:tc>
          <w:tcPr>
            <w:tcW w:type="dxa" w:w="2160"/>
          </w:tcPr>
          <w:p>
            <w:r>
              <w:t>Срок доставки</w:t>
            </w:r>
          </w:p>
        </w:tc>
        <w:tc>
          <w:tcPr>
            <w:tcW w:type="dxa" w:w="2160"/>
          </w:tcPr>
          <w:p>
            <w:r>
              <w:t>1/10</w:t>
            </w:r>
          </w:p>
        </w:tc>
        <w:tc>
          <w:tcPr>
            <w:tcW w:type="dxa" w:w="2160"/>
          </w:tcPr>
          <w:p>
            <w:r>
              <w:t>Только расписание Q22; остальные — нет данных per-код/дорога</w:t>
            </w:r>
          </w:p>
        </w:tc>
      </w:tr>
      <w:tr>
        <w:tc>
          <w:tcPr>
            <w:tcW w:type="dxa" w:w="2160"/>
          </w:tcPr>
          <w:p>
            <w:r>
              <w:t>E (10)</w:t>
            </w:r>
          </w:p>
        </w:tc>
        <w:tc>
          <w:tcPr>
            <w:tcW w:type="dxa" w:w="2160"/>
          </w:tcPr>
          <w:p>
            <w:r>
              <w:t>Персонал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Сетевые показатели 10/10; нет per-РЦКУ/подчинение</w:t>
            </w:r>
          </w:p>
        </w:tc>
      </w:tr>
      <w:tr>
        <w:tc>
          <w:tcPr>
            <w:tcW w:type="dxa" w:w="2160"/>
          </w:tcPr>
          <w:p>
            <w:r>
              <w:t>F (5)</w:t>
            </w:r>
          </w:p>
        </w:tc>
        <w:tc>
          <w:tcPr>
            <w:tcW w:type="dxa" w:w="2160"/>
          </w:tcPr>
          <w:p>
            <w:r>
              <w:t>База знаний / структура</w:t>
            </w:r>
          </w:p>
        </w:tc>
        <w:tc>
          <w:tcPr>
            <w:tcW w:type="dxa" w:w="2160"/>
          </w:tcPr>
          <w:p>
            <w:r>
              <w:t>4/5</w:t>
            </w:r>
          </w:p>
        </w:tc>
        <w:tc>
          <w:tcPr>
            <w:tcW w:type="dxa" w:w="2160"/>
          </w:tcPr>
          <w:p>
            <w:r>
              <w:t>KB-вопросы блестяще; Аппарат управления cap на 19 вызовах</w:t>
            </w:r>
          </w:p>
        </w:tc>
      </w:tr>
    </w:tbl>
    <w:p>
      <w:pPr>
        <w:pStyle w:val="Heading1"/>
      </w:pPr>
      <w:r>
        <w:t>Вывод</w:t>
      </w:r>
    </w:p>
    <w:p>
      <w:r>
        <w:t>Что работает идеально. Персонал (сетевые показатели), база знаний, комментарии, управленческие решения — 10/10 на каждом. Модель точна: все 18 отвеченных вопросов проверены против БД — ни одной фактической ошибки. KB-инструмент работает безупречно: Q36/Q38/Q39 — 1 вызов, верный ответ, источник указан.</w:t>
      </w:r>
    </w:p>
    <w:p>
      <w:r>
        <w:t>Где модель валится — три причины:</w:t>
        <w:br/>
        <w:t>1. «Потолок» зацикливания (главная) — 15 из 22 провалов. Модель повторяет одинаковый SELECT 3–6 раз вместо вывода. Q37 — рекорд: 19 вызовов.</w:t>
        <w:br/>
        <w:t>2. Данных нет в схеме — 6 провалов (per-код, per-дорога, per-РЦКУ). Это пробелы источника, не ошибка модели.</w:t>
        <w:br/>
        <w:t>3. Сокращённые имена indicator — модель использует ILIKE по полному слову вместо триграммного поиска.</w:t>
      </w:r>
    </w:p>
    <w:p>
      <w:r>
        <w:t>Рекомендации:</w:t>
        <w:br/>
        <w:t>- Harness dup-query guard — обнаружить повтор идентичного SQL и принудительно запросить вывод. Поднимет ~5–8 вопросов.</w:t>
        <w:br/>
        <w:t>- Предупреждение в describe об неуникальности indicator_number.</w:t>
        <w:br/>
        <w:t>- Добавить данные per-РЦКУ / per-дорога задержки (если источник предоставит).</w:t>
      </w:r>
    </w:p>
    <w:p>
      <w:r>
        <w:rPr>
          <w:i/>
          <w:sz w:val="16"/>
        </w:rPr>
        <w:t>Сгенерировано 2026-06-06. Источник: прогон Qwen 35B MoE, 40 вопросов, 10 мин. Все числа сверены с Postgres.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