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72A7B" w14:textId="77777777" w:rsidR="007F1199" w:rsidRPr="00075B71" w:rsidRDefault="007F1199" w:rsidP="007F1199">
      <w:pPr>
        <w:widowControl w:val="0"/>
        <w:pBdr>
          <w:top w:val="nil"/>
          <w:left w:val="nil"/>
          <w:bottom w:val="nil"/>
          <w:right w:val="nil"/>
          <w:between w:val="nil"/>
        </w:pBdr>
        <w:spacing w:after="0" w:line="480" w:lineRule="auto"/>
        <w:jc w:val="both"/>
        <w:rPr>
          <w:rFonts w:ascii="Times New Roman" w:eastAsia="Times New Roman" w:hAnsi="Times New Roman" w:cs="Times New Roman"/>
          <w:b/>
          <w:lang w:val="en-GB"/>
        </w:rPr>
      </w:pPr>
      <w:r w:rsidRPr="00075B71">
        <w:rPr>
          <w:rFonts w:ascii="Times New Roman" w:eastAsia="Times New Roman" w:hAnsi="Times New Roman" w:cs="Times New Roman"/>
          <w:b/>
          <w:lang w:val="en-GB"/>
        </w:rPr>
        <w:t>A. Supplementary Tables</w:t>
      </w:r>
    </w:p>
    <w:p w14:paraId="7C657790" w14:textId="77777777" w:rsidR="007F1199" w:rsidRPr="00160F91" w:rsidRDefault="007F1199" w:rsidP="007F1199">
      <w:pPr>
        <w:widowControl w:val="0"/>
        <w:pBdr>
          <w:top w:val="nil"/>
          <w:left w:val="nil"/>
          <w:bottom w:val="nil"/>
          <w:right w:val="nil"/>
          <w:between w:val="nil"/>
        </w:pBdr>
        <w:spacing w:before="240" w:after="240" w:line="480" w:lineRule="auto"/>
        <w:jc w:val="both"/>
        <w:rPr>
          <w:rFonts w:ascii="Times New Roman" w:eastAsia="Times New Roman" w:hAnsi="Times New Roman" w:cs="Times New Roman"/>
          <w:lang w:val="en-GB"/>
        </w:rPr>
      </w:pPr>
      <w:r w:rsidRPr="00160F91">
        <w:rPr>
          <w:rFonts w:ascii="Times New Roman" w:eastAsia="Times New Roman" w:hAnsi="Times New Roman" w:cs="Times New Roman"/>
          <w:lang w:val="en-GB"/>
        </w:rPr>
        <w:t>Table A.1 Summary of the different features used in this study and where we retrieved them from.</w:t>
      </w:r>
    </w:p>
    <w:tbl>
      <w:tblPr>
        <w:tblW w:w="10343" w:type="dxa"/>
        <w:tblLook w:val="04A0" w:firstRow="1" w:lastRow="0" w:firstColumn="1" w:lastColumn="0" w:noHBand="0" w:noVBand="1"/>
      </w:tblPr>
      <w:tblGrid>
        <w:gridCol w:w="1980"/>
        <w:gridCol w:w="1828"/>
        <w:gridCol w:w="2566"/>
        <w:gridCol w:w="1701"/>
        <w:gridCol w:w="2268"/>
      </w:tblGrid>
      <w:tr w:rsidR="007F1199" w:rsidRPr="00877E75" w14:paraId="75075F9F" w14:textId="77777777" w:rsidTr="00600787">
        <w:trPr>
          <w:trHeight w:val="225"/>
        </w:trPr>
        <w:tc>
          <w:tcPr>
            <w:tcW w:w="1980" w:type="dxa"/>
            <w:tcBorders>
              <w:top w:val="single" w:sz="4" w:space="0" w:color="auto"/>
              <w:bottom w:val="single" w:sz="4" w:space="0" w:color="auto"/>
            </w:tcBorders>
            <w:shd w:val="clear" w:color="auto" w:fill="auto"/>
            <w:noWrap/>
            <w:vAlign w:val="center"/>
            <w:hideMark/>
          </w:tcPr>
          <w:p w14:paraId="5BA8C912" w14:textId="77777777" w:rsidR="007F1199" w:rsidRPr="007F1199" w:rsidRDefault="007F1199" w:rsidP="00600787">
            <w:pPr>
              <w:spacing w:after="0" w:line="240" w:lineRule="auto"/>
              <w:jc w:val="both"/>
              <w:rPr>
                <w:rFonts w:ascii="Times New Roman" w:eastAsia="Times New Roman" w:hAnsi="Times New Roman" w:cs="Times New Roman"/>
                <w:b/>
                <w:iCs/>
                <w:sz w:val="18"/>
                <w:szCs w:val="18"/>
                <w:lang w:val="en-GB"/>
              </w:rPr>
            </w:pPr>
            <w:r w:rsidRPr="007F1199">
              <w:rPr>
                <w:rFonts w:ascii="Times New Roman" w:eastAsia="Times New Roman" w:hAnsi="Times New Roman" w:cs="Times New Roman"/>
                <w:b/>
                <w:iCs/>
                <w:sz w:val="18"/>
                <w:szCs w:val="18"/>
                <w:lang w:val="en-GB"/>
              </w:rPr>
              <w:t>Type</w:t>
            </w:r>
          </w:p>
        </w:tc>
        <w:tc>
          <w:tcPr>
            <w:tcW w:w="1828" w:type="dxa"/>
            <w:tcBorders>
              <w:top w:val="single" w:sz="4" w:space="0" w:color="auto"/>
              <w:bottom w:val="single" w:sz="4" w:space="0" w:color="auto"/>
            </w:tcBorders>
            <w:shd w:val="clear" w:color="auto" w:fill="auto"/>
            <w:vAlign w:val="center"/>
            <w:hideMark/>
          </w:tcPr>
          <w:p w14:paraId="753697D2" w14:textId="77777777" w:rsidR="007F1199" w:rsidRPr="007F1199" w:rsidRDefault="007F1199" w:rsidP="00600787">
            <w:pPr>
              <w:spacing w:after="0" w:line="240" w:lineRule="auto"/>
              <w:jc w:val="both"/>
              <w:rPr>
                <w:rFonts w:ascii="Times New Roman" w:eastAsia="Times New Roman" w:hAnsi="Times New Roman" w:cs="Times New Roman"/>
                <w:b/>
                <w:iCs/>
                <w:sz w:val="18"/>
                <w:szCs w:val="18"/>
                <w:lang w:val="en-GB"/>
              </w:rPr>
            </w:pPr>
            <w:r w:rsidRPr="007F1199">
              <w:rPr>
                <w:rFonts w:ascii="Times New Roman" w:eastAsia="Times New Roman" w:hAnsi="Times New Roman" w:cs="Times New Roman"/>
                <w:b/>
                <w:iCs/>
                <w:sz w:val="18"/>
                <w:szCs w:val="18"/>
                <w:lang w:val="en-GB"/>
              </w:rPr>
              <w:t>Description</w:t>
            </w:r>
          </w:p>
        </w:tc>
        <w:tc>
          <w:tcPr>
            <w:tcW w:w="2566" w:type="dxa"/>
            <w:tcBorders>
              <w:top w:val="single" w:sz="4" w:space="0" w:color="auto"/>
              <w:bottom w:val="single" w:sz="4" w:space="0" w:color="auto"/>
            </w:tcBorders>
            <w:shd w:val="clear" w:color="auto" w:fill="auto"/>
            <w:vAlign w:val="center"/>
            <w:hideMark/>
          </w:tcPr>
          <w:p w14:paraId="4A6B3CCA" w14:textId="77777777" w:rsidR="007F1199" w:rsidRPr="007F1199" w:rsidRDefault="007F1199" w:rsidP="00600787">
            <w:pPr>
              <w:spacing w:after="0" w:line="240" w:lineRule="auto"/>
              <w:jc w:val="both"/>
              <w:rPr>
                <w:rFonts w:ascii="Times New Roman" w:eastAsia="Times New Roman" w:hAnsi="Times New Roman" w:cs="Times New Roman"/>
                <w:b/>
                <w:iCs/>
                <w:sz w:val="18"/>
                <w:szCs w:val="18"/>
                <w:lang w:val="en-GB"/>
              </w:rPr>
            </w:pPr>
            <w:r w:rsidRPr="007F1199">
              <w:rPr>
                <w:rFonts w:ascii="Times New Roman" w:eastAsia="Times New Roman" w:hAnsi="Times New Roman" w:cs="Times New Roman"/>
                <w:b/>
                <w:iCs/>
                <w:sz w:val="18"/>
                <w:szCs w:val="18"/>
                <w:lang w:val="en-GB"/>
              </w:rPr>
              <w:t>Variables</w:t>
            </w:r>
          </w:p>
        </w:tc>
        <w:tc>
          <w:tcPr>
            <w:tcW w:w="1701" w:type="dxa"/>
            <w:tcBorders>
              <w:top w:val="single" w:sz="4" w:space="0" w:color="auto"/>
              <w:bottom w:val="single" w:sz="4" w:space="0" w:color="auto"/>
            </w:tcBorders>
            <w:shd w:val="clear" w:color="auto" w:fill="auto"/>
            <w:vAlign w:val="center"/>
            <w:hideMark/>
          </w:tcPr>
          <w:p w14:paraId="0F07E1A2" w14:textId="77777777" w:rsidR="007F1199" w:rsidRPr="007F1199" w:rsidRDefault="007F1199" w:rsidP="00600787">
            <w:pPr>
              <w:spacing w:after="0" w:line="240" w:lineRule="auto"/>
              <w:jc w:val="both"/>
              <w:rPr>
                <w:rFonts w:ascii="Times New Roman" w:eastAsia="Times New Roman" w:hAnsi="Times New Roman" w:cs="Times New Roman"/>
                <w:b/>
                <w:iCs/>
                <w:sz w:val="18"/>
                <w:szCs w:val="18"/>
                <w:lang w:val="en-GB"/>
              </w:rPr>
            </w:pPr>
            <w:r w:rsidRPr="007F1199">
              <w:rPr>
                <w:rFonts w:ascii="Times New Roman" w:eastAsia="Times New Roman" w:hAnsi="Times New Roman" w:cs="Times New Roman"/>
                <w:b/>
                <w:iCs/>
                <w:sz w:val="18"/>
                <w:szCs w:val="18"/>
                <w:lang w:val="en-GB"/>
              </w:rPr>
              <w:t>Feature engineered</w:t>
            </w:r>
          </w:p>
        </w:tc>
        <w:tc>
          <w:tcPr>
            <w:tcW w:w="2268" w:type="dxa"/>
            <w:tcBorders>
              <w:top w:val="single" w:sz="4" w:space="0" w:color="auto"/>
              <w:bottom w:val="single" w:sz="4" w:space="0" w:color="auto"/>
            </w:tcBorders>
            <w:shd w:val="clear" w:color="auto" w:fill="auto"/>
            <w:noWrap/>
            <w:vAlign w:val="center"/>
            <w:hideMark/>
          </w:tcPr>
          <w:p w14:paraId="3C67CBEF" w14:textId="77777777" w:rsidR="007F1199" w:rsidRPr="007F1199" w:rsidRDefault="007F1199" w:rsidP="00600787">
            <w:pPr>
              <w:spacing w:after="0" w:line="240" w:lineRule="auto"/>
              <w:jc w:val="both"/>
              <w:rPr>
                <w:rFonts w:ascii="Times New Roman" w:eastAsia="Times New Roman" w:hAnsi="Times New Roman" w:cs="Times New Roman"/>
                <w:b/>
                <w:iCs/>
                <w:sz w:val="18"/>
                <w:szCs w:val="18"/>
                <w:lang w:val="en-GB"/>
              </w:rPr>
            </w:pPr>
            <w:r w:rsidRPr="007F1199">
              <w:rPr>
                <w:rFonts w:ascii="Times New Roman" w:eastAsia="Times New Roman" w:hAnsi="Times New Roman" w:cs="Times New Roman"/>
                <w:b/>
                <w:iCs/>
                <w:sz w:val="18"/>
                <w:szCs w:val="18"/>
                <w:lang w:val="en-GB"/>
              </w:rPr>
              <w:t>Source</w:t>
            </w:r>
          </w:p>
        </w:tc>
      </w:tr>
      <w:tr w:rsidR="007F1199" w:rsidRPr="00877E75" w14:paraId="0FDBE527" w14:textId="77777777" w:rsidTr="00600787">
        <w:trPr>
          <w:trHeight w:val="225"/>
        </w:trPr>
        <w:tc>
          <w:tcPr>
            <w:tcW w:w="1980" w:type="dxa"/>
            <w:vMerge w:val="restart"/>
            <w:tcBorders>
              <w:top w:val="single" w:sz="4" w:space="0" w:color="auto"/>
            </w:tcBorders>
            <w:shd w:val="clear" w:color="auto" w:fill="auto"/>
            <w:noWrap/>
            <w:vAlign w:val="center"/>
            <w:hideMark/>
          </w:tcPr>
          <w:p w14:paraId="36EC41C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roofErr w:type="spellStart"/>
            <w:r w:rsidRPr="00075B71">
              <w:rPr>
                <w:rFonts w:ascii="Times New Roman" w:eastAsia="Times New Roman" w:hAnsi="Times New Roman" w:cs="Times New Roman"/>
                <w:sz w:val="18"/>
                <w:szCs w:val="18"/>
                <w:lang w:val="en-GB"/>
              </w:rPr>
              <w:t>Livelihoodzone</w:t>
            </w:r>
            <w:proofErr w:type="spellEnd"/>
          </w:p>
        </w:tc>
        <w:tc>
          <w:tcPr>
            <w:tcW w:w="1828" w:type="dxa"/>
            <w:tcBorders>
              <w:top w:val="single" w:sz="4" w:space="0" w:color="auto"/>
            </w:tcBorders>
            <w:shd w:val="clear" w:color="auto" w:fill="auto"/>
            <w:vAlign w:val="center"/>
            <w:hideMark/>
          </w:tcPr>
          <w:p w14:paraId="20A39801"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Unique ID per </w:t>
            </w:r>
            <w:proofErr w:type="spellStart"/>
            <w:r w:rsidRPr="00075B71">
              <w:rPr>
                <w:rFonts w:ascii="Times New Roman" w:eastAsia="Times New Roman" w:hAnsi="Times New Roman" w:cs="Times New Roman"/>
                <w:b/>
                <w:sz w:val="18"/>
                <w:szCs w:val="18"/>
                <w:lang w:val="en-GB"/>
              </w:rPr>
              <w:t>livelihoodzone</w:t>
            </w:r>
            <w:proofErr w:type="spellEnd"/>
          </w:p>
        </w:tc>
        <w:tc>
          <w:tcPr>
            <w:tcW w:w="2566" w:type="dxa"/>
            <w:tcBorders>
              <w:top w:val="single" w:sz="4" w:space="0" w:color="auto"/>
            </w:tcBorders>
            <w:shd w:val="clear" w:color="auto" w:fill="auto"/>
            <w:vAlign w:val="center"/>
            <w:hideMark/>
          </w:tcPr>
          <w:p w14:paraId="3F0B20C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'LZCODE',</w:t>
            </w:r>
          </w:p>
        </w:tc>
        <w:tc>
          <w:tcPr>
            <w:tcW w:w="1701" w:type="dxa"/>
            <w:tcBorders>
              <w:top w:val="single" w:sz="4" w:space="0" w:color="auto"/>
            </w:tcBorders>
            <w:shd w:val="clear" w:color="auto" w:fill="auto"/>
            <w:noWrap/>
            <w:vAlign w:val="center"/>
            <w:hideMark/>
          </w:tcPr>
          <w:p w14:paraId="28F43D0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tcBorders>
              <w:top w:val="single" w:sz="4" w:space="0" w:color="auto"/>
            </w:tcBorders>
            <w:shd w:val="clear" w:color="auto" w:fill="auto"/>
            <w:noWrap/>
            <w:vAlign w:val="bottom"/>
            <w:hideMark/>
          </w:tcPr>
          <w:p w14:paraId="3CD699E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
                <w:bCs/>
                <w:sz w:val="18"/>
                <w:szCs w:val="18"/>
                <w:lang w:val="en-GB"/>
              </w:rPr>
              <w:fldChar w:fldCharType="begin" w:fldLock="1"/>
            </w:r>
            <w:r>
              <w:rPr>
                <w:rFonts w:ascii="Times New Roman" w:eastAsia="Times New Roman" w:hAnsi="Times New Roman" w:cs="Times New Roman"/>
                <w:b/>
                <w:bCs/>
                <w:sz w:val="18"/>
                <w:szCs w:val="18"/>
                <w:lang w:val="en-GB"/>
              </w:rPr>
              <w:instrText>ADDIN CSL_CITATION {"citationItems":[{"id":"ITEM-1","itemData":{"author":[{"dropping-particle":"","family":"Famine Early Warning Systems Network","given":"","non-dropping-particle":"","parse-names":false,"suffix":""}],"id":"ITEM-1","issued":{"date-parts":[["2011"]]},"title":"SPECIAL BRIEF FEWS NET adopts IPC version 2.0 Scale","type":"report"},"prefix":"FEWS NET,","suppress-author":1,"uris":["http://www.mendeley.com/documents/?uuid=12da4d73-98a6-4e5d-b178-b238da0846a1"]}],"mendeley":{"formattedCitation":"(FEWS NET, 2011)","plainTextFormattedCitation":"(FEWS NET, 2011)","previouslyFormattedCitation":"(FEWS NET, 2011)"},"properties":{"noteIndex":0},"schema":"https://github.com/citation-style-language/schema/raw/master/csl-citation.json"}</w:instrText>
            </w:r>
            <w:r w:rsidRPr="00075B71">
              <w:rPr>
                <w:rFonts w:ascii="Times New Roman" w:eastAsia="Times New Roman" w:hAnsi="Times New Roman" w:cs="Times New Roman"/>
                <w:b/>
                <w:bCs/>
                <w:sz w:val="18"/>
                <w:szCs w:val="18"/>
                <w:lang w:val="en-GB"/>
              </w:rPr>
              <w:fldChar w:fldCharType="separate"/>
            </w:r>
            <w:r w:rsidRPr="00227492">
              <w:rPr>
                <w:rFonts w:ascii="Times New Roman" w:eastAsia="Times New Roman" w:hAnsi="Times New Roman" w:cs="Times New Roman"/>
                <w:noProof/>
                <w:sz w:val="18"/>
                <w:szCs w:val="18"/>
                <w:lang w:val="en-GB"/>
              </w:rPr>
              <w:t>(FEWS NET, 2011)</w:t>
            </w:r>
            <w:r w:rsidRPr="00075B71">
              <w:rPr>
                <w:rFonts w:ascii="Times New Roman" w:eastAsia="Times New Roman" w:hAnsi="Times New Roman" w:cs="Times New Roman"/>
                <w:b/>
                <w:bCs/>
                <w:sz w:val="18"/>
                <w:szCs w:val="18"/>
                <w:lang w:val="en-GB"/>
              </w:rPr>
              <w:fldChar w:fldCharType="end"/>
            </w:r>
          </w:p>
        </w:tc>
      </w:tr>
      <w:tr w:rsidR="007F1199" w:rsidRPr="00877E75" w14:paraId="2BE7A1B3" w14:textId="77777777" w:rsidTr="00600787">
        <w:trPr>
          <w:trHeight w:val="900"/>
        </w:trPr>
        <w:tc>
          <w:tcPr>
            <w:tcW w:w="1980" w:type="dxa"/>
            <w:vMerge/>
            <w:vAlign w:val="center"/>
            <w:hideMark/>
          </w:tcPr>
          <w:p w14:paraId="01F2CAA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shd w:val="clear" w:color="auto" w:fill="auto"/>
            <w:vAlign w:val="center"/>
            <w:hideMark/>
          </w:tcPr>
          <w:p w14:paraId="5A555F6E"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Dummy variable which differentiates between urban (0) area, agropastoral (1), pastoral (2), cropping (3) and NZ (unknown region; 4).</w:t>
            </w:r>
          </w:p>
        </w:tc>
        <w:tc>
          <w:tcPr>
            <w:tcW w:w="2566" w:type="dxa"/>
            <w:shd w:val="clear" w:color="auto" w:fill="auto"/>
            <w:vAlign w:val="center"/>
            <w:hideMark/>
          </w:tcPr>
          <w:p w14:paraId="183AD4F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'LZTYPE',</w:t>
            </w:r>
          </w:p>
        </w:tc>
        <w:tc>
          <w:tcPr>
            <w:tcW w:w="1701" w:type="dxa"/>
            <w:shd w:val="clear" w:color="auto" w:fill="auto"/>
            <w:noWrap/>
            <w:vAlign w:val="center"/>
            <w:hideMark/>
          </w:tcPr>
          <w:p w14:paraId="24097FB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shd w:val="clear" w:color="auto" w:fill="auto"/>
            <w:noWrap/>
            <w:vAlign w:val="bottom"/>
            <w:hideMark/>
          </w:tcPr>
          <w:p w14:paraId="1B767EB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
                <w:bCs/>
                <w:sz w:val="18"/>
                <w:szCs w:val="18"/>
                <w:lang w:val="en-GB"/>
              </w:rPr>
              <w:fldChar w:fldCharType="begin" w:fldLock="1"/>
            </w:r>
            <w:r>
              <w:rPr>
                <w:rFonts w:ascii="Times New Roman" w:eastAsia="Times New Roman" w:hAnsi="Times New Roman" w:cs="Times New Roman"/>
                <w:b/>
                <w:bCs/>
                <w:sz w:val="18"/>
                <w:szCs w:val="18"/>
                <w:lang w:val="en-GB"/>
              </w:rPr>
              <w:instrText>ADDIN CSL_CITATION {"citationItems":[{"id":"ITEM-1","itemData":{"author":[{"dropping-particle":"","family":"Famine Early Warning Systems Network","given":"","non-dropping-particle":"","parse-names":false,"suffix":""}],"id":"ITEM-1","issued":{"date-parts":[["2011"]]},"title":"SPECIAL BRIEF FEWS NET adopts IPC version 2.0 Scale","type":"report"},"prefix":"FEWS NET,","suppress-author":1,"uris":["http://www.mendeley.com/documents/?uuid=12da4d73-98a6-4e5d-b178-b238da0846a1"]}],"mendeley":{"formattedCitation":"(FEWS NET, 2011)","plainTextFormattedCitation":"(FEWS NET, 2011)","previouslyFormattedCitation":"(FEWS NET, 2011)"},"properties":{"noteIndex":0},"schema":"https://github.com/citation-style-language/schema/raw/master/csl-citation.json"}</w:instrText>
            </w:r>
            <w:r w:rsidRPr="00075B71">
              <w:rPr>
                <w:rFonts w:ascii="Times New Roman" w:eastAsia="Times New Roman" w:hAnsi="Times New Roman" w:cs="Times New Roman"/>
                <w:b/>
                <w:bCs/>
                <w:sz w:val="18"/>
                <w:szCs w:val="18"/>
                <w:lang w:val="en-GB"/>
              </w:rPr>
              <w:fldChar w:fldCharType="separate"/>
            </w:r>
            <w:r w:rsidRPr="00227492">
              <w:rPr>
                <w:rFonts w:ascii="Times New Roman" w:eastAsia="Times New Roman" w:hAnsi="Times New Roman" w:cs="Times New Roman"/>
                <w:noProof/>
                <w:sz w:val="18"/>
                <w:szCs w:val="18"/>
                <w:lang w:val="en-GB"/>
              </w:rPr>
              <w:t>(FEWS NET, 2011)</w:t>
            </w:r>
            <w:r w:rsidRPr="00075B71">
              <w:rPr>
                <w:rFonts w:ascii="Times New Roman" w:eastAsia="Times New Roman" w:hAnsi="Times New Roman" w:cs="Times New Roman"/>
                <w:b/>
                <w:bCs/>
                <w:sz w:val="18"/>
                <w:szCs w:val="18"/>
                <w:lang w:val="en-GB"/>
              </w:rPr>
              <w:fldChar w:fldCharType="end"/>
            </w:r>
          </w:p>
        </w:tc>
      </w:tr>
      <w:tr w:rsidR="007F1199" w:rsidRPr="00877E75" w14:paraId="0A9FCAC3" w14:textId="77777777" w:rsidTr="00600787">
        <w:trPr>
          <w:trHeight w:val="225"/>
        </w:trPr>
        <w:tc>
          <w:tcPr>
            <w:tcW w:w="1980" w:type="dxa"/>
            <w:vMerge w:val="restart"/>
            <w:shd w:val="clear" w:color="auto" w:fill="auto"/>
            <w:vAlign w:val="center"/>
            <w:hideMark/>
          </w:tcPr>
          <w:p w14:paraId="70330F7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Soil moisture profile</w:t>
            </w:r>
          </w:p>
        </w:tc>
        <w:tc>
          <w:tcPr>
            <w:tcW w:w="1828" w:type="dxa"/>
            <w:vMerge w:val="restart"/>
            <w:shd w:val="clear" w:color="auto" w:fill="auto"/>
            <w:vAlign w:val="center"/>
            <w:hideMark/>
          </w:tcPr>
          <w:p w14:paraId="71E628D7"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Soil moisture profile in fraction</w:t>
            </w:r>
          </w:p>
        </w:tc>
        <w:tc>
          <w:tcPr>
            <w:tcW w:w="2566" w:type="dxa"/>
            <w:shd w:val="clear" w:color="auto" w:fill="auto"/>
            <w:vAlign w:val="center"/>
            <w:hideMark/>
          </w:tcPr>
          <w:p w14:paraId="25B9B8D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smp_mean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60F3F56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0A1960B6" w14:textId="77777777" w:rsidR="007F1199" w:rsidRPr="00075B71" w:rsidRDefault="007F1199" w:rsidP="00600787">
            <w:pPr>
              <w:widowControl w:val="0"/>
              <w:spacing w:line="480" w:lineRule="auto"/>
              <w:ind w:right="580"/>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{"citationItems":[{"id":"ITEM-1","itemData":{"DOI":"10.1109/JSTARS.2009.2037163","ISSN":"2151-1535","abstract":"Soil moisture is a fundamental data source used by the United States Department of Agriculture (USDA) International Production Assessment Division (IPAD) to monitor crop growth stage and condition and subsequently, globally forecast agricultural yields. Currently, the USDA IPAD estimates surface and root-zone soil moisture using a two-layer modified Palmer soil moisture model forced by global precipitation and temperature measurements. However, this approach suffers from well-known errors arising from uncertainty in model forcing data and highly simplified model physics. Here, we attempt to correct for these errors by designing and applying an Ensemble Kalman filter (EnKF) data assimilation system to integrate surface soil moisture retrievals from the NASA Advanced Microwave Scanning Radiometer (AMSR-E) into the USDA modified Palmer soil moisture model. An assessment of soil moisture analysis products produced from this assimilation has been completed for a five-year (2002 to 2007) period over the North American continent between 23° N-50° N and 128° W-65° W. In particular, a data denial experimental approach is utilized to isolate the added utility of integrating remotely sensed soil moisture by comparing EnKF soil moisture results obtained using (relatively) low-quality precipitation products obtained from real-time satellite imagery to baseline Palmer model runs forced with higher quality rainfall. An analysis of root-zone anomalies for each model simulation suggests that the assimilation of AMSR-E surface soil moisture retrievals can add significant value to USDA root-zone predictions derived from real-time satellite precipitation products.","author":[{"dropping-particle":"","family":"Bolten","given":"J D","non-dropping-particle":"","parse-names":false,"suffix":""},{"dropping-particle":"","family":"Crow","given":"W T","non-dropping-particle":"","parse-names":false,"suffix":""},{"dropping-particle":"","family":"Zhan","given":"X","non-dropping-particle":"","parse-names":false,"suffix":""},{"dropping-particle":"","family":"Jackson","given":"T J","non-dropping-particle":"","parse-names":false,"suffix":""},{"dropping-particle":"","family":"Reynolds","given":"C A","non-dropping-particle":"","parse-names":false,"suffix":""}],"container-title":"IEEE Journal of Selected Topics in Applied Earth Observations and Remote Sensing","id":"ITEM-1","issue":"1","issued":{"date-parts":[["2010","3"]]},"page":"57-66","title":"Evaluating the Utility of Remotely Sensed Soil Moisture Retrievals for Operational Agricultural Drought Monitoring","type":"article-journal","volume":"3"},"uris":["http://www.mendeley.com/documents/?uuid=b776ccd7-3284-4334-b9b5-1401b99766bd"]},{"id":"ITEM-2","itemData":{"DOI":"10.1029/2012GL053470","abstract":"The added value of satellite-based surface soil moisture retrievals for agricultural drought monitoring is assessed by calculating the lagged rank correlation between remotely-sensed vegetation indices (VI) and soil moisture estimates obtained both before and after the assimilation of surface soil moisture retrievals derived from the Advanced Microwave Scanning Radiometer-EOS (AMSR-E) into a soil water balance model. Higher soil moisture/VI lag correlations imply an enhanced ability to predict future vegetation conditions using estimates of current soil moisture. Results demonstrate that the assimilation of AMSR-E surface soil moisture retrievals substantially improve the performance of a global drought monitoring system - particularly in sparsely-instrumented areas of the world where high-quality rainfall observations are unavailable.","author":[{"dropping-particle":"","family":"Bolten","given":"J D","non-dropping-particle":"","parse-names":false,"suffix":""},{"dropping-particle":"","family":"Crow","given":"W T","non-dropping-particle":"","parse-names":false,"suffix":""}],"container-title":"Geophysical Research Letters","id":"ITEM-2","issue":"19","issued":{"date-parts":[["2012"]]},"title":"Improved prediction of quasi-global vegetation conditions using remotely-sensed surface soil moisture","type":"article-journal","volume":"39"},"uris":["http://www.mendeley.com/documents/?uuid=be6fafff-560f-4edb-bc4a-e912804aed2d"]},{"id":"ITEM-3","itemData":{"DOI":"10.1109/JSTARS.2016.2639338","ISSN":"2151-1535","abstract":"This paper presents an intercomparative study of 12 operationally produced large-scale datasets describing soil moisture, evapotranspiration (ET), and/or vegetation characteristics within agricultural regions of the contiguous United States (CONUS). These datasets have been developed using a variety of techniques, including, hydrologic modeling, satellite-based retrievals, data assimilation, and survey/in-field data collection. The objectives are to assess the relative utility of each dataset for monitoring crop yield variability, to quantitatively assess their capacity for predicting end-of-season corn and soybean yields, and to examine the evolution of the yield-index correlations during the growing season. This analysis is unique both with regards to the number and variety of examined yield predictor datasets and the detailed assessment of the water availability timing on the end-of-season crop production during the growing season. Correlation results indicate that over CONUS, at state-level soil moisture and ET indices can provide better information for forecasting corn and soybean yields than vegetation-based indices such as normalized difference vegetation index. The strength of correlation with corn and soybean yields strongly depends on the interannual variability in yield measured at a given location. In this case study, some of the remotely derived datasets examined provide skill comparable to that of in-situ field survey-based data-further demonstrating the utility of these remote sensing-based approaches for estimating crop yield.","author":[{"dropping-particle":"","family":"Mladenova","given":"I E","non-dropping-particle":"","parse-names":false,"suffix":""},{"dropping-particle":"","family":"Bolten","given":"J D","non-dropping-particle":"","parse-names":false,"suffix":""},{"dropping-particle":"","family":"Crow","given":"W T","non-dropping-particle":"","parse-names":false,"suffix":""},{"dropping-particle":"","family":"Anderson","given":"M C","non-dropping-particle":"","parse-names":false,"suffix":""},{"dropping-particle":"","family":"Hain","given":"C R","non-dropping-particle":"","parse-names":false,"suffix":""},{"dropping-particle":"","family":"Johnson","given":"D M","non-dropping-particle":"","parse-names":false,"suffix":""},{"dropping-particle":"","family":"Mueller","given":"R","non-dropping-particle":"","parse-names":false,"suffix":""}],"container-title":"IEEE Journal of Selected Topics in Applied Earth Observations and Remote Sensing","id":"ITEM-3","issue":"4","issued":{"date-parts":[["2017","4"]]},"page":"1328-1343","title":"Intercomparison of Soil Moisture, Evaporative Stress, and Vegetation Indices for Estimating Corn and Soybean Yields Over the U.S.","type":"article-journal","volume":"10"},"uris":["http://www.mendeley.com/documents/?uuid=63da6971-2b34-4b0f-ac4a-a277191020ab"]},{"id":"ITEM-4","itemData":{"DOI":"10.3390/rs10081265","ISSN":"2072-4292 (Print)","PMID":"32021700","abstract":"Soil moisture is considered a key variable to assess crop and drought conditions.  However, readily available soil moisture datasets developed for monitoring agricultural drought conditions are uncommon. The aim of this work is to examine two global soil moisture data sets and a set of soil moisture web-based processing tools developed to demonstrate the value of the soil moisture data for drought monitoring and crop forecasting using Google Earth Engine (GEE). The two global soil moisture data sets discussed in the paper are generated by integrating Soil Moisture Ocean Salinity (SMOS) and Soil Moisture Active Passive (SMAP) satellite-derived observations into the modified two-layer Palmer model using a 1-D Ensemble Kalman Filter (EnKF) data assimilation approach. The web-based tools are designed to explore soil moisture variability as a function of land cover change and to easily estimate drought characteristics such as drought duration and intensity using soil moisture anomalies, and to inter-compare them against alternative drought indicators. To demonstrate the utility of these tools for agricultural drought monitoring, the soil moisture products, vegetation- and precipitation-based products are assessed over drought prone regions in South Africa and Ethiopia. Overall, the 3-month scale Standardized Precipitation Index (SPI) and Normalized Vegetation Index (NDVI) showed higher agreement with the root zone soil moisture anomalies. Soil moisture anomalies exhibited lower drought duration but higher intensity compare to SPIs. Inclusion of the global soil moisture data into GEE data catalog and the development of the web-based tools described in the paper enable a vast diversity of users to quickly and easily assess the impact of drought and improve planning related to drought risk assessment and early warning. GEE also improves the accessibility and usability of the earth observation data and related tools by making them available to a wide range of researchers and the public. In particular, the cloud-based nature of GEE is useful for providing access to the soil moisture data and scripts to users in developing countries that lack adequate observational soil moisture data or the necessary computational resources required to develop them.","author":[{"dropping-particle":"","family":"Sazib","given":"Nazmus","non-dropping-particle":"","parse-names":false,"suffix":""},{"dropping-particle":"","family":"Mladenova","given":"Iliana","non-dropping-particle":"","parse-names":false,"suffix":""},{"dropping-particle":"","family":"Bolten","given":"John","non-dropping-particle":"","parse-names":false,"suffix":""}],"container-title":"Remote sensing","id":"ITEM-4","issue":"8",</w:instrText>
            </w:r>
            <w:r w:rsidRPr="00075B71">
              <w:rPr>
                <w:rFonts w:ascii="Times New Roman" w:eastAsia="Times New Roman" w:hAnsi="Times New Roman" w:cs="Times New Roman"/>
                <w:sz w:val="18"/>
                <w:szCs w:val="18"/>
                <w:lang w:val="en-GB"/>
              </w:rPr>
              <w:instrText>"issued":{"date-parts":[["2018"]]},"language":"eng","title":"Leveraging Google Earth Engine for Drought Assessment using Global Soil Moisture  Data.","type":"article-journal","volume":"10"},"uris":["http://www.mendeley.com/documents/?uuid=16db8e20-4149-4cb9-ab14-53bcdd59c852"]},{"id":"ITEM-5","itemData":{"DOI":"10.1109/TGRS.2008.917807","author":[{"dropping-particle":"","family":"Kerr","given":"Yann","non-dropping-particle":"","parse-names":false,"suffix":""},{"dropping-particle":"","family":"Levine","given":"David","non-dropping-particle":"","parse-names":false,"suffix":""}],"container-title":"Geoscience and Remote Sensing, IEEE Transactions on","id":"ITEM-5","issued":{"date-parts":[["2008"]]},"page":"583-585","title":"Foreword to the Special Issue on the Soil Moisture and Ocean Salinity (SMOS) Mission","type":"article-journal","volume":"46"},"uris":["http://www.mendeley.com/documents/?uuid=f091ea68-4de0-4c15-a49c-482bb6ce8462"]}],"mendeley":{"formattedCitation":"(Bolten et al., 2010; Bolten and Crow, 2012; Kerr and Levine, 2008; Mladenova et al., 2017; Sazib et al., 2018)","plainTextFormattedCitation":"(Bolten et al., 2010; Bolten and Crow, 2012; Kerr and Levine, 2008; Mladenova et al., 2017; Sazib et al., 2018)","previouslyFormattedCitation":"(Bolten et al., 2010; Bolten and Crow, 2012; Kerr and Levine, 2008; Mladenova et al., 2017; Sazib et al., 2018)"},"properties":{"noteIndex":0},"schema":"https://github.com/citation-style-language/schema/raw/master/csl-citation.json"}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noProof/>
                <w:sz w:val="18"/>
                <w:szCs w:val="18"/>
                <w:lang w:val="en-GB"/>
              </w:rPr>
              <w:t>(Bolten et al., 2010; Bolten and Crow, 2012; Kerr and Levine, 2008; Mladenova et al., 2017; Sazib et al., 2018)</w:t>
            </w:r>
            <w:r w:rsidRPr="00075B71">
              <w:rPr>
                <w:rFonts w:ascii="Times New Roman" w:eastAsia="Times New Roman" w:hAnsi="Times New Roman" w:cs="Times New Roman"/>
                <w:bCs/>
                <w:sz w:val="18"/>
                <w:szCs w:val="18"/>
                <w:lang w:val="en-GB"/>
              </w:rPr>
              <w:fldChar w:fldCharType="end"/>
            </w:r>
          </w:p>
        </w:tc>
      </w:tr>
      <w:tr w:rsidR="007F1199" w:rsidRPr="00877E75" w14:paraId="10262983" w14:textId="77777777" w:rsidTr="00600787">
        <w:trPr>
          <w:trHeight w:val="225"/>
        </w:trPr>
        <w:tc>
          <w:tcPr>
            <w:tcW w:w="1980" w:type="dxa"/>
            <w:vMerge/>
            <w:vAlign w:val="center"/>
            <w:hideMark/>
          </w:tcPr>
          <w:p w14:paraId="2F32478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6EDB6DE"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588D336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smp_median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3BFA88B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155C474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203D5022" w14:textId="77777777" w:rsidTr="00600787">
        <w:trPr>
          <w:trHeight w:val="225"/>
        </w:trPr>
        <w:tc>
          <w:tcPr>
            <w:tcW w:w="1980" w:type="dxa"/>
            <w:vMerge/>
            <w:vAlign w:val="center"/>
            <w:hideMark/>
          </w:tcPr>
          <w:p w14:paraId="2313301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229210D"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6EE5ADC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smp_mean_RW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7C47FAF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7073A99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46C93C00" w14:textId="77777777" w:rsidTr="00600787">
        <w:trPr>
          <w:trHeight w:val="225"/>
        </w:trPr>
        <w:tc>
          <w:tcPr>
            <w:tcW w:w="1980" w:type="dxa"/>
            <w:vMerge/>
            <w:vAlign w:val="center"/>
            <w:hideMark/>
          </w:tcPr>
          <w:p w14:paraId="6B37F93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5D5FF2FE"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44F9CF9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smp_median_RW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3E9EB5F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69B7AF3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7287324F" w14:textId="77777777" w:rsidTr="00600787">
        <w:trPr>
          <w:trHeight w:val="225"/>
        </w:trPr>
        <w:tc>
          <w:tcPr>
            <w:tcW w:w="1980" w:type="dxa"/>
            <w:vMerge w:val="restart"/>
            <w:shd w:val="clear" w:color="auto" w:fill="auto"/>
            <w:vAlign w:val="center"/>
            <w:hideMark/>
          </w:tcPr>
          <w:p w14:paraId="310FAB3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Surface soil moisture</w:t>
            </w:r>
          </w:p>
        </w:tc>
        <w:tc>
          <w:tcPr>
            <w:tcW w:w="1828" w:type="dxa"/>
            <w:vMerge w:val="restart"/>
            <w:shd w:val="clear" w:color="auto" w:fill="auto"/>
            <w:vAlign w:val="center"/>
            <w:hideMark/>
          </w:tcPr>
          <w:p w14:paraId="4128F177"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Subsurface soil moisture in mm</w:t>
            </w:r>
          </w:p>
        </w:tc>
        <w:tc>
          <w:tcPr>
            <w:tcW w:w="2566" w:type="dxa"/>
            <w:shd w:val="clear" w:color="auto" w:fill="auto"/>
            <w:vAlign w:val="center"/>
            <w:hideMark/>
          </w:tcPr>
          <w:p w14:paraId="5AC445C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ssm_mean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36B6FF6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2570C6CB" w14:textId="77777777" w:rsidR="007F1199" w:rsidRPr="00075B71" w:rsidRDefault="007F1199" w:rsidP="00600787">
            <w:pPr>
              <w:widowControl w:val="0"/>
              <w:spacing w:line="480" w:lineRule="auto"/>
              <w:ind w:right="580"/>
              <w:jc w:val="both"/>
              <w:rPr>
                <w:rFonts w:ascii="Times New Roman" w:eastAsia="Times New Roman" w:hAnsi="Times New Roman" w:cs="Times New Roman"/>
                <w:bCs/>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sz w:val="18"/>
                <w:szCs w:val="18"/>
                <w:lang w:val="en-GB"/>
              </w:rPr>
              <w:instrText>ADDIN CSL_CITATION {"citationItems":[{"id":"ITEM-1","itemData":{"DOI":"10.1109/JSTARS.2009.2037163","ISSN":"2151-1535","abstract":"Soil moisture is a fundamental data source used by the United States Department of Agriculture (USDA) International Production Assessment Division (IPAD) to monitor crop growth stage and condition and subsequently, globally forecast agricultural yields. Currently, the USDA IPAD estimates surface and root-zone soil moisture using a two-layer modified Palmer soil moisture model forced by global precipitation and temperature measurements. However, this approach suffers from well-known errors arising from uncertainty in model forcing data and highly simplified model physics. Here, we attempt to correct for these errors by designing and applying an Ensemble Kalman filter (EnKF) data assimilation system to integrate surface soil moisture retrievals from the NASA Advanced Microwave Scanning Radiometer (AMSR-E) into the USDA modified Palmer soil moisture model. An assessment of soil moisture analysis products produced from this assimilation has been completed for a five-year (2002 to 2007) period over the North American continent between 23° N-50° N and 128° W-65° W. In particular, a data denial experimental app</w:instrText>
            </w:r>
            <w:r w:rsidRPr="00075B71">
              <w:rPr>
                <w:rFonts w:ascii="Times New Roman" w:eastAsia="Times New Roman" w:hAnsi="Times New Roman" w:cs="Times New Roman"/>
                <w:bCs/>
                <w:sz w:val="18"/>
                <w:szCs w:val="18"/>
                <w:lang w:val="en-GB"/>
              </w:rPr>
              <w:instrText>roach is utilized to isolate the added utility of integrating remotely sensed soil moisture by comparing EnKF soil moisture results obtained using (relatively) low-quality precipitation products obtained from real-time satellite imagery to baseline Palmer model runs forced with higher quality rainfall. An analysis of root-zone anomalies for each model simulation suggests that the assimilation of AMSR-E surface soil moisture retrievals can add significant value to USDA root-zone predictions derived from real-time satellite precipitation products.","author":[{"dropping-particle":"","family":"Bolten","given":"J D","non-dropping-particle":"","parse-names":false,"suffix":""},{"dropping-particle":"","family":"Crow","given":"W T","non-dropping-particle":"","parse-names":false,"suffix":""},{"dropping-particle":"","family":"Zhan","given":"X","non-dropping-particle":"","parse-names":false,"suffix":""},{"dropping-particle":"","family":"Jackson","given":"T J","non-dropping-particle":"","parse-names":false,"suffix":""},{"dropping-particle":"","family":"Reynolds","given":"C A","non-dropping-particle":"","parse-names":false,"suffix":""}],"container-title":"IEEE Journal of Selected Topics in Applied Earth Observations and Remote Sensing","id":"ITEM-1","issue":"1","issued":{"date-parts":[["2010","3"]]},"page":"57-66","title":"Evaluating the Utility of Remotely Sensed Soil Moisture Retrievals for Operational Agricultural Drought Monitoring","type":"article-journal","volume":"3"},"uris":["http://www.mendeley.com/documents/?uuid=b776ccd7-3284-4334-b9b5-1401b99766bd"]},{"id":"ITEM-2","itemData":{"DOI":"10.1029/2012GL053470","abstract":"The added value of satellite-based surface soil moisture retrievals for agricultural drought monitoring is assessed by calculating the lagged rank correlation between remotely-sensed vegetation indices (VI) and soil moisture estimates obtained both before and after the assimilation of surface soil moisture retrievals derived from the Advanced Microwave Scanning Radiometer-EOS (AMSR-E) into a soil water balance model. Higher soil moisture/VI lag correlations imply an enhanced ability to predict future vegetation conditions using estimates of current soil moisture. Results demonstrate that the assimilation of AMSR-E surface soil moisture retrievals substantially improve the performance of a global drought monitoring system - particularly in sparsely-instrumented areas of the world where high-quality rainfall observations are unavailable.","author":[{"dropping-particle":"","family":"Bolten","given":"J D","non-dropping-particle":"","parse-names":false,"suffix":""},{"dropping-particle":"","family":"Crow","given":"W T","non-dropping-particle":"","parse-names":false,"suffix":""}],"container-title":"Geophysical Research Letters","id":"ITEM-2","issue":"19","issued":{"date-parts":[["2012"]]},"title":"Improved prediction of quasi-global vegetation conditions using remotely-sensed surface soil moisture","type":"article-journal","volume":"39"},"uris":["http://www.mendeley.com/documents/?uuid=be6fafff-560f-4edb-bc4a-e912804aed2d"]},{"id":"ITEM-3","itemData":{"DOI":"10.1109/JSTARS.2016.2639338","ISSN":"2151-1535","abstract":"This paper presents an intercomparative study of 12 operationally produced large-scale datasets describing soil moisture, evapotranspiration (ET), and/or vegetation characteristics within agricultural regions of the contiguous United States (CONUS). These datasets have been developed using a variety of techniques, including, hydrologic modeling, satellite-based retrievals, data assimilation, and survey/in-field data collection. The objectives are to assess the relative utility of each dataset for monitoring crop yield variability, to quantitatively assess their capacity for predicting end-of-season corn and soybean yields, and to examine the evolution of the yield-index correlations during the growing season. This analysis is unique both with regards to the number and variety of examined yield predictor datasets and the detailed assessment of the water availability timing on the end-of-season crop production during the growing season. Correlation results indicate that over CONUS, at state-level soil moisture and ET indices can provide better information for forecasting corn and soybean yields than vegetation-based indices such as normalized difference vegetation index. The strength of correlation with corn and soybean yields strongly depends on the interannual variability in yield measured at a given location. In this case study, some of the remotely derived datasets examined provide skill comparable to that of in-situ field survey-based data-further demonstrating the utility of these remote sensing-based approaches for estimating crop yield.","author":[{"dropping-particle":"","family":"Mladenova","given":"I E","non-dropping-particle":"","parse-names":false,"suffix":""},{"dropping-particle":"","family":"Bolten","given":"J D","non-dropping-particle":"","parse-names":false,"suffix":""},{"dropping-particle":"","family":"Crow","given":"W T","non-dropping-particle":"","parse-names":false,"suffix":""},{"dropping-particle":"","family":"Anderson","given":"M C","non-dropping-particle":"","parse-names":false,"suffix":""},{"dropping-particle":"","family":"Hain","given":"C R","non-dropping-particle":"","parse-names":false,"suffix":""},{"dropping-particle":"","family":"Johnson","given":"D M","non-dropping-particle":"","parse-names":false,"suffix":""},{"dropping-particle":"","family":"Mueller","given":"R","non-dropping-particle":"","parse-names":false,"suffix":""}],"container-title":"IEEE Journal of Selected Topics in Applied Earth Observations and Remote Sensing","id":"ITEM-3","issue":"4","issued":{"date-parts":[["2017","4"]]},"page":"1328-1343","title":"Intercomparison of Soil Moisture, Evaporative Stress, and Vegetation Indices for Estimating Corn and Soybean Yields Over the U.S.","type":"article-journal","volume":"10"},"uris":["http://www.mendeley.com/documents/?uuid=63da6971-2b34-4b0f-ac4a-a277191020ab"]},{"id":"ITEM-4","itemData":{"DOI":"10.3390/rs10081265","ISSN":"2072-4292 (Print)","PMID":"32021700","abstract":"Soil moisture is considered a key variable to assess crop and drought conditions.  However, readily available soil moisture datasets developed for monitoring agricultural drought conditions are uncommon. The aim of this work is to examine two global soil moisture data sets and a set of soil moisture web-based processing tools developed to demonstrate the value of the soil moisture data for drought monitoring and crop forecasting using Google Earth Engine (GEE). The two global soil moisture data sets discussed in the paper are generated by integrating Soil Moisture Ocean Salinity (SMOS) and Soil Moisture Active Passive (SMAP) satellite-derived observations into the modified two-layer Palmer model using a 1-D Ensemble Kalman Filter (EnKF) data assimilation approach. The web-based tools are designed to explore soil moisture variability as a function of land cover change and to easily estimate drought characteristics such as drought duration and intensity using soil moisture anomalies, and to inter-compare them against alternative drought indicators. To demonstrate the utility of these tools for agricultural drought monitoring, the soil moisture products, vegetation- and precipitation-based products are assessed over drought prone regions in South Africa and Ethiopia. Overall, the 3-month scale Standardized Precipitation Index (SPI) and Normalized Vegetation Index (NDVI) showed higher agreement with the root zone soil moisture anomalies. Soil moisture anomalies exhibited lower drought duration but higher intensity compare to SPIs. Inclusion of the global soil moisture data into GEE data catalog and the development of the web-based tools described in the paper enable a vast diversity of users to quickly and easily assess the impact of drought and improve planning related to drought risk assessment and early warning. GEE also improves the accessibility and usability of the earth observation data and related tools by making them available to a wide range of researchers and the public. In particular, the cloud-based nature of GEE is useful for providing access to the soil moisture data and scripts to users in developing countries that lack adequate observational soil moisture data or the necessary computational resources required to develop them.","author":[{"dropping-particle":"","family":"Sazib","given":"Nazmus","non-dropping-particle":"","parse-names":false,"suffix":""},{"dropping-particle":"","family":"Mladenova","given":"Iliana","non-dropping-particle":"","parse-names":false,"suffix":""},{"dropping-particle":"","family":"Bolten","given":"John","non-dropping-particle":"","parse-names":false,"suffix":""}],"container-title":"Remote sensing","id":"ITEM-4","issue":"8","issued":{"date-parts":[["2018"]]},"language":"eng","title":"Leveraging Google Earth Engine for Drought Assessment using Global Soil Moisture  Data.","type":"article-journal","volume":"10"},"uris":["http://www.mendeley.com/documents/?uuid=16db8e20-4149-4cb9-ab14-53bcdd59c852"]},{"id":"ITEM-5","itemData":{"DOI":"10.1109/TGRS.2008.917807","author":[{"dropping-particle":"","family":"Kerr","given":"Yann","non-dropping-particle":"","parse-names":false,"suffix":""},{"dropping-particle":"","family":"Levine","given":"David","non-dropping-particle":"","parse-names":false,"suffix":""}],"container-title":"Geoscience and Remote Sensing, IEEE Transactions on","id":"ITEM-5","issued":{"date-parts":[["2008"]]},"page":"583-585","title":"Foreword to the Special Issue on the Soil Moisture and Ocean Salinity (SMOS) Mission","type":"article-journal","volume":"46"},"uris":["http://www.mendeley.com/documents/?uuid=f091ea68-4de0-4c15-a49c-482bb6ce8462"]}],"mendeley":{"formattedCitation":"(Bolten et al., 2010; Bolten and Crow, 2012; Kerr and Levine, 2008; Mladenova et al., 2017; Sazib et al., 2018)","plainTextFormattedCitation":"(Bolten et al., 2010; Bolten and Crow, 2012; Kerr and Levine, 2008; Mladenova et al., 2017; Sazib et al., 2018)","previouslyFormattedCitation":"(Bolten et al., 2010; Bolten and Crow, 2012; Kerr and Levine, 2008; Mladenova et al., 2017; Sazib et al., 2018)"},"properties":{"noteIndex":0},"schema":"https://github.com/citation-style-language/schema/raw/master/csl-citation.json"}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(Bolten et al., 2010; Bolten and Crow, 2012; Kerr and Levine, 2008; Mladenova et al., 2017; Sazib et al., 2018)</w:t>
            </w:r>
            <w:r w:rsidRPr="00075B71">
              <w:rPr>
                <w:rFonts w:ascii="Times New Roman" w:eastAsia="Times New Roman" w:hAnsi="Times New Roman" w:cs="Times New Roman"/>
                <w:bCs/>
                <w:sz w:val="18"/>
                <w:szCs w:val="18"/>
                <w:lang w:val="en-GB"/>
              </w:rPr>
              <w:fldChar w:fldCharType="end"/>
            </w:r>
          </w:p>
        </w:tc>
      </w:tr>
      <w:tr w:rsidR="007F1199" w:rsidRPr="00877E75" w14:paraId="641F06A3" w14:textId="77777777" w:rsidTr="00600787">
        <w:trPr>
          <w:trHeight w:val="225"/>
        </w:trPr>
        <w:tc>
          <w:tcPr>
            <w:tcW w:w="1980" w:type="dxa"/>
            <w:vMerge/>
            <w:vAlign w:val="center"/>
            <w:hideMark/>
          </w:tcPr>
          <w:p w14:paraId="47A1F55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2B4EC39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07B1F9F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ssm_median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51CEE2C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08DEBDA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0FC6BAB" w14:textId="77777777" w:rsidTr="00600787">
        <w:trPr>
          <w:trHeight w:val="225"/>
        </w:trPr>
        <w:tc>
          <w:tcPr>
            <w:tcW w:w="1980" w:type="dxa"/>
            <w:vMerge/>
            <w:vAlign w:val="center"/>
            <w:hideMark/>
          </w:tcPr>
          <w:p w14:paraId="154E79E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7EA84359"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182CADC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ssm_mean_RW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0512D23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3E16EFD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3BE89998" w14:textId="77777777" w:rsidTr="00600787">
        <w:trPr>
          <w:trHeight w:val="225"/>
        </w:trPr>
        <w:tc>
          <w:tcPr>
            <w:tcW w:w="1980" w:type="dxa"/>
            <w:vMerge/>
            <w:vAlign w:val="center"/>
            <w:hideMark/>
          </w:tcPr>
          <w:p w14:paraId="3EBB410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0BBB04C"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2B6710E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ssm_median_RW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2C0037B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1F668AD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698D7CB2" w14:textId="77777777" w:rsidTr="00600787">
        <w:trPr>
          <w:trHeight w:val="225"/>
        </w:trPr>
        <w:tc>
          <w:tcPr>
            <w:tcW w:w="1980" w:type="dxa"/>
            <w:vMerge w:val="restart"/>
            <w:shd w:val="clear" w:color="auto" w:fill="auto"/>
            <w:vAlign w:val="center"/>
            <w:hideMark/>
          </w:tcPr>
          <w:p w14:paraId="655926F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Surface soil moisture anomaly</w:t>
            </w:r>
          </w:p>
        </w:tc>
        <w:tc>
          <w:tcPr>
            <w:tcW w:w="1828" w:type="dxa"/>
            <w:vMerge w:val="restart"/>
            <w:shd w:val="clear" w:color="auto" w:fill="auto"/>
            <w:vAlign w:val="center"/>
            <w:hideMark/>
          </w:tcPr>
          <w:p w14:paraId="2839E91E"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Values closer to 1 is extreme wetting and -1 is extreme dry soil.</w:t>
            </w:r>
          </w:p>
        </w:tc>
        <w:tc>
          <w:tcPr>
            <w:tcW w:w="2566" w:type="dxa"/>
            <w:shd w:val="clear" w:color="auto" w:fill="auto"/>
            <w:vAlign w:val="center"/>
            <w:hideMark/>
          </w:tcPr>
          <w:p w14:paraId="50B0EDA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ssma_mean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2E99092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400060C7" w14:textId="77777777" w:rsidR="007F1199" w:rsidRPr="00075B71" w:rsidRDefault="007F1199" w:rsidP="00600787">
            <w:pPr>
              <w:widowControl w:val="0"/>
              <w:spacing w:line="480" w:lineRule="auto"/>
              <w:ind w:right="580"/>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{"citationItems":[{"id":"ITEM-1","itemData":{"DOI":"10.1109/JSTARS.2009.2037163","ISSN":"2151-1535","abstract":"Soil moisture is a fundamental data source used by the United States Department of Agriculture (USDA) International Production Assessment Division (IPAD) to monitor crop growth stage and condition and subsequently, globally forecast agricultural yields. Currently, the USDA IPAD estimates surface and root-zone soil moisture using a two-layer modified Palmer soil moisture model forced by global precipitation and temperature measurements. However, this approach suffers from well-known errors arising from uncertainty in model forcing data and highly simplified model physics. Here, we attempt to correct for these errors by designing and applying an Ensemble Kalman filter (EnKF) data assimilation system to integrate surface soil moisture retrievals from the NASA Advanced Microwave Scanning Radiometer (AMSR-E) into the USDA modified Palmer soil moisture model. An assessment of soil moisture analysis products produced from this assimilation has been completed for a five-year (2002 to 2007) period over the North American continent between 23° N-50° N and 128° W-65° W. In particular, a data denial experimental approach is utilized to isolate the added utility of integrating remotely sensed soil moisture by comparing EnKF soil moisture results obtained using (relatively) low-quality precipitation products obtained from real-time satellite imagery to baseline Palmer model runs forced with higher quality rainfall. An analysis of root-zone anomalies for each model simulation suggests that the assimilation of AMSR-E surface soil moisture retrievals can add significant value to USDA root-zone predictions derived from real-time satellite precipitation products.","author":[{"dropping-particle":"","family":"Bolten","given":"J D","non-dropping-particle":"","parse-names":false,"suffix":""},{"dropping-particle":"","family":"Crow","given":"W T","non-dropping-particle":"","parse-names":false,"suffix":""},{"dropping-particle":"","family":"Zhan","given":"X","non-dropping-particle":"","parse-names":false,"suffix":""},{"dropping-particle":"","family":"Jackson","given":"T J","non-dropping-particle":"","parse-names":false,"suffix":""},{"dropping-particle":"","family":"Reynolds","given":"C A","non-dropping-particle":"","parse-names":false,"suffix":""}],"container-title":"IEEE Journal of Selected Topics in Applied Earth Observations and Remote Sensing","id":"ITEM-1","issue":"1","issued":{"date-parts":[["2010","3"]]},"page":"57-66","title":"Evaluating the Utility of Remotely Sensed Soil Moisture Retrievals for Operational Agricultural Drought Monitoring","type":"article-journal","volume":"3"},"uris":["http://www.mendeley.com/documents/?uuid=b776ccd7-3284-4334-b9b5-1401b99766bd"]},{"id":"ITEM-2","itemData":{"DOI":"10.1029/2012GL053470","abstract":"The added value of satellite-based surface soil moisture retrievals for agricultural drought monitoring is assessed by calculating the lagged rank correlation between remotely-sensed vegetation indices (VI) and soil moisture estimates obtained both before and after the assimilation of surface soil moisture retrievals derived from the Advanced Microwave Scanning Radiometer-EOS (AMSR-E) into a soil water balance model. Higher soil moisture/VI lag correlations imply an enhanced ability to predict future vegetation conditions using estimates of current soil moisture. Results demonstrate that the assimilation of AMSR-E surface soil moisture retrievals substantially improve the performance of a global drought monitoring system - particularly in sparsely-instrumented areas of the world where high-quality rainfall observations are unavailable.","author":[{"dropping-particle":"","family":"Bolten","given":"J D","non-dropping-particle":"","parse-names":false,"suffix":""},{"dropping-particle":"","family":"Crow","given":"W T","non-dropping-particle":"","parse-names":false,"suffix":""}],"container-title":"Geophysical Research Letters","id":"ITEM-2","issue":"19","issued":{"date-parts":[["2012"]]},"title":"Improved prediction of quasi-global vegetation conditions using remotely-sensed surface soil moisture","type":"article-journal","volume":"39"},"uris":["http://www.mendeley.com/documents/?uuid=be6fafff-560f-4edb-bc4a-e912804aed2d"]},{"id":"ITEM-3","itemData":{"DOI":"10.1109/JSTARS.2016.2639338","ISSN":"2151-1535","abstract":"This paper presents an intercomparative study of 12 operationally produced large-scale datasets describing soil moisture, evapotranspiration (ET), and/or vegetation characteristics within agricultural regions of the contiguous United States (CONUS). These datasets have been developed using a variety of techniques, including, hydrologic modeling, satellite-based retrievals, data assimilation, and survey/in-field data collection. The objectives are to assess the relative utility of each dataset for monitoring crop yield variability, to quantitatively assess their capacity for predicting end-of-season corn and soybean yields, and to examine the evolution of the yield-index correlations during the growing season. This analysis is unique both with regards to the number and variety of examined yield predictor datasets and the detailed assessment of the water availability timing on the end-of-season crop production during the growing season. Correlation results indicate that over CONUS, at state-level soil moisture and ET indices can provide better information for forecasting corn and soybean yields than vegetation-based indices such as normalized difference vegetation index. The strength of correlation with corn and soybean yields strongly depends on the interannual variability in yield measured at a given location. In this case study, some of the remotely derived datasets examined provide skill comparable to that of in-situ field survey-based data-further demonstrating the utility of these remote sensing-based approaches for estimating crop yield.","author":[{"dropping-particle":"","family":"Mladenova","given":"I E","non-dropping-particle":"","parse-names":false,"suffix":""},{"dropping-particle":"","family":"Bolten","given":"J D","non-dropping-particle":"","parse-names":false,"suffix":""},{"dropping-particle":"","family":"Crow","given":"W T","non-dropping-particle":"","parse-names":false,"suffix":""},{"dropping-particle":"","family":"Anderson","given":"M C","non-dropping-particle":"","parse-names":false,"suffix":""},{"dropping-particle":"","family":"Hain","given":"C R","non-dropping-particle":"","parse-names":false,"suffix":""},{"dropping-particle":"","family":"Johnson","given":"D M","non-dropping-particle":"","parse-names":false,"suffix":""},{"dropping-particle":"","family":"Mueller","given":"R","non-dropping-particle":"","parse-names":false,"suffix":""}],"container-title":"IEEE Journal of Selected Topics in Applied Earth Observations and Remote Sensing","id":"ITEM-3","issue":"4","issued":{"date-parts":[["2017","4"]]},"page":"1328-1343","title":"Intercomparison of Soil Moisture, Evaporative Stress, and Vegetation Indices for Estimating Corn and Soybean Yields Over the U.S.","type":"article-journal","volume":"10"},"uris":["http://www.mendeley.com/documents/?uuid=63da6971-2b34-4b0f-ac4a-a277191020ab"]},{"id":"ITEM-4","itemData":{"DOI":"10.3390/rs10081265","ISSN":"2072-4292 (Print)","PMID":"32021700","abstract":"Soil moisture is considered a key variable to assess crop and drought conditions.  However, readily available soil moisture datasets developed for monitoring agricultural drought conditions are uncommon. The aim of this work is to examine two global soil moisture data sets and a set of soil moisture web-based processing tools developed to demonstrate the value of the soil moisture data for drought monitoring and crop forecasting using Google Earth Engine (GEE). The two global soil moisture data sets discussed in the paper are generated by integrating Soil Moisture Ocean Salinity (SMOS) and Soil Moisture Active Passive (SMAP) satellite-derived observations into the modified two-layer Palmer model using a 1-D Ensemble Kalman Filter (EnKF) data assimilation approach. The web-based tools are designed to explore soil moisture variability as a function of land cover change and to easily estimate drought characteristics such as drought duration and intensity using soil moisture anomalies, and to inter-compare them against alternative drought indicators. To demonstrate the utility of these tools for agricultural drought monitoring, the soil moisture products, vegetation- and precipitation-based products are assessed over drought prone regions in South Africa and Ethiopia. Overall, the 3-month scale Standardized Precipitation Index (SPI) and Normalized Vegetation Index (NDVI) showed higher agreement with the root zone soil moisture anomalies. Soil moisture anomalies exhibited lower drought duration but higher intensity compare to SPIs. Inclusion of the global soil moisture data into GEE data catalog and the development of the web-based tools described in the paper enable a vast diversity of users to quickly and easily assess the impact of drought and improve planning related to drought risk assessment and early warning. GEE also improves the accessibility and usability of the earth observation data and related tools by making them available to a wide range of researchers and the public. In particular, the cloud-based nature of GEE is useful for providing access to the soil moisture data and scripts to users in developing countries that lack adequate observational soil moisture data or the necessary computational resources required to develop them.","author":[{"dropping-particle":"","family":"Sazib","given":"Nazmus","non-dropping-particle":"","parse-names":false,"suffix":""},{"dropping-particle":"","family":"Mladenova","given":"Iliana","non-dropping-particle":"","parse-names":false,"suffix":""},{"dropping-particle":"","family":"Bolten","given":"John","non-dropping-particle":"","parse-names":false,"suffix":""}],"container-title":"Remote sensing","id":"ITEM-4","issue":"8",</w:instrText>
            </w:r>
            <w:r w:rsidRPr="00075B71">
              <w:rPr>
                <w:rFonts w:ascii="Times New Roman" w:eastAsia="Times New Roman" w:hAnsi="Times New Roman" w:cs="Times New Roman"/>
                <w:sz w:val="18"/>
                <w:szCs w:val="18"/>
                <w:lang w:val="en-GB"/>
              </w:rPr>
              <w:instrText>"issued":{"date-parts":[["2018"]]},"language":"eng","title":"Leveraging Google Earth Engine for Drought Assessment using Global Soil Moisture  Data.","type":"article-journal","volume":"10"},"uris":["http://www.mendeley.com/documents/?uuid=16db8e20-4149-4cb9-ab14-53bcdd59c852"]},{"id":"ITEM-5","itemData":{"DOI":"10.1109/TGRS.2008.917807","author":[{"dropping-particle":"","family":"Kerr","given":"Yann","non-dropping-particle":"","parse-names":false,"suffix":""},{"dropping-particle":"","family":"Levine","given":"David","non-dropping-particle":"","parse-names":false,"suffix":""}],"container-title":"Geoscience and Remote Sensing, IEEE Transactions on","id":"ITEM-5","issued":{"date-parts":[["2008"]]},"page":"583-585","title":"Foreword to the Special Issue on the Soil Moisture and Ocean Salinity (SMOS) Mission","type":"article-journal","volume":"46"},"uris":["http://www.mendeley.com/documents/?uuid=f091ea68-4de0-4c15-a49c-482bb6ce8462"]}],"mendeley":{"formattedCitation":"(Bolten et al., 2010; Bolten and Crow, 2012; Kerr and Levine, 2008; Mladenova et al., 2017; Sazib et al., 2018)","plainTextFormattedCitation":"(Bolten et al., 2010; Bolten and Crow, 2012; Kerr and Levine, 2008; Mladenova et al., 2017; Sazib et al., 2018)","previouslyFormattedCitation":"(Bolten et al., 2010; Bolten and Crow, 2012; Kerr and Levine, 2008; Mladenova et al., 2017; Sazib et al., 2018)"},"properties":{"noteIndex":0},"schema":"https://github.com/citation-style-language/schema/raw/master/csl-citation.json"}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noProof/>
                <w:sz w:val="18"/>
                <w:szCs w:val="18"/>
                <w:lang w:val="en-GB"/>
              </w:rPr>
              <w:t>(Bolten et al., 2010; Bolten and Crow, 2012; Kerr and Levine, 2008; Mladenova et al., 2017; Sazib et al., 2018)</w:t>
            </w:r>
            <w:r w:rsidRPr="00075B71">
              <w:rPr>
                <w:rFonts w:ascii="Times New Roman" w:eastAsia="Times New Roman" w:hAnsi="Times New Roman" w:cs="Times New Roman"/>
                <w:bCs/>
                <w:sz w:val="18"/>
                <w:szCs w:val="18"/>
                <w:lang w:val="en-GB"/>
              </w:rPr>
              <w:fldChar w:fldCharType="end"/>
            </w:r>
          </w:p>
        </w:tc>
      </w:tr>
      <w:tr w:rsidR="007F1199" w:rsidRPr="00877E75" w14:paraId="5ACAC7B1" w14:textId="77777777" w:rsidTr="00600787">
        <w:trPr>
          <w:trHeight w:val="225"/>
        </w:trPr>
        <w:tc>
          <w:tcPr>
            <w:tcW w:w="1980" w:type="dxa"/>
            <w:vMerge/>
            <w:vAlign w:val="center"/>
            <w:hideMark/>
          </w:tcPr>
          <w:p w14:paraId="73F5A0A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1217818"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6C08FE9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ssma_median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301AF65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15683BC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2FF1F248" w14:textId="77777777" w:rsidTr="00600787">
        <w:trPr>
          <w:trHeight w:val="225"/>
        </w:trPr>
        <w:tc>
          <w:tcPr>
            <w:tcW w:w="1980" w:type="dxa"/>
            <w:vMerge/>
            <w:vAlign w:val="center"/>
            <w:hideMark/>
          </w:tcPr>
          <w:p w14:paraId="305BAF3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485C8EC4"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21DDD63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ssma_mean_RW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56709E4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3973F10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04194319" w14:textId="77777777" w:rsidTr="00600787">
        <w:trPr>
          <w:trHeight w:val="225"/>
        </w:trPr>
        <w:tc>
          <w:tcPr>
            <w:tcW w:w="1980" w:type="dxa"/>
            <w:vMerge/>
            <w:vAlign w:val="center"/>
            <w:hideMark/>
          </w:tcPr>
          <w:p w14:paraId="6FE8871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4693CD3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2F343F4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ssma_median_RW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026D26A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307142B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75C8F264" w14:textId="77777777" w:rsidTr="00600787">
        <w:trPr>
          <w:trHeight w:val="225"/>
        </w:trPr>
        <w:tc>
          <w:tcPr>
            <w:tcW w:w="1980" w:type="dxa"/>
            <w:vMerge w:val="restart"/>
            <w:shd w:val="clear" w:color="auto" w:fill="auto"/>
            <w:vAlign w:val="center"/>
            <w:hideMark/>
          </w:tcPr>
          <w:p w14:paraId="582FCDA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Subsurface soil moisture</w:t>
            </w:r>
          </w:p>
        </w:tc>
        <w:tc>
          <w:tcPr>
            <w:tcW w:w="1828" w:type="dxa"/>
            <w:vMerge w:val="restart"/>
            <w:shd w:val="clear" w:color="auto" w:fill="auto"/>
            <w:vAlign w:val="center"/>
            <w:hideMark/>
          </w:tcPr>
          <w:p w14:paraId="3CF25D82"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Surface soil moisture in mm</w:t>
            </w:r>
          </w:p>
        </w:tc>
        <w:tc>
          <w:tcPr>
            <w:tcW w:w="2566" w:type="dxa"/>
            <w:shd w:val="clear" w:color="auto" w:fill="auto"/>
            <w:vAlign w:val="center"/>
            <w:hideMark/>
          </w:tcPr>
          <w:p w14:paraId="38FA212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susm_mean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6ED61E8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275EAABE" w14:textId="77777777" w:rsidR="007F1199" w:rsidRPr="00075B71" w:rsidRDefault="007F1199" w:rsidP="00600787">
            <w:pPr>
              <w:widowControl w:val="0"/>
              <w:spacing w:line="480" w:lineRule="auto"/>
              <w:ind w:right="580"/>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sz w:val="18"/>
                <w:szCs w:val="18"/>
                <w:lang w:val="en-GB"/>
              </w:rPr>
              <w:instrText>ADDIN CSL_CITATION {"citationItems":[{"id":"ITEM-1","itemData":{"DOI":"10.1109/JSTARS.2009.2037163","ISSN":"2151-1535","abstract":"Soil moisture is a fundamental data source used by the United States Department of Agriculture (USDA) International Production Assessment Division (IPAD) to monitor crop growth stage and condition and subsequently, globally forecast agricultural yields. Currently, the USDA IPAD estimates surface and root-zone soil moisture using a two-layer modified Palmer soil moisture model forced by global precipitation and temperature measurements. However, this approach suffers from well-known errors arising from uncertainty in model forcing data and highly simplified model physics. Here, we attempt to correct for these errors by designing and applying an Ensemble Kalman filter (EnKF) data assimilation system to integrate surface soil moisture retrievals from the NASA Advanced Microwave Scanning Radiometer (AMSR-E) into the USDA modified Palmer soil moisture model. An assessment of soil moisture analysis products produced from this assimilation has been completed for a five-year (2002 to 2007) period over the North American continent between 23° N-50° N and 128° W-65° W. In particular, a data denial experimental</w:instrText>
            </w:r>
            <w:r w:rsidRPr="00075B71">
              <w:rPr>
                <w:rFonts w:ascii="Times New Roman" w:eastAsia="Times New Roman" w:hAnsi="Times New Roman" w:cs="Times New Roman"/>
                <w:bCs/>
                <w:sz w:val="18"/>
                <w:szCs w:val="18"/>
                <w:lang w:val="en-GB"/>
              </w:rPr>
              <w:instrText xml:space="preserve"> approach is utilized to isolate the added utility of integrating remotely sensed soil moisture by comparing EnKF soil moisture results obtained using (relatively) low-quality precipitation products obtained from real-time satellite imagery to baseline Palmer model runs forced with higher quality rainfall. An analysis of root-zone anomalies for each model simulation suggests that the assimilation of AMSR-E surface soil moisture retrievals can add significant value to USDA root-zone predictions derived from real-time satellite precipitation products.","author":[{"dropping-particle":"","family":"Bolten","given":"J D","non-dropping-particle":"","parse-names":false,"suffix":""},{"dropping-particle":"","family":"Crow","given":"W T","non-dropping-particle":"","parse-names":false,"suffix":""},{"dropping-particle":"","family":"Zhan","given":"X","non-dropping-particle":"","parse-names":false,"suffix":""},{"dropping-particle":"","family":"Jackson","given":"T J","non-dropping-particle":"","parse-names":false,"suffix":""},{"dropping-particle":"","family":"Reynolds","given":"C A","non-dropping-particle":"","parse-names":false,"suffix":""}],"container-title":"IEEE Journal of Selected Topics in Applied Earth Observations and Remote Sensing","id":"ITEM-1","issue":"1","issued":{"date-parts":[["2010","3"]]},"page":"57-66","title":"Evaluating the Utility of Remotely Sensed Soil Moisture Retrievals for Operational Agricultural Drought Monitoring","type":"article-journal","volume":"3"},"uris":["http://www.mendeley.com/documents/?uuid=b776ccd7-3284-4334-b9b5-1401b99766bd"]},{"id":"ITEM-2","itemData":{"DOI":"10.1029/2012GL053470","abstract":"The added value of satellite-based surface soil moisture retrievals for agricultural drought monitoring is assessed by calculating the lagged rank correlation between remotely-sensed vegetation indices (VI) and soil moisture estimates obtained both before and after the assimilation of surface soil moisture retrievals derived from the Advanced Microwave Scanning Radiometer-EOS (AMSR-E) into a soil water balance model. Higher soil moisture/VI lag correlations imply an enhanced ability to predict future vegetation conditions using estimates of current soil moisture. Results demonstrate that the assimilation of AMSR-E surface soil moisture retrievals substantially improve the performance of a global drought monitoring system - particularly in sparsely-instrumented areas of the world where high-quality rainfall observations are unavailable.","author":[{"dropping-particle":"","family":"Bolten","given":"J D","non-dropping-particle":"","parse-names":false,"suffix":""},{"dropping-particle":"","family":"Crow","given":"W T","non-dropping-particle":"","parse-names":false,"suffix":""}],"container-title":"Geophysical Research Letters","id":"ITEM-2","issue":"19","issued":{"date-parts":[["2012"]]},"title":"Improved prediction of quasi-global vegetation conditions using remotely-sensed surface soil moisture","type":"article-journal","volume":"39"},"uris":["http://www.mendeley.com/documents/?uuid=be6fafff-560f-4edb-bc4a-e912804aed2d"]},{"id":"ITEM-3","itemData":{"DOI":"10.1109/JSTARS.2016.2639338","ISSN":"2151-1535","abstract":"This paper presents an intercomparative study of 12 operationally produced large-scale datasets describing soil moisture, evapotranspiration (ET), and/or vegetation characteristics within agricultural regions of the contiguous United States (CONUS). These datasets have been developed using a variety of techniques, including, hydrologic modeling, satellite-based retrievals, data assimilation, and survey/in-field data collection. The objectives are to assess the relative utility of each dataset for monitoring crop yield variability, to quantitatively assess their capacity for predicting end-of-season corn and soybean yields, and to examine the evolution of the yield-index correlations during the growing season. This analysis is unique both with regards to the number and variety of examined yield predictor datasets and the detailed assessment of the water availability timing on the end-of-season crop production during the growing season. Correlation results indicate that over CONUS, at state-level soil moisture and ET indices can provide better information for forecasting corn and soybean yields than vegetation-based indices such as normalized difference vegetation index. The strength of correlation with corn and soybean yields strongly depends on the interannual variability in yield measured at a given location. In this case study, some of the remotely derived datasets examined provide skill comparable to that of in-situ field survey-based data-further demonstrating the utility of these remote sensing-based approaches for estimating crop yield.","author":[{"dropping-particle":"","family":"Mladenova","given":"I E","non-dropping-particle":"","parse-names":false,"suffix":""},{"dropping-particle":"","family":"Bolten","given":"J D","non-dropping-particle":"","parse-names":false,"suffix":""},{"dropping-particle":"","family":"Crow","given":"W T","non-dropping-particle":"","parse-names":false,"suffix":""},{"dropping-particle":"","family":"Anderson","given":"M C","non-dropping-particle":"","parse-names":false,"suffix":""},{"dropping-particle":"","family":"Hain","given":"C R","non-dropping-particle":"","parse-names":false,"suffix":""},{"dropping-particle":"","family":"Johnson","given":"D M","non-dropping-particle":"","parse-names":false,"suffix":""},{"dropping-particle":"","family":"Mueller","given":"R","non-dropping-particle":"","parse-names":false,"suffix":""}],"container-title":"IEEE Journal of Selected Topics in Applied Earth Observations and Remote Sensing","id":"ITEM-3","issue":"4","issued":{"date-parts":[["2017","4"]]},"page":"1328-1343","title":"Intercomparison of Soil Moisture, Evaporative Stress, and Vegetation Indices for Estimating Corn and Soybean Yields Over the U.S.","type":"article-journal","volume":"10"},"uris":["http://www.mendeley.com/documents/?uuid=63da6971-2b34-4b0f-ac4a-a277191020ab"]},{"id":"ITEM-4","itemData":{"DOI":"10.3390/rs10081265","ISSN":"2072-4292 (Print)","PMID":"32021700","abstract":"Soil moisture is considered a key variable to assess crop and drought conditions.  However, readily available soil moisture datasets developed for monitoring agricultural drought conditions are uncommon. The aim of this work is to examine two global soil moisture data sets and a set of soil moisture web-based processing tools developed to demonstrate the value of the soil moisture data for drought monitoring and crop forecasting using Google Earth Engine (GEE). The two global soil moisture data sets discussed in the paper are generated by integrating Soil Moisture Ocean Salinity (SMOS) and Soil Moisture Active Passive (SMAP) satellite-derived observations into the modified two-layer Palmer model using a 1-D Ensemble Kalman Filter (EnKF) data assimilation approach. The web-based tools are designed to explore soil moisture variability as a function of land cover change and to easily estimate drought characteristics such as drought duration and intensity using soil moisture anomalies, and to inter-compare them against alternative drought indicators. To demonstrate the utility of these tools for agricultural drought monitoring, the soil moisture products, vegetation- and precipitation-based products are assessed over drought prone regions in South Africa and Ethiopia. Overall, the 3-month scale Standardized Precipitation Index (SPI) and Normalized Vegetation Index (NDVI) showed higher agreement with the root zone soil moisture anomalies. Soil moisture anomalies exhibited lower drought duration but higher intensity compare to SPIs. Inclusion of the global soil moisture data into GEE data catalog and the development of the web-based tools described in the paper enable a vast diversity of users to quickly and easily assess the impact of drought and improve planning related to drought risk assessment and early warning. GEE also improves the accessibility and usability of the earth observation data and related tools by making them available to a wide range of researchers and the public. In particular, the cloud-based nature of GEE is useful for providing access to the soil moisture data and scripts to users in developing countries that lack adequate observational soil moisture data or the necessary computational resources required to develop them.","author":[{"dropping-particle":"","family":"Sazib","given":"Nazmus","non-dropping-particle":"","parse-names":false,"suffix":""},{"dropping-particle":"","family":"Mladenova","given":"Iliana","non-dropping-particle":"","parse-names":false,"suffix":""},{"dropping-particle":"","family":"Bolten","given":"John","non-dropping-particle":"","parse-names":false,"suffix":""}],"container-title":"Remote sensing","id":"ITEM-4","issue":"8","issued":{"date-parts":[["2018"]]},"language":"eng","title":"Leveraging Google Earth Engine for Drought Assessment using Global Soil Moisture  Data.","type":"article-journal","volume":"10"},"uris":["http://www.mendeley.com/documents/?uuid=16db8e20-4149-4cb9-ab14-53bcdd59c852"]},{"id":"ITEM-5","itemData":{"DOI":"10.1109/TGRS.2008.917807","author":[{"dropping-particle":"","family":"Kerr","given":"Yann","non-dropping-particle":"","parse-names":false,"suffix":""},{"dropping-particle":"","family":"Levine","given":"David","non-dropping-particle":"","parse-names":false,"suffix":""}],"container-title":"Geoscience and Remote Sensing, IEEE Transactions on","id":"ITEM-5","issued":{"date-parts":[["2008"]]},"page":"583-585","title":"Foreword to the Special Issue on the Soil Moisture and Ocean Salinity (SMOS) Mission","type":"article-journal","volume":"46"},"uris":["http://www.mendeley.com/documents/?uuid=f091ea68-4de0-4c15-a49c-482bb6ce8462"]}],"mendeley":{"formattedCitation":"(Bolten et al., 2010; Bolten and Crow, 2012; Kerr and Levine, 2008; Mladenova et al., 2017; Sazib et al., 2018)","plainTextFormattedCitation":"(Bolten et al., 2010; Bolten and Crow, 2012; Kerr and Levine, 2008; Mladenova et al., 2017; Sazib et al., 2018)","previouslyFormattedCitation":"(Bolten et al., 2010; Bolten and Crow, 2012; Kerr and Levine, 2008; Mladenova et al., 2017; Sazib et al., 2018)"},"properties":{"noteIndex":0},"schema":"https://github.com/citation-style-language/schema/raw/master/csl-citation.json"}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 xml:space="preserve">(Bolten et al., 2010; Bolten and Crow, </w:t>
            </w:r>
            <w:r w:rsidRPr="00075B71">
              <w:rPr>
                <w:rFonts w:ascii="Times New Roman" w:eastAsia="Times New Roman" w:hAnsi="Times New Roman" w:cs="Times New Roman"/>
                <w:bCs/>
                <w:noProof/>
                <w:sz w:val="18"/>
                <w:szCs w:val="18"/>
                <w:lang w:val="en-GB"/>
              </w:rPr>
              <w:lastRenderedPageBreak/>
              <w:t>2012; Kerr and Levine, 2008; Mladenova et al., 2017; Sazib et al., 2018)</w:t>
            </w:r>
            <w:r w:rsidRPr="00075B71">
              <w:rPr>
                <w:rFonts w:ascii="Times New Roman" w:eastAsia="Times New Roman" w:hAnsi="Times New Roman" w:cs="Times New Roman"/>
                <w:bCs/>
                <w:sz w:val="18"/>
                <w:szCs w:val="18"/>
                <w:lang w:val="en-GB"/>
              </w:rPr>
              <w:fldChar w:fldCharType="end"/>
            </w:r>
          </w:p>
        </w:tc>
      </w:tr>
      <w:tr w:rsidR="007F1199" w:rsidRPr="00877E75" w14:paraId="65EAD5BA" w14:textId="77777777" w:rsidTr="00600787">
        <w:trPr>
          <w:trHeight w:val="225"/>
        </w:trPr>
        <w:tc>
          <w:tcPr>
            <w:tcW w:w="1980" w:type="dxa"/>
            <w:vMerge/>
            <w:vAlign w:val="center"/>
            <w:hideMark/>
          </w:tcPr>
          <w:p w14:paraId="3907EF7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0079D1D8"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5C73EE6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susm_median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668D182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4DE5048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2C44B53B" w14:textId="77777777" w:rsidTr="00600787">
        <w:trPr>
          <w:trHeight w:val="225"/>
        </w:trPr>
        <w:tc>
          <w:tcPr>
            <w:tcW w:w="1980" w:type="dxa"/>
            <w:vMerge/>
            <w:vAlign w:val="center"/>
            <w:hideMark/>
          </w:tcPr>
          <w:p w14:paraId="7D162CF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56C8DFBE"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733C635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susm_mean_RW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6EBC39A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45FD94D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588E5929" w14:textId="77777777" w:rsidTr="00600787">
        <w:trPr>
          <w:trHeight w:val="225"/>
        </w:trPr>
        <w:tc>
          <w:tcPr>
            <w:tcW w:w="1980" w:type="dxa"/>
            <w:vMerge/>
            <w:vAlign w:val="center"/>
            <w:hideMark/>
          </w:tcPr>
          <w:p w14:paraId="62E9753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141D40F"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4571159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susm_median_RW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1E555EE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4C25933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05FC4CD8" w14:textId="77777777" w:rsidTr="00600787">
        <w:trPr>
          <w:trHeight w:val="225"/>
        </w:trPr>
        <w:tc>
          <w:tcPr>
            <w:tcW w:w="1980" w:type="dxa"/>
            <w:vMerge w:val="restart"/>
            <w:shd w:val="clear" w:color="auto" w:fill="auto"/>
            <w:vAlign w:val="center"/>
            <w:hideMark/>
          </w:tcPr>
          <w:p w14:paraId="67FF571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Subsurface soil moisture anomaly</w:t>
            </w:r>
          </w:p>
        </w:tc>
        <w:tc>
          <w:tcPr>
            <w:tcW w:w="1828" w:type="dxa"/>
            <w:vMerge w:val="restart"/>
            <w:shd w:val="clear" w:color="auto" w:fill="auto"/>
            <w:vAlign w:val="center"/>
            <w:hideMark/>
          </w:tcPr>
          <w:p w14:paraId="49BD7F26"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Subsurface soil moisture anomaly Values closer to 1 is extreme wetting and -1 is extreme dry soil</w:t>
            </w:r>
          </w:p>
        </w:tc>
        <w:tc>
          <w:tcPr>
            <w:tcW w:w="2566" w:type="dxa"/>
            <w:shd w:val="clear" w:color="auto" w:fill="auto"/>
            <w:vAlign w:val="center"/>
            <w:hideMark/>
          </w:tcPr>
          <w:p w14:paraId="05C3B49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susma_mean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3FF2D76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623E2AC9" w14:textId="77777777" w:rsidR="007F1199" w:rsidRPr="00075B71" w:rsidRDefault="007F1199" w:rsidP="00600787">
            <w:pPr>
              <w:widowControl w:val="0"/>
              <w:spacing w:line="480" w:lineRule="auto"/>
              <w:ind w:right="580"/>
              <w:jc w:val="both"/>
              <w:rPr>
                <w:rFonts w:ascii="Times New Roman" w:eastAsia="Times New Roman" w:hAnsi="Times New Roman" w:cs="Times New Roman"/>
                <w:bCs/>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{"citationItems":[{"id":"ITEM-1","itemData":{"DOI":"10.1109/JSTARS.2009.2037163","ISSN":"2151-1535","abstract":"Soil moisture is a fundamental data source used by the United States Department of Agriculture (USDA) International Production Assessment Division (IPAD) to monitor crop growth stage and condition and subsequently, globally forecast agricultural yields. Currently, the USDA IPAD estimates surface and root-zone soil moisture using a two-layer modified Palmer soil moisture model forced by global precipitation and temperature measurements. However, this approach suffers from well-known errors arising from uncertainty in model forcing data and highly simplified model physics. Here, we attempt to correct for these errors by designing and applying an Ensemble Kalman filter (EnKF) data assimilation system to integrate surface soil moisture retrievals from the NASA Advanced Microwave Scanning Radiometer (AMSR-E) into the USDA modified Palmer soil moisture model. An assessment of soil moisture analysis products produced from this assimilation has been completed for a five-year (2002 to 2007) period over the North American continent between 23° N-50° N and 128° W-65° W. In particular, a data denial experimental approach is utilized to isolate the added utility of integrating remotely sensed soil moisture by comparing EnKF soil moisture results obtained using (relatively) low-quality precipitation products obtained from real-time satellite imagery to baseline Palmer model runs forced with higher quality rainfall. An analysis of root-zone anomalies for each model simulation suggests that the assimilation of AMSR-E surface soil moisture retrievals can add significant value to USDA root-zone predictions derived from real-time satellite precipitation products.","author":[{"dropping-particle":"","family":"Bolten","given":"J D","non-dropping-particle":"","parse-names":false,"suffix":""},{"dropping-particle":"","family":"Crow","given":"W T","non-dropping-particle":"","parse-names":false,"suffix":""},{"dropping-particle":"","family":"Zhan","given":"X","non-dropping-particle":"","parse-names":false,"suffix":""},{"dropping-particle":"","family":"Jackson","given":"T J","non-dropping-particle":"","parse-names":false,"suffix":""},{"dropping-particle":"","family":"Reynolds","given":"C A","non-dropping-particle":"","parse-names":false,"suffix":""}],"container-title":"IEEE Journal of Selected Topics in Applied Earth Observations and Remote Sensing","id":"ITEM-1","issue":"1","issued":{"date-parts":[["2010","3"]]},"page":"57-66","title":"Evaluating the Utility of Remotely Sensed Soil Moisture Retrievals for Operational Agricultural Drought Monitoring","type":"article-journal","volume":"3"},"uris":["http://www.mendeley.com/documents/?uuid=b776ccd7-3284-4334-b9b5-1401b99766bd"]},{"id":"ITEM-2","itemData":{"DOI":"10.1029/2012GL053470","abstract":"The added value of satellite-based surface soil moisture retrievals for agricultural drought monitoring is assessed by calculating the lagged rank correlation between remotely-sensed vegetation indices (VI) and soil moisture estimates obtained both before and after the assimilation of surface soil moisture retrievals derived from the Advanced Microwave Scanning Radiometer-EOS (AMSR-E) into a soil water balance model. Higher soil moisture/VI lag correlations imply an enhanced ability to predict future vegetation conditions using estimates of current soil moisture. Results demonstrate that the assimilation of AMSR-E surface soil moisture retrievals substantially improve the performance of a global drought monitoring system - particularly in sparsely-instrumented areas of the world where high-quality rainfall observations are unavailable.","author":[{"dropping-particle":"","family":"Bolten","given":"J D","non-dropping-particle":"","parse-names":false,"suffix":""},{"dropping-particle":"","family":"Crow","given":"W T","non-dropping-particle":"","parse-names":false,"suffix":""}],"container-title":"Geophysical Research Letters","id":"ITEM-2","issue":"19","issued":{"date-parts":[["2012"]]},"title":"Improved prediction of quasi-global vegetation conditions using remotely-sensed surface soil moisture","type":"article-journal","volume":"39"},"uris":["http://www.mendeley.com/documents/?uuid=be6fafff-560f-4edb-bc4a-e912804aed2d"]},{"id":"ITEM-3","itemData":{"DOI":"10.1109/JSTARS.2016.2639338","ISSN":"2151-1535","abstract":"This paper presents an intercomparative study of 12 operationally produced large-scale datasets describing soil moisture, evapotranspiration (ET), and/or vegetation characteristics within agricultural regions of the contiguous United States (CONUS). These datasets have been developed using a variety of techniques, including, hydrologic modeling, satellite-based retrievals, data assimilation, and survey/in-field data collection. The objectives are to assess the relative utility of each dataset for monitoring crop yield variability, to quantitatively assess their capacity for predicting end-of-season corn and soybean yields, and to examine the evolution of the yield-index correlations during the growing season. This analysis is unique both with regards to the number and variety of examined yield predictor datasets and the detailed assessment of the water availability timing on the end-of-season crop production during the growing season. Correlation results indicate that over CONUS, at state-level soil moisture and ET indices can provide better information for forecasting corn and soybean yields than vegetation-based indices such as normalized difference vegetation index. The strength of correlation with corn and soybean yields strongly depends on the interannual variability in yield measured at a given location. In this case study, some of the remotely derived datasets examined provide skill comparable to that of in-situ field survey-based data-further demonstrating the utility of these remote sensing-based approaches for estimating crop yield.","author":[{"dropping-particle":"","family":"Mladenova","given":"I E","non-dropping-particle":"","parse-names":false,"suffix":""},{"dropping-particle":"","family":"Bolten","given":"J D","non-dropping-particle":"","parse-names":false,"suffix":""},{"dropping-particle":"","family":"Crow","given":"W T","non-dropping-particle":"","parse-names":false,"suffix":""},{"dropping-particle":"","family":"Anderson","given":"M C","non-dropping-particle":"","parse-names":false,"suffix":""},{"dropping-particle":"","family":"Hain","given":"C R","non-dropping-particle":"","parse-names":false,"suffix":""},{"dropping-particle":"","family":"Johnson","given":"D M","non-dropping-particle":"","parse-names":false,"suffix":""},{"dropping-particle":"","family":"Mueller","given":"R","non-dropping-particle":"","parse-names":false,"suffix":""}],"container-title":"IEEE Journal of Selected Topics in Applied Earth Observations and Remote Sensing","id":"ITEM-3","issue":"4","issued":{"date-parts":[["2017","4"]]},"page":"1328-1343","title":"Intercomparison of Soil Moisture, Evaporative Stress, and Vegetation Indices for Estimating Corn and Soybean Yields Over the U.S.","type":"article-journal","volume":"10"},"uris":["http://www.mendeley.com/documents/?uuid=63da6971-2b34-4b0f-ac4a-a277191020ab"]},{"id":"ITEM-4","itemData":{"DOI":"10.3390/rs10081265","ISSN":"2072-4292 (Print)","PMID":"32021700","abstract":"Soil moisture is considered a key variable to assess crop and drought conditions.  However, readily available soil moisture datasets developed for monitoring agricultural drought conditions are uncommon. The aim of this work is to examine two global soil moisture data sets and a set of soil moisture web-based processing tools developed to demonstrate the value of the soil moisture data for drought monitoring and crop forecasting using Google Earth Engine (GEE). The two global soil moisture data sets discussed in the paper are generated by integrating Soil Moisture Ocean Salinity (SMOS) and Soil Moisture Active Passive (SMAP) satellite-derived observations into the modified two-layer Palmer model using a 1-D Ensemble Kalman Filter (EnKF) data assimilation approach. The web-based tools are designed to explore soil moisture variability as a function of land cover change and to easily estimate drought characteristics such as drought duration and intensity using soil moisture anomalies, and to inter-compare them against alternative drought indicators. To demonstrate the utility of these tools for agricultural drought monitoring, the soil moisture products, vegetation- and precipitation-based products are assessed over drought prone regions in South Africa and Ethiopia. Overall, the 3-month scale Standardized Precipitation Index (SPI) and Normalized Vegetation Index (NDVI) showed higher agreement with the root zone soil moisture anomalies. Soil moisture anomalies exhibited lower drought duration but higher intensity compare to SPIs. Inclusion of the global soil moisture data into GEE data catalog and the development of the web-based tools described in the paper enable a vast diversity of users to quickly and easily assess the impact of drought and improve planning related to drought risk assessment and early warning. GEE also improves the accessibility and usability of the earth observation data and related tools by making them available to a wide range of researchers and the public. In particular, the cloud-based nature of GEE is useful for providing access to the soil moisture data and scripts to users in developing countries that lack adequate observational soil moisture data or the necessary computational resources required to develop them.","author":[{"dropping-particle":"","family":"Sazib","given":"Nazmus","non-dropping-particle":"","parse-names":false,"suffix":""},{"dropping-particle":"","family":"Mladenova","given":"Iliana","non-dropping-particle":"","parse-names":false,"suffix":""},{"dropping-particle":"","family":"Bolten","given":"John","non-dropping-particle":"","parse-names":false,"suffix":""}],"container-title":"Remote sensing","id":"ITEM-4","issue":"8","issued":{"date-parts":[["2018"]]},"language":"eng","title":"Leveraging Google Earth Engine for Drought Assessment using Global Soil Moisture  Data.","type":"article-journal","volume":"10"},"uris":["http://www.mendeley.com/documents/?uuid=16db8e20-4149-4cb9-ab14-53bcdd59c852"]},{"id":"ITEM-5","itemData":{"DOI":"10.1109/TGRS.2008.917807","author":[{"dropping-particle":"","family":"Kerr","given":"Yann","non-dropping-particle":"","parse-names":false,"suffix":""},{"dropping-particle":"","family":"Levine","given":"David","non-dropping-particle":"","parse-names":false,"suffix":""}],"container-title":"Geoscience and Remote Sensing, IEEE Transactions on","id":"ITEM-5","issued":{"date-parts":[["2008"]]},"page":"583-585","title":"Foreword to the Special Issue on the Soil Moisture and Ocean Salinity (SMOS) Mission","type":"article-journal","volume":"46"},"uris":["http://www.mendeley.com/documents/?uuid=f091ea68-4de0-4c15-a49c-482bb6ce8462"]}],"mendeley":{"formattedCitation":"(Bolten et al., 2010; Bolten and Crow, 2012; Kerr and Levine, 2008; Mladenova et al., 2017; Sazib et al., 2018)","plainTextFormattedCitation":"(Bolten et al., 2010; Bolten and Crow, 2012; Kerr and Levine, 2008; Mladenova et al., 2017; Sazib et al., 2018)","previouslyFormattedCitation":"(Bolten et al., 2010; Bolten and Crow, 2012; Kerr and Levine, 2008; Mladenova et al., 2017; Sazib et al., 2018)"},"properties":{"noteIndex":0},"schema":"https://github.com/citation-style-language/schema/raw/master/csl-citation.json"}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(Bolten et al., 2010; Bolten and Crow, 2012; Kerr and Levine, 2008; Mladenova et al., 2017; Sazib et al., 2018)</w:t>
            </w:r>
            <w:r w:rsidRPr="00075B71">
              <w:rPr>
                <w:rFonts w:ascii="Times New Roman" w:eastAsia="Times New Roman" w:hAnsi="Times New Roman" w:cs="Times New Roman"/>
                <w:bCs/>
                <w:sz w:val="18"/>
                <w:szCs w:val="18"/>
                <w:lang w:val="en-GB"/>
              </w:rPr>
              <w:fldChar w:fldCharType="end"/>
            </w:r>
          </w:p>
        </w:tc>
      </w:tr>
      <w:tr w:rsidR="007F1199" w:rsidRPr="00877E75" w14:paraId="790A8CAB" w14:textId="77777777" w:rsidTr="00600787">
        <w:trPr>
          <w:trHeight w:val="225"/>
        </w:trPr>
        <w:tc>
          <w:tcPr>
            <w:tcW w:w="1980" w:type="dxa"/>
            <w:vMerge/>
            <w:vAlign w:val="center"/>
            <w:hideMark/>
          </w:tcPr>
          <w:p w14:paraId="3B1CBC8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587A755E"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6CF5728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susma_median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1F38C8D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607EBC4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4D64027C" w14:textId="77777777" w:rsidTr="00600787">
        <w:trPr>
          <w:trHeight w:val="225"/>
        </w:trPr>
        <w:tc>
          <w:tcPr>
            <w:tcW w:w="1980" w:type="dxa"/>
            <w:vMerge/>
            <w:vAlign w:val="center"/>
            <w:hideMark/>
          </w:tcPr>
          <w:p w14:paraId="24C36CE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7835288A"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2A611B7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susma_mean_RW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6A66615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74B135A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533570E7" w14:textId="77777777" w:rsidTr="00600787">
        <w:trPr>
          <w:trHeight w:val="225"/>
        </w:trPr>
        <w:tc>
          <w:tcPr>
            <w:tcW w:w="1980" w:type="dxa"/>
            <w:vMerge/>
            <w:vAlign w:val="center"/>
            <w:hideMark/>
          </w:tcPr>
          <w:p w14:paraId="10C03F8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A51771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6252291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susma_median_RW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04FEFD4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4547167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8F2D2FA" w14:textId="77777777" w:rsidTr="00600787">
        <w:trPr>
          <w:trHeight w:val="225"/>
        </w:trPr>
        <w:tc>
          <w:tcPr>
            <w:tcW w:w="1980" w:type="dxa"/>
            <w:vMerge w:val="restart"/>
            <w:shd w:val="clear" w:color="auto" w:fill="auto"/>
            <w:noWrap/>
            <w:vAlign w:val="center"/>
            <w:hideMark/>
          </w:tcPr>
          <w:p w14:paraId="4439250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Rain</w:t>
            </w:r>
          </w:p>
        </w:tc>
        <w:tc>
          <w:tcPr>
            <w:tcW w:w="1828" w:type="dxa"/>
            <w:vMerge w:val="restart"/>
            <w:shd w:val="clear" w:color="auto" w:fill="auto"/>
            <w:vAlign w:val="center"/>
            <w:hideMark/>
          </w:tcPr>
          <w:p w14:paraId="5F4F93CD"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Merged microwave/IR precipitation estimate</w:t>
            </w:r>
          </w:p>
        </w:tc>
        <w:tc>
          <w:tcPr>
            <w:tcW w:w="2566" w:type="dxa"/>
            <w:shd w:val="clear" w:color="auto" w:fill="auto"/>
            <w:vAlign w:val="center"/>
            <w:hideMark/>
          </w:tcPr>
          <w:p w14:paraId="0AE61A2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precipitation_mean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38854B1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6C9E88C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{"citationItems":[{"id":"ITEM-1","itemData":{"DOI":"10.1175/1525-7541(2003)004&lt;1147:TVGPCP&gt;2.0.CO;2","ISSN":"1525-755X","abstract":"The Global Precipitation Climatology Project (GPCP) Version-2 Monthly Precipitation Analysis is described. This globally complete, monthly analysis of surface precipitation at 2.5° latitude × 2.5° longitude resolution is available from January 1979 to the present. It is a merged analysis that incorporates precipitation estimates from low-orbit satellite microwave data, geosynchronous-orbit satellite infrared data, and surface rain gauge observations. The merging approach utilizes the higher accuracy of the low-orbit microwave observations to calibrate, or adjust, the more frequent geosynchronous infrared observations. The dataset is extended back into the premicrowave era (before mid-1987) by using infrared-only observations calibrated to the microwave-based analysis of the later years. The combined satellite-based product is adjusted by the rain gauge analysis. The dataset archive also contains the individual input fields, a combined satellite estimate, and error estimates for each field. This monthly analysis is the foundation for the GPCP suite of products, including those at finer temporal resolution. The 23-yr GPCP climatology is characterized, along with time and space variations of precipitation.","author":[{"dropping-particle":"","family":"Adler","given":"Robert F","non-dropping-particle":"","parse-names":false,"suffix":""},{"dropping-particle":"","family":"Huffman","given":"George J","non-dropping-particle":"","parse-names":false,"suffix":""},{"dropping-particle":"","family":"Chang","given":"Alfred","non-dropping-particle":"","parse-names":false,"suffix":""},{"dropping-particle":"","family":"Ferraro","given":"Ralph","non-dropping-particle":"","parse-names":false,"suffix":""},{"dropping-particle":"","family":"Xie","given":"Ping-Ping","non-dropping-particle":"","parse-names":false,"suffix":""},{"dropping-particle":"","family":"Janowiak","given":"John","non-dropping-particle":"","parse-names":false,"suffix":""},{"dropping-particle":"","family":"Rudolf","given":"Bruno","non-dropping-particle":"","parse-names":false,"suffix":""},{"dropping-particle":"","family":"Schneider","given":"Udo","non-dropping-particle":"","parse-names":false,"suffix":""},{"dropping-particle":"","family":"Curtis","given":"Scott","non-dropping-particle":"","parse-names":false,"suffix":""},{"dropping-particle":"","family":"Bolvin","given":"David","non-dropping-particle":"","parse-names":false,"suffix":""},{"dropping-particle":"","family":"Gruber","given":"Arnold","non-dropping-particle":"","parse-names":false,"suffix":""},{"dropping-particle":"","family":"Susskind","given":"Joel","non-dropping-particle":"","parse-names":false,"suffix":""},{"dropping-particle":"","family":"Arkin","given":"Philip","non-dropping-particle":"","parse-names":false,"suffix":""},{"dropping-particle":"","family":"Nelkin","given":"Eric","non-dropping-particle":"","parse-names":false,"suffix":""}],"container-title":"Journal of Hydrometeorology","id":"ITEM-1","issue":"6","issued":{"date-parts":[["2003","12","1"]]},"page":"1147-1167","title":"The Version-2 Global Precipitation Climatology Project (GPCP) Monthly Precipitation Analysis (1979–Present)","type":"article-journal","volume":"4"},"uris":["http://www.mendeley.com/documents/?uuid=a3db82d0-92e9-4483-9f85-e5ce6c3f74b6"]},{"id":"ITEM-2","itemData":{"DOI":"10.1175/1520-0450(1997)036&lt;1191:EORMSR&gt;2.0.CO;2","ISSN":"0894-8763","abstract":"The random errors contained in a finite set E of precipitation estimates result from both finite sampling and measurement–algorithm effects. The expected root-mean-square random error associated with the estimated average precipitation in E is shown to be σr = r̄[(H − p)/pNI]1/2, where r̄ is the space–time-average precipitation estimate over E, H is a function of the shape of the probability distribution of precipitation (the nondimensional second moment), p is the frequency of nonzero precipitation in E, and NI is the number of independent samples in E. All of these quantities are variables of the space–time-average dataset. In practice H is nearly constant and close to the value 1.5 over most of the globe. An approximate form of σr is derived that accommodates the limitations of typical monthly datasets, then it is applied to the microwave, infrared, and gauge precipitation monthly datasets from the Global Precipitation Climatology Project. As an aid to visualizing differences in σr for various datasets, a “quality index” is introduced. Calibration in a few locations with dense gauge networks reveals that the approximate form is a reasonable first step in estimating σr.","author":[{"dropping-particle":"","family":"Huffman","given":"George J","non-dropping-particle":"","parse-names":false,"suffix":""}],"container-title":"Journal of Applied Meteorology","id":"ITEM-2","issue":"9","issued":{"date-parts":[["1997","9","1"]]},"page":"1191-1201","title":"Estimates of Root-Mean-Square Random Error for Finite Samples of Estimated Precipitation","type":"article-journal","volume":"36"},"uris":["http://www.mendeley.com/documents/?uuid=a9df2fff-2723-48f6-945a-8063a4c1b3d6"]},{"id":"ITEM-3","itemData":{"DOI":"10.1175/1520-0477(1997)078&lt;0005:TGPCPG&gt;2.0.CO;2","author":[{"dropping-particle":"","family":"Huffman","given":"George","non-dropping-particle":"","parse-names":false,"suffix":""},{"dropping-particle":"","family":"Adler","given":"Robert","non-dropping-particle":"","parse-names":false,"suffix":""},{"dropping-particle":"","family":"Arkin","given":"Philip","non-dropping-particle":"","parse-names":false,"suffix":""},{"dropping-particle":"","family":"Chang","given":"Alfred","non-dropping-particle":"","parse-names":false,"suffix":""},{"dropping-particle":"","family":"Ferraro","given":"R","non-dropping-particle":"","parse-names":false,"suffix":""},{"dropping-particle":"","family":"Gruber","given":"Arnold","non-dropping-particle":"","parse-names":false,"suffix":""},{"dropping-particle":"","family":"Janowiak","given":"John","non-dropping-particle":"","parse-names":false,"suffix":""},{"dropping-particle":"","family":"McNab","given":"Alan","non-dropping-particle":"","parse-names":false,"suffix":""},{"dropping-particle":"","family":"Rudolf","given":"Bruno","non-dropping-particle":"","parse-names":false,"suffix":""},{"dropping-particle":"","family":"Schneider","given":"Udo","non-dropping-particle":"","parse-names":false,"suffix":""}],"container-title":"Bulletin of the American Meteorological Society","id":"ITEM-3","issued":{"date-parts":[["1997"]]},"title":"The Global Precipitation Climatology Project (GPCP) Combined Precipitation Data Set","type":"article-journal","volume":"78"},"uris":["http://www.mendeley.com/documents/?uuid=34d7d351-b116-4a17-8986-d1f80fcbef8f"]},{"id":"ITEM-4","itemData":{"author":[{"dropping-particle":"","family":"Huffman","given":"G","non-dropping-particle":"","parse-names":false,"suffix":""},{"dropping-particle":"","family":"Bolvin","given":"D","non-dropping-particle":"","parse-names":false,"suffix":""},{"dropping-particle":"","family":"Nelkin","given":"E","non-dropping-particle":"","parse-names":false,"suffix":""},{"dropping-particle":"","family":"Wolff","given":"D","non-dropping-particle":"","parse-names":false,"suffix":""},{"dropping-particle":"","family":"Adler","given":"R","non-dropping-particle":"","parse-names":false,"suffix":""},{"dropping-particle":"","family":"Gu","given":"G","non-dropping-particle":"","parse-names":false,"suffix":""},{"dropping-particle":"","family":"Hong","given":"Y","non-dropping-particle":"","parse-names":false,"suffix":""},{"dropping-particle":"","family":"Bowman","given":"Kenneth P","non-dropping-particle":"","parse-names":false,"suffix":""},{"dropping-particle":"","family":"Stocker","given":"E","non-dropping-particle":"","parse-names":false,"suffix":""}],"container-title":"Journal of Hydrometeorology","id":"ITEM-4","issued":{"date-parts":[["2007"]]},"page":"38-55","title":"The TRMM Multisatellite Precipitation Analysis (TMPA): Quasi-Global, Multiyear, Combined-Sensor Precipitation Estimates at Fine Scales","type":"article-journal","volume":"8"},"uris":["http://www.mendeley.com/documents/?uuid=9a6de067-6994-4c26-a9fa-b9e47435be97"]},{"id":"ITEM-5","itemData":{"DOI":"10.1175/1525-7541(2001)002&lt;0036:GPAODD&gt;2.0.CO;2","ISSN":"1525-755X","abstract":"The One-Degree Daily (1DD) technique is described for producing globally complete daily estimates of precipitation on a 1° × 1° lat/long grid from currently available observational data. Where possible (40°N–40°S), the Threshold-Matched Precipitation Index (TMPI) provides precipitation estimates in which the 3-hourly infrared brightness temperatures (IR Tb) are compared with a threshold and all “cold” pixels are given a single precipitation rate. This approach is an adaptation of the Geostationary Operational Environmental Satellite Precipitation Index, but for the TMPI the IR Tb threshold and conditional rain rate are set locally by month from Special Sensor Microwave Imager–based precipitation frequency and the Global Precipitation Climatology Project (GPCP) satellite–gauge (SG) combined monthly precipitation estimate, respectively. At higher latitudes the 1DD features a rescaled daily Television and Infrared Observation Satellite Operational Vertical Sounder (TOVS) precipitation. The frequency of rain days in the TOVS is scaled down to match that in the TMPI at the data boundaries, and the resulting nonzero TOVS values are scaled locally to sum to the SG (which is a globally complete monthly product).The GPCP has approved the 1DD as an official product, and data have been produced for 1997 through 1999, with production continuing a few months behind real time (to allow access to monthly input data). The time series of the daily 1DD global images shows good continuity in time and across the data boundaries. Various examples are shown to illustrate uses. Validation for individual gridbox values shows a very high mean absolute error, but it improves quickly when users perform time/space averaging according to their own requirements.","author":[{"dropping-particle":"","family":"Huffman","given":"George J","non-dropping-particle":"","parse-names":false,"suffix":""},{"dropping-particle":"","family":"Adler","given":"Robert F","non-dropping-particle":"","parse-names":false,"suffix":""},{"dropping-particle":"","family":"Morrissey","given":"Mark M","non-dropping-particle":"","parse-names":false,"suffix":""},{"dropping-particle":"","family":"Bolvin","given":"David T","non-dropping-particle":"","parse-names":false,"suffix":""},{"dropping-particle":"","family":"Curtis","given":"Scott","non-dropping-particle":"","parse-names":false,"suffix":""},{"dropping-particle":"","family":"Joyce","given":"Robert","non-dropping-particle":"","parse-names":false,"suffix":""},{"dropping-particle":"","family":"McGavock","given":"Brad","non-dropping-particle":"","parse-names":false,"suffix":""},{"dropping-particle":"","family":"Susskind","given":"Joel","non-dropping-particle":"","parse-names":false,"suffix":""}],"container-title":"Journal of Hydrometeorology","id":"ITEM-5","issue":"1","issued":{"date-parts":[["2001","2","1"]]},"page":"36-50","title":"Global Precipitation at One-Degree Daily Resolution from Multisatellite Observations","type":"article-journal","volume":"2"},"uris":["http://www.mendeley.com/documents/?uuid=2fed26c0-d5d2-425e-997f-209ef9a7be71"]},{"id":"ITEM-6","itemData":{"ISSN":"08948755, 15200442","abstract":"[The \"satellite-gauge-model\" (SGM) technique is described for combining precipitation estimates from microwave satellite data, infrared satellite data, rain gauge analyses, and numerical weather prediction models into improved estimates of global precipitation. Throughout, monthly estimates on a 2.5° × 2.5° lat–long grid are employed. First, a multisatellite product is developed using a combination of low-orbit microwave and geosynchronous-orbit infrared data in the latitude range 40°N–40°S (the adjusted geosynchronous precipitation index) and low-orbit microwave data alone at higher latitudes. Then the rain gauge analysis is brought in, weighting each field by its inverse relative error variance to produce a nearly global, observationally based precipitation estimate. To produce a complete global estimate, the numerical model results are used to fill data voids in the combined satellite-gauge estimate. Our sequential approach to combining estimates allows a user to select the multisatellite estimate, the satellite-gauge estimate, or the full SGM estimate (observationally based estimates plus the model information). The primary limitation in the method is imperfections in the estimation of relative error for the individual fields. The SGM results for one year of data (July 1987 to June 1988) show important differences from the individual estimates, including model estimates as well as climatological estimates. In general, the SGM results are drier in the subtropics than the model and climatological results, reflecting the relatively dry microwave estimates that dominate the SGM in oceanic regions.]","author":[{"dropping-particle":"","family":"Huffman","given":"George J","non-dropping-particle":"","parse-names":false,"suffix":""},{"dropping-particle":"","family":"Adler","given":"Robert F","non-dropping-particle":"","parse-names":false,"suffix":""},{"dropping-particle":"","family":"Rudolf","given":"Bruno","non-dropping-particle":"","parse-names":false,"suffix":""},{"dropping-particle":"","family":"Schneider","given":"Udo","non-dropping-particle":"","parse-names":false,"suffix":""},{"dropping-particle":"","family":"Keehn","given":"Peter R","non-dropping-particle":"","parse-names":false,"suffix":""}],"container-title":"Journal of Climate","id":"ITEM-6","issue":"5","issued":{"date-parts":[["1995","10","8"]]},"page":"1284-1295","publisher":"American Meteorological Society","title":"Global Precipitation Estimates Based on a Technique for Combining Satellite-Based Estimates, Rain Gauge Analysis, and NWP Model Precipitation Information","type":"article-journal","volume":"8"},"uris":["http://www.mendeley.com/documents/?uuid=fecc0f84-71cb-4df8-aa50-7344256f2496"]},{"id":"ITEM-7","itemData":{"author":[{"dropping-particle":"","family":"Huffman","given":"George","non-dropping-particle":"","parse-names":false,"suffix":""}],"container-title":"NASA","id":"ITEM-7","issued":{"date-parts":[["2014"]]},"page":"1-30","title":"Algorithm Theoretical Basis Document (ATBD) version 4.4 for the NASA Global Precipitation Measurement (GPM) Integrated Multi-satellitE Retrievals for GPM (I-MERG)","type":"article-journal"},"uris":["http://www.mendeley.com/documents/?uuid=732bab21-09a8-40b0-92a0-9e2b3b3e9b08"]}],"mendeley":{"formattedCitation":"(Adler et al., 2003; Huffman, 2014, 1997; Huffman et al., 2007, 1997, 2001, 1995)","plainTextFormattedCitation":"(Adler et al., 2003; Huffman, 2014, 1997; Huffman et al., 2007, 1997, 2001, 1995)","previouslyFormattedCitation":"(Adler et al., 2003; Huffman, 2014, 1997; Huffman et al., 2007, 1997, 2001, 1995)"},"properties":{"noteIndex":0},"schema":"https://github.com/citation-style-language/schema/raw/master/csl-citation.json"}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(Adler et al., 2003; Huffman, 2014, 1997; Huffman et al., 2007, 1997, 2001, 1995)</w:t>
            </w:r>
            <w:r w:rsidRPr="00075B71">
              <w:rPr>
                <w:rFonts w:ascii="Times New Roman" w:eastAsia="Times New Roman" w:hAnsi="Times New Roman" w:cs="Times New Roman"/>
                <w:bCs/>
                <w:sz w:val="18"/>
                <w:szCs w:val="18"/>
                <w:lang w:val="en-GB"/>
              </w:rPr>
              <w:fldChar w:fldCharType="end"/>
            </w:r>
          </w:p>
        </w:tc>
      </w:tr>
      <w:tr w:rsidR="007F1199" w:rsidRPr="00877E75" w14:paraId="680358AB" w14:textId="77777777" w:rsidTr="00600787">
        <w:trPr>
          <w:trHeight w:val="225"/>
        </w:trPr>
        <w:tc>
          <w:tcPr>
            <w:tcW w:w="1980" w:type="dxa"/>
            <w:vMerge/>
            <w:vAlign w:val="center"/>
            <w:hideMark/>
          </w:tcPr>
          <w:p w14:paraId="369484C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7AB6BCD4"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4F76F87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precipitation_median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2227CDC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6C0DC9C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6296FABA" w14:textId="77777777" w:rsidTr="00600787">
        <w:trPr>
          <w:trHeight w:val="225"/>
        </w:trPr>
        <w:tc>
          <w:tcPr>
            <w:tcW w:w="1980" w:type="dxa"/>
            <w:vMerge/>
            <w:vAlign w:val="center"/>
            <w:hideMark/>
          </w:tcPr>
          <w:p w14:paraId="636D95E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7E1D7DF6"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4C76308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precipitation_mean_RW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6D3106C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0CDF038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F7B8BFF" w14:textId="77777777" w:rsidTr="00600787">
        <w:trPr>
          <w:trHeight w:val="675"/>
        </w:trPr>
        <w:tc>
          <w:tcPr>
            <w:tcW w:w="1980" w:type="dxa"/>
            <w:vMerge/>
            <w:vAlign w:val="center"/>
            <w:hideMark/>
          </w:tcPr>
          <w:p w14:paraId="551DA39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6D1A830B"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2D22220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precipitation_median_RW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117F2E2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571A1A9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5F28E02" w14:textId="77777777" w:rsidTr="00600787">
        <w:trPr>
          <w:trHeight w:val="225"/>
        </w:trPr>
        <w:tc>
          <w:tcPr>
            <w:tcW w:w="1980" w:type="dxa"/>
            <w:vMerge w:val="restart"/>
            <w:shd w:val="clear" w:color="auto" w:fill="auto"/>
            <w:noWrap/>
            <w:vAlign w:val="center"/>
            <w:hideMark/>
          </w:tcPr>
          <w:p w14:paraId="61B6676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NDVI</w:t>
            </w:r>
          </w:p>
        </w:tc>
        <w:tc>
          <w:tcPr>
            <w:tcW w:w="1828" w:type="dxa"/>
            <w:vMerge w:val="restart"/>
            <w:shd w:val="clear" w:color="auto" w:fill="auto"/>
            <w:vAlign w:val="center"/>
            <w:hideMark/>
          </w:tcPr>
          <w:p w14:paraId="2DA9322F"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Normalized Difference Vegetation index</w:t>
            </w:r>
          </w:p>
        </w:tc>
        <w:tc>
          <w:tcPr>
            <w:tcW w:w="2566" w:type="dxa"/>
            <w:shd w:val="clear" w:color="auto" w:fill="auto"/>
            <w:vAlign w:val="center"/>
            <w:hideMark/>
          </w:tcPr>
          <w:p w14:paraId="4EF6FA2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ndvi_mean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73E7BC8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1C3770E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
                <w:sz w:val="18"/>
                <w:szCs w:val="18"/>
                <w:lang w:val="en-GB"/>
              </w:rPr>
              <w:fldChar w:fldCharType="begin" w:fldLock="1"/>
            </w:r>
            <w:r w:rsidRPr="00075B71">
              <w:rPr>
                <w:rFonts w:ascii="Times New Roman" w:eastAsia="Times New Roman" w:hAnsi="Times New Roman" w:cs="Times New Roman"/>
                <w:b/>
                <w:sz w:val="18"/>
                <w:szCs w:val="18"/>
                <w:lang w:val="en-GB"/>
              </w:rPr>
              <w:instrText>ADDIN CSL_CITATION {"citationItems":[{"id":"ITEM-1","itemData":{"author":[{"dropping-particle":"","family":"Google","given":"","non-dropping-particle":"","parse-names":false,"suffix":""}],"id":"ITEM-1","issued":{"date-parts":[["2020"]]},"title":"Catalog Earth Engine Data - MODIS Combined 16-Day NDVI","type":"webpage"},"uris":["http://www.mendeley.com/documents/?uuid=3779bef7-7549-4728-a880-1f37b1bc31e1","http://www.mendeley.com/documents/?uuid=6aa5e83e-474d-4c45-a6ce-6d4a641eeb4f"]}],"mendeley":{"formattedCitation":"(Google, 2020)","plainTextFormattedCitation":"(Google, 2020)","previouslyFormattedCitation":"(Google, 2020)"},"properties":{"noteIndex":0},"schema":"https://github.com/citation-style-language/schema/raw/master/csl-citation.json"}</w:instrText>
            </w:r>
            <w:r w:rsidRPr="00075B71">
              <w:rPr>
                <w:rFonts w:ascii="Times New Roman" w:eastAsia="Times New Roman" w:hAnsi="Times New Roman" w:cs="Times New Roman"/>
                <w:b/>
                <w:sz w:val="18"/>
                <w:szCs w:val="18"/>
                <w:lang w:val="en-GB"/>
              </w:rPr>
              <w:fldChar w:fldCharType="separate"/>
            </w:r>
            <w:r w:rsidRPr="00075B71">
              <w:rPr>
                <w:rFonts w:ascii="Times New Roman" w:eastAsia="Times New Roman" w:hAnsi="Times New Roman" w:cs="Times New Roman"/>
                <w:noProof/>
                <w:sz w:val="18"/>
                <w:szCs w:val="18"/>
                <w:lang w:val="en-GB"/>
              </w:rPr>
              <w:t>(Google, 2020)</w:t>
            </w:r>
            <w:r w:rsidRPr="00075B71">
              <w:rPr>
                <w:rFonts w:ascii="Times New Roman" w:eastAsia="Times New Roman" w:hAnsi="Times New Roman" w:cs="Times New Roman"/>
                <w:b/>
                <w:sz w:val="18"/>
                <w:szCs w:val="18"/>
                <w:lang w:val="en-GB"/>
              </w:rPr>
              <w:fldChar w:fldCharType="end"/>
            </w:r>
          </w:p>
        </w:tc>
      </w:tr>
      <w:tr w:rsidR="007F1199" w:rsidRPr="00877E75" w14:paraId="0E554D40" w14:textId="77777777" w:rsidTr="00600787">
        <w:trPr>
          <w:trHeight w:val="225"/>
        </w:trPr>
        <w:tc>
          <w:tcPr>
            <w:tcW w:w="1980" w:type="dxa"/>
            <w:vMerge/>
            <w:vAlign w:val="center"/>
            <w:hideMark/>
          </w:tcPr>
          <w:p w14:paraId="153E988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1D6E368E"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282FB25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ndvi_median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48D880E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34D5EF9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25D877CC" w14:textId="77777777" w:rsidTr="00600787">
        <w:trPr>
          <w:trHeight w:val="225"/>
        </w:trPr>
        <w:tc>
          <w:tcPr>
            <w:tcW w:w="1980" w:type="dxa"/>
            <w:vMerge/>
            <w:vAlign w:val="center"/>
            <w:hideMark/>
          </w:tcPr>
          <w:p w14:paraId="7981381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6D527C49"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1076EEF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ndvi_mean_RW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3DB92EC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0443531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4BAC9159" w14:textId="77777777" w:rsidTr="00600787">
        <w:trPr>
          <w:trHeight w:val="225"/>
        </w:trPr>
        <w:tc>
          <w:tcPr>
            <w:tcW w:w="1980" w:type="dxa"/>
            <w:vMerge/>
            <w:vAlign w:val="center"/>
            <w:hideMark/>
          </w:tcPr>
          <w:p w14:paraId="7C78950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8FA88DC"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7E612CD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ndvi_median_RW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710355C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27FDB8F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500B0945" w14:textId="77777777" w:rsidTr="00600787">
        <w:trPr>
          <w:trHeight w:val="225"/>
        </w:trPr>
        <w:tc>
          <w:tcPr>
            <w:tcW w:w="1980" w:type="dxa"/>
            <w:vMerge w:val="restart"/>
            <w:shd w:val="clear" w:color="auto" w:fill="auto"/>
            <w:noWrap/>
            <w:vAlign w:val="center"/>
            <w:hideMark/>
          </w:tcPr>
          <w:p w14:paraId="3650EC1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Elevation</w:t>
            </w:r>
          </w:p>
        </w:tc>
        <w:tc>
          <w:tcPr>
            <w:tcW w:w="1828" w:type="dxa"/>
            <w:vMerge w:val="restart"/>
            <w:shd w:val="clear" w:color="auto" w:fill="auto"/>
            <w:vAlign w:val="center"/>
            <w:hideMark/>
          </w:tcPr>
          <w:p w14:paraId="597DB8EB"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Elevation in meters</w:t>
            </w:r>
          </w:p>
        </w:tc>
        <w:tc>
          <w:tcPr>
            <w:tcW w:w="2566" w:type="dxa"/>
            <w:shd w:val="clear" w:color="auto" w:fill="auto"/>
            <w:vAlign w:val="center"/>
            <w:hideMark/>
          </w:tcPr>
          <w:p w14:paraId="472C00A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elevation_mean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7E2245C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03DCFE0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{"citationItems":[{"id":"ITEM-1","itemData":{"DOI":"10.3133/ofr20111073","ISBN":"2011-1073","author":[{"dropping-particle":"","family":"Danielson","given":"Jeffrey J","non-dropping-particle":"","parse-names":false,"suffix":""},{"dropping-particle":"","family":"Gesch","given":"Dean B","non-dropping-particle":"","parse-names":false,"suffix":""}],"container-title":"Open-File Report","edition":"-","id":"ITEM-1","issued":{"date-parts":[["2011"]]},"language":"ENGLISH","title":"Global multi-resolution terrain elevation data 2010 (GMTED2010)","type":"report"},"uris":["http://www.mendeley.com/documents/?uuid=fea113fa-da1c-4af2-bcf2-3c1056963d89"]}],"mendeley":{"formattedCitation":"(Danielson and Gesch, 2011)","plainTextFormattedCitation":"(Danielson and Gesch, 2011)","previouslyFormattedCitation":"(Danielson and Gesch, 2011)"},"properties":{"noteIndex":0},"schema":"https://github.com/citation-style-language/schema/raw/master/csl-citation.json"}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(Danielson and Gesch, 2011)</w:t>
            </w:r>
            <w:r w:rsidRPr="00075B71">
              <w:rPr>
                <w:rFonts w:ascii="Times New Roman" w:eastAsia="Times New Roman" w:hAnsi="Times New Roman" w:cs="Times New Roman"/>
                <w:bCs/>
                <w:sz w:val="18"/>
                <w:szCs w:val="18"/>
                <w:lang w:val="en-GB"/>
              </w:rPr>
              <w:fldChar w:fldCharType="end"/>
            </w:r>
          </w:p>
        </w:tc>
      </w:tr>
      <w:tr w:rsidR="007F1199" w:rsidRPr="00877E75" w14:paraId="42BFD09F" w14:textId="77777777" w:rsidTr="00600787">
        <w:trPr>
          <w:trHeight w:val="225"/>
        </w:trPr>
        <w:tc>
          <w:tcPr>
            <w:tcW w:w="1980" w:type="dxa"/>
            <w:vMerge/>
            <w:vAlign w:val="center"/>
            <w:hideMark/>
          </w:tcPr>
          <w:p w14:paraId="526F800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1A8F257F"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009E3F4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elevation_median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51EE148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35957BE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2B870F59" w14:textId="77777777" w:rsidTr="00600787">
        <w:trPr>
          <w:trHeight w:val="225"/>
        </w:trPr>
        <w:tc>
          <w:tcPr>
            <w:tcW w:w="1980" w:type="dxa"/>
            <w:vMerge w:val="restart"/>
            <w:shd w:val="clear" w:color="auto" w:fill="auto"/>
            <w:noWrap/>
            <w:vAlign w:val="center"/>
            <w:hideMark/>
          </w:tcPr>
          <w:p w14:paraId="53B32CF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Accessibility</w:t>
            </w:r>
          </w:p>
        </w:tc>
        <w:tc>
          <w:tcPr>
            <w:tcW w:w="1828" w:type="dxa"/>
            <w:vMerge w:val="restart"/>
            <w:shd w:val="clear" w:color="auto" w:fill="auto"/>
            <w:vAlign w:val="center"/>
            <w:hideMark/>
          </w:tcPr>
          <w:p w14:paraId="1BD0EB54"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Travel time to the nearest densely-populated area in meters</w:t>
            </w:r>
          </w:p>
        </w:tc>
        <w:tc>
          <w:tcPr>
            <w:tcW w:w="2566" w:type="dxa"/>
            <w:shd w:val="clear" w:color="auto" w:fill="auto"/>
            <w:vAlign w:val="center"/>
            <w:hideMark/>
          </w:tcPr>
          <w:p w14:paraId="38E0C91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access_mean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228E329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4437CB8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{"citationItems":[{"id":"ITEM-1","itemData":{"DOI":"10.1038/nature25181","ISSN":"1476-4687 (Electronic)","PMID":"29320477","abstract":"The economic and man-made resources that sustain human wellbeing are not distributed  evenly across the world, but are instead heavily concentrated in cities. Poor access to opportunities and services offered by urban centres (a function of distance, transport infrastructure, and the spatial distribution of cities) is a major barrier to improved livelihoods and overall development. Advancing accessibility worldwide underpins the equity agenda of 'leaving no one behind' established by the Sustainable Development Goals of the United Nations. This has renewed international efforts to accurately measure accessibility and generate a metric that can inform the design and implementation of development policies. The only previous attempt to reliably map accessibility worldwide, which was published nearly a decade ago, predated the baseline for the Sustainable Development Goals and excluded the recent expansion in infrastructure networks, particularly in lower-resource settings. In parallel, new data sources provided by Open Street Map and Google now capture transportation networks with unprecedented detail and precision. Here we develop and validate a map that quantifies travel time to cities for 2015 at a spatial resolution of approximately one by one kilometre by integrating ten global-scale surfaces that characterize factors affecting human movement rates and 13,840 high-density urban centres within an established geospatial-modelling framework. Our results highlight disparities in accessibility relative to wealth as 50.9% of individuals living in low-income settings (concentrated in sub-Saharan Africa) reside within an hour of a city compared to 90.7% of individuals in high-income settings. By further triangulating this map against socioeconomic datasets, we demonstrate how access to urban centres stratifies the economic, educational, and health status of humanity.","author":[{"dropping-particle":"","family":"Weiss","given":"D J","non-dropping-particle":"","parse-names":false,"suffix":""},{"dropping-particle":"","family":"Nelson","given":"A","non-dropping-particle":"","parse-names":false,"suffix":""},{"dropping-particle":"","family":"Gibson","given":"H S","non-dropping-particle":"","parse-names":false,"suffix":""},{"dropping-particle":"","family":"Temperley","given":"W","non-dropping-particle":"","parse-names":false,"suffix":""},{"dropping-particle":"","family":"Peedell","given":"S","non-dropping-particle":"","parse-names":false,"suffix":""},{"dropping-particle":"","family":"Lieber","given":"A","non-dropping-particle":"","parse-names":false,"suffix":""},{"dropping-particle":"","family":"Hancher","given":"M","non-dropping-particle":"","parse-names":false,"suffix":""},{"dropping-particle":"","family":"Poyart","given":"E","non-dropping-particle":"","parse-names":false,"suffix":""},{"dropping-particle":"","family":"Belchior","given":"S","non-dropping-particle":"","parse-names":false,"suffix":""},{"dropping-particle":"","family":"Fullman","given":"N","non-dropping-particle":"","parse-names":false,"suffix":""},{"dropping-particle":"","family":"Mappin","given":"B","non-dropping-particle":"","parse-names":false,"suffix":""},{"dropping-particle":"","family":"Dalrymple","given":"U","non-dropping-particle":"","parse-names":false,"suffix":""},{"dropping-particle":"","family":"Rozier","given":"J","non-dropping-particle":"","parse-names":false,"suffix":""},{"dropping-particle":"","family":"Lucas","given":"T C D","non-dropping-particle":"","parse-names":false,"suffix":""},{"dropping-particle":"","family":"Howes","given":"R E","non-dropping-particle":"","parse-names":false,"suffix":""},{"dropping-particle":"","family":"Tusting","given":"L S","non-dropping-particle":"","parse-names":false,"suffix":""},{"dropping-particle":"","family":"Kang","given":"S Y","non-dropping-particle":"","parse-names":false,"suffix":""},{"dropping-particle":"","family":"Cameron","given":"E","non-dropping-particle":"","parse-names":false,"suffix":""},{"dropping-particle":"","family":"Bisanzio","given":"D","non-dropping-particle":"","parse-names":false,"suffix":""},{"dropping-particle":"","family":"Battle","given":"K E","non-dropping-particle":"","parse-names":false,"suffix":""},{"dropping-particle":"","family":"Bhatt","given":"S","non-dropping-particle":"","parse-names":false,"suffix":""},{"dropping-particle":"","family":"Gething","given":"P W","non-dropping-particle":"","parse-names":false,"suffix":""}],"container-title":"Nature","id":"ITEM-1","issue":"7688","issued":{"date-parts":[["2018","1"]]},"language":"eng","page":"333-336","publisher-place":"England","title":"A global map of travel time to cities to assess inequalities in accessibility in  2015.","type":"article-journal","volume":"553"},"uris":["http://www.mendeley.com/documents/?uuid=8f14f56d-e330-4bfb-9a99-632bbc634b67"]}],"mendeley":{"formattedCitation":"(Weiss et al., 2018)","plainTextFormattedCitation":"(Weiss et al., 2018)","previouslyFormattedCitation":"(Weiss et al., 2018)"},"properties":{"noteIndex":0},"schema":"https://github.com/citation-style-language/schema/raw/master/csl-citation.json"}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(Weiss et al., 2018)</w:t>
            </w:r>
            <w:r w:rsidRPr="00075B71">
              <w:rPr>
                <w:rFonts w:ascii="Times New Roman" w:eastAsia="Times New Roman" w:hAnsi="Times New Roman" w:cs="Times New Roman"/>
                <w:bCs/>
                <w:sz w:val="18"/>
                <w:szCs w:val="18"/>
                <w:lang w:val="en-GB"/>
              </w:rPr>
              <w:fldChar w:fldCharType="end"/>
            </w:r>
          </w:p>
        </w:tc>
      </w:tr>
      <w:tr w:rsidR="007F1199" w:rsidRPr="00877E75" w14:paraId="61A42494" w14:textId="77777777" w:rsidTr="00600787">
        <w:trPr>
          <w:trHeight w:val="225"/>
        </w:trPr>
        <w:tc>
          <w:tcPr>
            <w:tcW w:w="1980" w:type="dxa"/>
            <w:vMerge/>
            <w:vAlign w:val="center"/>
            <w:hideMark/>
          </w:tcPr>
          <w:p w14:paraId="776489F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670ECC1C"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3DB92B4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access_median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03BF471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5C16616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570F2B48" w14:textId="77777777" w:rsidTr="00600787">
        <w:trPr>
          <w:trHeight w:val="225"/>
        </w:trPr>
        <w:tc>
          <w:tcPr>
            <w:tcW w:w="1980" w:type="dxa"/>
            <w:vMerge w:val="restart"/>
            <w:shd w:val="clear" w:color="auto" w:fill="auto"/>
            <w:noWrap/>
            <w:vAlign w:val="center"/>
            <w:hideMark/>
          </w:tcPr>
          <w:p w14:paraId="711C326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Friction</w:t>
            </w:r>
          </w:p>
        </w:tc>
        <w:tc>
          <w:tcPr>
            <w:tcW w:w="1828" w:type="dxa"/>
            <w:vMerge w:val="restart"/>
            <w:shd w:val="clear" w:color="auto" w:fill="auto"/>
            <w:vAlign w:val="center"/>
            <w:hideMark/>
          </w:tcPr>
          <w:p w14:paraId="61C5B3AA"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Land based travel speed in minutes per meter</w:t>
            </w:r>
          </w:p>
        </w:tc>
        <w:tc>
          <w:tcPr>
            <w:tcW w:w="2566" w:type="dxa"/>
            <w:shd w:val="clear" w:color="auto" w:fill="auto"/>
            <w:vAlign w:val="center"/>
            <w:hideMark/>
          </w:tcPr>
          <w:p w14:paraId="788A677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friction_mean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70B0DB0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4BCEC95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{"citationItems":[{"id":"ITEM-1","itemData":{"DOI":"10.1038/nature25181","ISSN":"1476-4687 (Electronic)","PMID":"29320477","abstract":"The economic and man-made resources that sustain human wellbeing are not distributed  evenly across the world, but are instead heavily concentrated in cities. Poor access to opportunities and services offered by urban centres (a function of distance, transport infrastructure, and the spatial distribution of cities) is a major barrier to improved livelihoods and overall development. Advancing accessibility worldwide underpins the equity agenda of 'leaving no one behind' established by the Sustainable Development Goals of the United Nations. This has renewed international efforts to accurately measure accessibility and generate a metric that can inform the design and implementation of development policies. The only previous attempt to reliably map accessibility worldwide, which was published nearly a decade ago, predated the baseline for the Sustainable Development Goals and excluded the recent expansion in infrastructure networks, particularly in lower-resource settings. In parallel, new data sources provided by Open Street Map and Google now capture transportation networks with unprecedented detail and precision. Here we develop and validate a map that quantifies travel time to cities for 2015 at a spatial resolution of approximately one by one kilometre by integrating ten global-scale surfaces that characterize factors affecting human movement rates and 13,840 high-density urban centres within an established geospatial-modelling framework. Our results highlight disparities in accessibility relative to wealth as 50.9% of individuals living in low-income settings (concentrated in sub-Saharan Africa) reside within an hour of a city compared to 90.7% of individuals in high-income settings. By further triangulating this map against socioeconomic datasets, we demonstrate how access to urban centres stratifies the economic, educational, and health status of humanity.","author":[{"dropping-particle":"","family":"Weiss","given":"D J","non-dropping-particle":"","parse-names":false,"suffix":""},{"dropping-particle":"","family":"Nelson","given":"A","non-dropping-particle":"","parse-names":false,"suffix":""},{"dropping-particle":"","family":"Gibson","given":"H S","non-dropping-particle":"","parse-names":false,"suffix":""},{"dropping-particle":"","family":"Temperley","given":"W","non-dropping-particle":"","parse-names":false,"suffix":""},{"dropping-particle":"","family":"Peedell","given":"S","non-dropping-particle":"","parse-names":false,"suffix":""},{"dropping-particle":"","family":"Lieber","given":"A","non-dropping-particle":"","parse-names":false,"suffix":""},{"dropping-particle":"","family":"Hancher","given":"M","non-dropping-particle":"","parse-names":false,"suffix":""},{"dropping-particle":"","family":"Poyart","given":"E","non-dropping-particle":"","parse-names":false,"suffix":""},{"dropping-particle":"","family":"Belchior","given":"S","non-dropping-particle":"","parse-names":false,"suffix":""},{"dropping-particle":"","family":"Fullman","given":"N","non-dropping-particle":"","parse-names":false,"suffix":""},{"dropping-particle":"","family":"Mappin","given":"B","non-dropping-particle":"","parse-names":false,"suffix":""},{"dropping-particle":"","family":"Dalrymple","given":"U","non-dropping-particle":"","parse-names":false,"suffix":""},{"dropping-particle":"","family":"Rozier","given":"J","non-dropping-particle":"","parse-names":false,"suffix":""},{"dropping-particle":"","family":"Lucas","given":"T C D","non-dropping-particle":"","parse-names":false,"suffix":""},{"dropping-particle":"","family":"Howes","given":"R E","non-dropping-particle":"","parse-names":false,"suffix":""},{"dropping-particle":"","family":"Tusting","given":"L S","non-dropping-particle":"","parse-names":false,"suffix":""},{"dropping-particle":"","family":"Kang","given":"S Y","non-dropping-particle":"","parse-names":false,"suffix":""},{"dropping-particle":"","family":"Cameron","given":"E","non-dropping-particle":"","parse-names":false,"suffix":""},{"dropping-particle":"","family":"Bisanzio","given":"D","non-dropping-particle":"","parse-names":false,"suffix":""},{"dropping-particle":"","family":"Battle","given":"K E","non-dropping-particle":"","parse-names":false,"suffix":""},{"dropping-particle":"","family":"Bhatt","given":"S","non-dropping-particle":"","parse-names":false,"suffix":""},{"dropping-particle":"","family":"Gething","given":"P W","non-dropping-particle":"","parse-names":false,"suffix":""}],"container-title":"Nature","id":"ITEM-1","issue":"7688","issued":{"date-parts":[["2018","1"]]},"language":"eng","page":"333-336","publisher-place":"England","title":"A global map of travel time to cities to assess inequalities in accessibility in  2015.","type":"article-journal","volume":"553"},"uris":["http://www.mendeley.com/documents/?uuid=8f14f56d-e330-4bfb-9a99-632bbc634b67"]}],"mendeley":{"formattedCitation":"(Weiss et al., 2018)","plainTextFormattedCitation":"(Weiss et al., 2018)","previouslyFormattedCitation":"(Weiss et al., 2018)"},"properties":{"noteIndex":0},"schema":"https://github.com/citation-style-language/schema/raw/master/csl-citation.json"}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(Weiss et al., 2018)</w:t>
            </w:r>
            <w:r w:rsidRPr="00075B71">
              <w:rPr>
                <w:rFonts w:ascii="Times New Roman" w:eastAsia="Times New Roman" w:hAnsi="Times New Roman" w:cs="Times New Roman"/>
                <w:bCs/>
                <w:sz w:val="18"/>
                <w:szCs w:val="18"/>
                <w:lang w:val="en-GB"/>
              </w:rPr>
              <w:fldChar w:fldCharType="end"/>
            </w:r>
          </w:p>
        </w:tc>
      </w:tr>
      <w:tr w:rsidR="007F1199" w:rsidRPr="00877E75" w14:paraId="43F8355B" w14:textId="77777777" w:rsidTr="00600787">
        <w:trPr>
          <w:trHeight w:val="225"/>
        </w:trPr>
        <w:tc>
          <w:tcPr>
            <w:tcW w:w="1980" w:type="dxa"/>
            <w:vMerge/>
            <w:vAlign w:val="center"/>
            <w:hideMark/>
          </w:tcPr>
          <w:p w14:paraId="7BFC3BB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168C2EDB"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1AEE4AC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friction_median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42B73EC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0AF068F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02EF3BE9" w14:textId="77777777" w:rsidTr="00600787">
        <w:trPr>
          <w:trHeight w:val="225"/>
        </w:trPr>
        <w:tc>
          <w:tcPr>
            <w:tcW w:w="1980" w:type="dxa"/>
            <w:vMerge w:val="restart"/>
            <w:shd w:val="clear" w:color="auto" w:fill="auto"/>
            <w:noWrap/>
            <w:vAlign w:val="center"/>
            <w:hideMark/>
          </w:tcPr>
          <w:p w14:paraId="2423CB8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Population Count</w:t>
            </w:r>
          </w:p>
        </w:tc>
        <w:tc>
          <w:tcPr>
            <w:tcW w:w="1828" w:type="dxa"/>
            <w:vMerge w:val="restart"/>
            <w:shd w:val="clear" w:color="auto" w:fill="auto"/>
            <w:vAlign w:val="center"/>
            <w:hideMark/>
          </w:tcPr>
          <w:p w14:paraId="0C441AB1"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The estimated number of people per square </w:t>
            </w:r>
            <w:proofErr w:type="spellStart"/>
            <w:r w:rsidRPr="00075B71">
              <w:rPr>
                <w:rFonts w:ascii="Times New Roman" w:eastAsia="Times New Roman" w:hAnsi="Times New Roman" w:cs="Times New Roman"/>
                <w:b/>
                <w:sz w:val="18"/>
                <w:szCs w:val="18"/>
                <w:lang w:val="en-GB"/>
              </w:rPr>
              <w:t>kilometer</w:t>
            </w:r>
            <w:proofErr w:type="spellEnd"/>
          </w:p>
        </w:tc>
        <w:tc>
          <w:tcPr>
            <w:tcW w:w="2566" w:type="dxa"/>
            <w:shd w:val="clear" w:color="auto" w:fill="auto"/>
            <w:vAlign w:val="center"/>
            <w:hideMark/>
          </w:tcPr>
          <w:p w14:paraId="2BC0BC9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popcount_mean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1C0EA60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7902FEA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{"citationItems":[{"id":"ITEM-1","itemData":{"author":[{"dropping-particle":"","family":"Center for International Earth Science Information Network","given":"","non-dropping-particle":"","parse-names":false,"suffix":""}],"id":"ITEM-1","issued":{"date-parts":[["2018"]]},"publisher":"NASA Socioeconomic Data and Applications Center (SEDAC)","publisher-place":"Palisades, NY","title":"Gridded Population of the World, Version 4 (GPWv4): Population Density Adjusted to Match 2015 Revision UN WPP Country Totals, Revision 11","type":"article"},"uris":["http://www.mendeley.com/documents/?uuid=c5b442f1-296c-426b-a86a-cd77de7d53ae"]}],"mendeley":{"formattedCitation":"(Center for International Earth Science Information Network, 2018)","plainTextFormattedCitation":"(Center for International Earth Science Information Network, 2018)","previouslyFormattedCitation":"(Center for International Earth Science Information Network, 2018)"},"properties":{"noteIndex":0},"schema":"https://github.com/citation-style-language/schema/raw/master/csl-citation.json"}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(Center for International Earth Science Information Network, 2018)</w:t>
            </w:r>
            <w:r w:rsidRPr="00075B71">
              <w:rPr>
                <w:rFonts w:ascii="Times New Roman" w:eastAsia="Times New Roman" w:hAnsi="Times New Roman" w:cs="Times New Roman"/>
                <w:bCs/>
                <w:sz w:val="18"/>
                <w:szCs w:val="18"/>
                <w:lang w:val="en-GB"/>
              </w:rPr>
              <w:fldChar w:fldCharType="end"/>
            </w:r>
          </w:p>
        </w:tc>
      </w:tr>
      <w:tr w:rsidR="007F1199" w:rsidRPr="00877E75" w14:paraId="4BD48C96" w14:textId="77777777" w:rsidTr="00600787">
        <w:trPr>
          <w:trHeight w:val="225"/>
        </w:trPr>
        <w:tc>
          <w:tcPr>
            <w:tcW w:w="1980" w:type="dxa"/>
            <w:vMerge/>
            <w:vAlign w:val="center"/>
            <w:hideMark/>
          </w:tcPr>
          <w:p w14:paraId="2EDA0FD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7E9DAB47"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01C0B84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popcount_sum</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596A74C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640FC3B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76552A9F" w14:textId="77777777" w:rsidTr="00600787">
        <w:trPr>
          <w:trHeight w:val="450"/>
        </w:trPr>
        <w:tc>
          <w:tcPr>
            <w:tcW w:w="1980" w:type="dxa"/>
            <w:shd w:val="clear" w:color="auto" w:fill="auto"/>
            <w:noWrap/>
            <w:vAlign w:val="center"/>
            <w:hideMark/>
          </w:tcPr>
          <w:p w14:paraId="3422446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Population Density</w:t>
            </w:r>
          </w:p>
        </w:tc>
        <w:tc>
          <w:tcPr>
            <w:tcW w:w="1828" w:type="dxa"/>
            <w:shd w:val="clear" w:color="auto" w:fill="auto"/>
            <w:vAlign w:val="center"/>
            <w:hideMark/>
          </w:tcPr>
          <w:p w14:paraId="21A75BE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The estimated number of persons per square </w:t>
            </w:r>
            <w:proofErr w:type="spellStart"/>
            <w:r w:rsidRPr="00075B71">
              <w:rPr>
                <w:rFonts w:ascii="Times New Roman" w:eastAsia="Times New Roman" w:hAnsi="Times New Roman" w:cs="Times New Roman"/>
                <w:b/>
                <w:sz w:val="18"/>
                <w:szCs w:val="18"/>
                <w:lang w:val="en-GB"/>
              </w:rPr>
              <w:t>kilometer</w:t>
            </w:r>
            <w:proofErr w:type="spellEnd"/>
          </w:p>
        </w:tc>
        <w:tc>
          <w:tcPr>
            <w:tcW w:w="2566" w:type="dxa"/>
            <w:shd w:val="clear" w:color="auto" w:fill="auto"/>
            <w:vAlign w:val="center"/>
            <w:hideMark/>
          </w:tcPr>
          <w:p w14:paraId="2C7D1B5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popdens_mean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568D8B9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shd w:val="clear" w:color="auto" w:fill="auto"/>
            <w:noWrap/>
            <w:hideMark/>
          </w:tcPr>
          <w:p w14:paraId="0F316DF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
                <w:sz w:val="18"/>
                <w:szCs w:val="18"/>
                <w:lang w:val="en-GB"/>
              </w:rPr>
              <w:fldChar w:fldCharType="begin" w:fldLock="1"/>
            </w:r>
            <w:r w:rsidRPr="00075B71">
              <w:rPr>
                <w:rFonts w:ascii="Times New Roman" w:eastAsia="Times New Roman" w:hAnsi="Times New Roman" w:cs="Times New Roman"/>
                <w:b/>
                <w:sz w:val="18"/>
                <w:szCs w:val="18"/>
                <w:lang w:val="en-GB"/>
              </w:rPr>
              <w:instrText>ADDIN CSL_CITATION {"citationItems":[{"id":"ITEM-1","itemData":{"author":[{"dropping-particle":"","family":"Center for International Earth Science Information Network","given":"","non-dropping-particle":"","parse-names":false,"suffix":""}],"id":"ITEM-1","issued":{"date-parts":[["2018"]]},"publisher":"NASA Socioeconomic Data and Applications Center (SEDAC)","publisher-place":"Palisades, NY","title":"Gridded Population of the World, Version 4 (GPWv4): Population Density Adjusted to Match 2015 Revision UN WPP Country Totals, Revision 11","type":"article"},"uris":["http://www.mendeley.com/documents/?uuid=c5b442f1-296c-426b-a86a-cd77de7d53ae"]}],"mendeley":{"formattedCitation":"(Center for International Earth Science Information Network, 2018)","plainTextFormattedCitation":"(Center for International Earth Science Information Network, 2018)","previouslyFormattedCitation":"(Center for International Earth Science Information Network, 2018)"},"properties":{"noteIndex":0},"schema":"https://github.com/citation-style-language/schema/raw/master/csl-citation.json"}</w:instrText>
            </w:r>
            <w:r w:rsidRPr="00075B71">
              <w:rPr>
                <w:rFonts w:ascii="Times New Roman" w:eastAsia="Times New Roman" w:hAnsi="Times New Roman" w:cs="Times New Roman"/>
                <w:b/>
                <w:sz w:val="18"/>
                <w:szCs w:val="18"/>
                <w:lang w:val="en-GB"/>
              </w:rPr>
              <w:fldChar w:fldCharType="separate"/>
            </w:r>
            <w:r w:rsidRPr="00075B71">
              <w:rPr>
                <w:rFonts w:ascii="Times New Roman" w:eastAsia="Times New Roman" w:hAnsi="Times New Roman" w:cs="Times New Roman"/>
                <w:noProof/>
                <w:sz w:val="18"/>
                <w:szCs w:val="18"/>
                <w:lang w:val="en-GB"/>
              </w:rPr>
              <w:t>(Center for International Earth Science Information Network, 2018)</w:t>
            </w:r>
            <w:r w:rsidRPr="00075B71">
              <w:rPr>
                <w:rFonts w:ascii="Times New Roman" w:eastAsia="Times New Roman" w:hAnsi="Times New Roman" w:cs="Times New Roman"/>
                <w:b/>
                <w:sz w:val="18"/>
                <w:szCs w:val="18"/>
                <w:lang w:val="en-GB"/>
              </w:rPr>
              <w:fldChar w:fldCharType="end"/>
            </w:r>
          </w:p>
        </w:tc>
      </w:tr>
      <w:tr w:rsidR="007F1199" w:rsidRPr="00877E75" w14:paraId="26ABC709" w14:textId="77777777" w:rsidTr="00600787">
        <w:trPr>
          <w:trHeight w:val="225"/>
        </w:trPr>
        <w:tc>
          <w:tcPr>
            <w:tcW w:w="1980" w:type="dxa"/>
            <w:vMerge w:val="restart"/>
            <w:shd w:val="clear" w:color="auto" w:fill="auto"/>
            <w:noWrap/>
            <w:vAlign w:val="center"/>
            <w:hideMark/>
          </w:tcPr>
          <w:p w14:paraId="3C50F9F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Food </w:t>
            </w:r>
          </w:p>
        </w:tc>
        <w:tc>
          <w:tcPr>
            <w:tcW w:w="1828" w:type="dxa"/>
            <w:vMerge w:val="restart"/>
            <w:shd w:val="clear" w:color="auto" w:fill="auto"/>
            <w:vAlign w:val="center"/>
            <w:hideMark/>
          </w:tcPr>
          <w:p w14:paraId="099166D9"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Maize retail prices per market</w:t>
            </w:r>
          </w:p>
        </w:tc>
        <w:tc>
          <w:tcPr>
            <w:tcW w:w="2566" w:type="dxa"/>
            <w:shd w:val="clear" w:color="auto" w:fill="auto"/>
            <w:vAlign w:val="center"/>
            <w:hideMark/>
          </w:tcPr>
          <w:p w14:paraId="2A23539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'Maize (white) - Retail KG',</w:t>
            </w:r>
          </w:p>
        </w:tc>
        <w:tc>
          <w:tcPr>
            <w:tcW w:w="1701" w:type="dxa"/>
            <w:shd w:val="clear" w:color="auto" w:fill="auto"/>
            <w:noWrap/>
            <w:vAlign w:val="center"/>
            <w:hideMark/>
          </w:tcPr>
          <w:p w14:paraId="2849DF7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350F4A8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{"citationItems":[{"id":"ITEM-1","itemData":{"URL":"https://data.humdata.org/dataset/wfp-food-prices-for-ethiopia","accessed":{"date-parts":[["2020","9","12"]]},"author":[{"dropping-particle":"","family":"World Food Program","given":"","non-dropping-particle":"","parse-names":false,"suffix":""}],"id":"ITEM-1","issued":{"date-parts":[["2020"]]},"title":"Ethiopia - Food Prices","type":"webpage"},"uris":["http://www.mendeley.com/documents/?uuid=4ca716b4-c080-40ca-8140-3a009ea0d672"]}],"mendeley":{"formattedCitation":"(World Food Program, 2020)","plainTextFormattedCitation":"(World Food Program, 2020)","previouslyFormattedCitation":"(World Food Program, 2020)"},"properties":{"noteIndex":0},"schema":"https://github.com/citation-style-language/schema/raw/master/csl-citation.json"}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(World Food Program, 2020)</w:t>
            </w:r>
            <w:r w:rsidRPr="00075B71">
              <w:rPr>
                <w:rFonts w:ascii="Times New Roman" w:eastAsia="Times New Roman" w:hAnsi="Times New Roman" w:cs="Times New Roman"/>
                <w:bCs/>
                <w:sz w:val="18"/>
                <w:szCs w:val="18"/>
                <w:lang w:val="en-GB"/>
              </w:rPr>
              <w:fldChar w:fldCharType="end"/>
            </w:r>
          </w:p>
        </w:tc>
      </w:tr>
      <w:tr w:rsidR="007F1199" w:rsidRPr="00877E75" w14:paraId="55B3F166" w14:textId="77777777" w:rsidTr="00600787">
        <w:trPr>
          <w:trHeight w:val="450"/>
        </w:trPr>
        <w:tc>
          <w:tcPr>
            <w:tcW w:w="1980" w:type="dxa"/>
            <w:vMerge/>
            <w:vAlign w:val="center"/>
            <w:hideMark/>
          </w:tcPr>
          <w:p w14:paraId="26FF668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2F0C529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06C8F14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'Maize (white) - Retail </w:t>
            </w:r>
            <w:proofErr w:type="spellStart"/>
            <w:r w:rsidRPr="00075B71">
              <w:rPr>
                <w:rFonts w:ascii="Times New Roman" w:eastAsia="Times New Roman" w:hAnsi="Times New Roman" w:cs="Times New Roman"/>
                <w:sz w:val="18"/>
                <w:szCs w:val="18"/>
                <w:lang w:val="en-GB"/>
              </w:rPr>
              <w:t>KG_diff_price_binary</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65DDE24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0C3E865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3704E2A9" w14:textId="77777777" w:rsidTr="00600787">
        <w:trPr>
          <w:trHeight w:val="450"/>
        </w:trPr>
        <w:tc>
          <w:tcPr>
            <w:tcW w:w="1980" w:type="dxa"/>
            <w:vMerge/>
            <w:vAlign w:val="center"/>
            <w:hideMark/>
          </w:tcPr>
          <w:p w14:paraId="7340A85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128662EE"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488DF1C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'Maize (white) - Retail KG_RW',</w:t>
            </w:r>
          </w:p>
        </w:tc>
        <w:tc>
          <w:tcPr>
            <w:tcW w:w="1701" w:type="dxa"/>
            <w:shd w:val="clear" w:color="auto" w:fill="auto"/>
            <w:noWrap/>
            <w:vAlign w:val="center"/>
            <w:hideMark/>
          </w:tcPr>
          <w:p w14:paraId="0881CE7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76DA7D4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065BEBB3" w14:textId="77777777" w:rsidTr="00600787">
        <w:trPr>
          <w:trHeight w:val="450"/>
        </w:trPr>
        <w:tc>
          <w:tcPr>
            <w:tcW w:w="1980" w:type="dxa"/>
            <w:vMerge/>
            <w:vAlign w:val="center"/>
            <w:hideMark/>
          </w:tcPr>
          <w:p w14:paraId="51784D8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restart"/>
            <w:shd w:val="clear" w:color="auto" w:fill="auto"/>
            <w:vAlign w:val="center"/>
            <w:hideMark/>
          </w:tcPr>
          <w:p w14:paraId="0F430F9C"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Maize wholesale prices per market</w:t>
            </w:r>
          </w:p>
        </w:tc>
        <w:tc>
          <w:tcPr>
            <w:tcW w:w="2566" w:type="dxa"/>
            <w:shd w:val="clear" w:color="auto" w:fill="auto"/>
            <w:vAlign w:val="center"/>
            <w:hideMark/>
          </w:tcPr>
          <w:p w14:paraId="1ABA85C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'Maize (white) - Wholesale 100 KG',</w:t>
            </w:r>
          </w:p>
        </w:tc>
        <w:tc>
          <w:tcPr>
            <w:tcW w:w="1701" w:type="dxa"/>
            <w:shd w:val="clear" w:color="auto" w:fill="auto"/>
            <w:noWrap/>
            <w:vAlign w:val="center"/>
            <w:hideMark/>
          </w:tcPr>
          <w:p w14:paraId="00ABD0C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5A7645A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{"citationItems":[{"id":"ITEM-1","itemData":{"URL":"https://data.humdata.org/dataset/wfp-food-prices-for-ethiopia","accessed":{"date-parts":[["2020","9","12"]]},"author":[{"dropping-particle":"","family":"World Food Program","given":"","non-dropping-particle":"","parse-names":false,"suffix":""}],"id":"ITEM-1","issued":{"date-parts":[["2020"]]},"title":"Ethiopia - Food Prices","type":"webpage"},"uris":["http://www.mendeley.com/documents/?uuid=4ca716b4-c080-40ca-8140-3a009ea0d672"]}],"mendeley":{"formattedCitation":"(World Food Program, 2020)","plainTextFormattedCitation":"(World Food Program, 2020)","previouslyFormattedCitation":"(World Food Program, 2020)"},"properties":{"noteIndex":0},"schema":"https://github.com/citation-style-language/schema/raw/master/csl-citation.json"}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(World Food Program, 2020)</w:t>
            </w:r>
            <w:r w:rsidRPr="00075B71">
              <w:rPr>
                <w:rFonts w:ascii="Times New Roman" w:eastAsia="Times New Roman" w:hAnsi="Times New Roman" w:cs="Times New Roman"/>
                <w:bCs/>
                <w:sz w:val="18"/>
                <w:szCs w:val="18"/>
                <w:lang w:val="en-GB"/>
              </w:rPr>
              <w:fldChar w:fldCharType="end"/>
            </w:r>
          </w:p>
        </w:tc>
      </w:tr>
      <w:tr w:rsidR="007F1199" w:rsidRPr="00877E75" w14:paraId="5C3C7E82" w14:textId="77777777" w:rsidTr="00600787">
        <w:trPr>
          <w:trHeight w:val="675"/>
        </w:trPr>
        <w:tc>
          <w:tcPr>
            <w:tcW w:w="1980" w:type="dxa"/>
            <w:vMerge/>
            <w:vAlign w:val="center"/>
            <w:hideMark/>
          </w:tcPr>
          <w:p w14:paraId="0F6DD58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03A61316"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1536E17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'Maize (white) - Wholesale 100 </w:t>
            </w:r>
            <w:proofErr w:type="spellStart"/>
            <w:r w:rsidRPr="00075B71">
              <w:rPr>
                <w:rFonts w:ascii="Times New Roman" w:eastAsia="Times New Roman" w:hAnsi="Times New Roman" w:cs="Times New Roman"/>
                <w:sz w:val="18"/>
                <w:szCs w:val="18"/>
                <w:lang w:val="en-GB"/>
              </w:rPr>
              <w:t>KG_diff_price_binary</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7573C3E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7530626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77F55CA1" w14:textId="77777777" w:rsidTr="00600787">
        <w:trPr>
          <w:trHeight w:val="450"/>
        </w:trPr>
        <w:tc>
          <w:tcPr>
            <w:tcW w:w="1980" w:type="dxa"/>
            <w:vMerge/>
            <w:vAlign w:val="center"/>
            <w:hideMark/>
          </w:tcPr>
          <w:p w14:paraId="17CE20C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59CBA30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7439C9E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'Maize (white) - Wholesale 100 KG_RW',</w:t>
            </w:r>
          </w:p>
        </w:tc>
        <w:tc>
          <w:tcPr>
            <w:tcW w:w="1701" w:type="dxa"/>
            <w:shd w:val="clear" w:color="auto" w:fill="auto"/>
            <w:noWrap/>
            <w:vAlign w:val="center"/>
            <w:hideMark/>
          </w:tcPr>
          <w:p w14:paraId="6803DA5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76DC2E9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782944E1" w14:textId="77777777" w:rsidTr="00600787">
        <w:trPr>
          <w:trHeight w:val="225"/>
        </w:trPr>
        <w:tc>
          <w:tcPr>
            <w:tcW w:w="1980" w:type="dxa"/>
            <w:vMerge/>
            <w:vAlign w:val="center"/>
            <w:hideMark/>
          </w:tcPr>
          <w:p w14:paraId="1AEF88C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restart"/>
            <w:shd w:val="clear" w:color="auto" w:fill="auto"/>
            <w:vAlign w:val="center"/>
            <w:hideMark/>
          </w:tcPr>
          <w:p w14:paraId="725FBAC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Wheat retail prices </w:t>
            </w:r>
            <w:r w:rsidRPr="00075B71">
              <w:rPr>
                <w:rFonts w:ascii="Times New Roman" w:eastAsia="Times New Roman" w:hAnsi="Times New Roman" w:cs="Times New Roman"/>
                <w:b/>
                <w:sz w:val="18"/>
                <w:szCs w:val="18"/>
                <w:lang w:val="en-GB"/>
              </w:rPr>
              <w:lastRenderedPageBreak/>
              <w:t>per market</w:t>
            </w:r>
          </w:p>
        </w:tc>
        <w:tc>
          <w:tcPr>
            <w:tcW w:w="2566" w:type="dxa"/>
            <w:shd w:val="clear" w:color="auto" w:fill="auto"/>
            <w:vAlign w:val="center"/>
            <w:hideMark/>
          </w:tcPr>
          <w:p w14:paraId="5D8D0E6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lastRenderedPageBreak/>
              <w:t xml:space="preserve"> 'Wheat - Retail KG',</w:t>
            </w:r>
          </w:p>
        </w:tc>
        <w:tc>
          <w:tcPr>
            <w:tcW w:w="1701" w:type="dxa"/>
            <w:shd w:val="clear" w:color="auto" w:fill="auto"/>
            <w:noWrap/>
            <w:vAlign w:val="center"/>
            <w:hideMark/>
          </w:tcPr>
          <w:p w14:paraId="076E628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30C7B2F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{"citationItems":[{"id":"ITEM-1","itemData":{"URL":"https://data.humdata.org/dataset/wfp-food-prices-for-ethiopia","accessed":{"date-parts":[["2020","9","12"]]},"author":[{"dropping-particle":"","family":"World Food Program","given":"","non-dropping-particle":"","parse-names":false,"suffix":""}],"id":"ITEM-1","issued":{"date-parts":[["2020"]]},"title":"Ethiopia - Food Prices","type":"webpage"},"uris":["http://www.mendeley.com/documents/?uuid=4ca716b4-c080-40ca-8140-3a009ea0d672"]}],"mendeley":{"formattedCitation":"(World Food Program, 2020)","plainTextFormattedCitation":"(World Food Program, 2020)","previouslyFormattedCitation":"(World Food Program, 2020)"},"properties":{"noteIndex":0},"schema":"https://github.com/citation-style-language/schema/raw/master/csl-citation.json"}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 xml:space="preserve">(World Food Program, </w:t>
            </w:r>
            <w:r w:rsidRPr="00075B71">
              <w:rPr>
                <w:rFonts w:ascii="Times New Roman" w:eastAsia="Times New Roman" w:hAnsi="Times New Roman" w:cs="Times New Roman"/>
                <w:bCs/>
                <w:noProof/>
                <w:sz w:val="18"/>
                <w:szCs w:val="18"/>
                <w:lang w:val="en-GB"/>
              </w:rPr>
              <w:lastRenderedPageBreak/>
              <w:t>2020)</w:t>
            </w:r>
            <w:r w:rsidRPr="00075B71">
              <w:rPr>
                <w:rFonts w:ascii="Times New Roman" w:eastAsia="Times New Roman" w:hAnsi="Times New Roman" w:cs="Times New Roman"/>
                <w:bCs/>
                <w:sz w:val="18"/>
                <w:szCs w:val="18"/>
                <w:lang w:val="en-GB"/>
              </w:rPr>
              <w:fldChar w:fldCharType="end"/>
            </w:r>
          </w:p>
        </w:tc>
      </w:tr>
      <w:tr w:rsidR="007F1199" w:rsidRPr="00877E75" w14:paraId="634AAFD1" w14:textId="77777777" w:rsidTr="00600787">
        <w:trPr>
          <w:trHeight w:val="450"/>
        </w:trPr>
        <w:tc>
          <w:tcPr>
            <w:tcW w:w="1980" w:type="dxa"/>
            <w:vMerge/>
            <w:vAlign w:val="center"/>
            <w:hideMark/>
          </w:tcPr>
          <w:p w14:paraId="624470C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76A8A5D0"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3EEE1CF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'Wheat - Retail </w:t>
            </w:r>
            <w:proofErr w:type="spellStart"/>
            <w:r w:rsidRPr="00075B71">
              <w:rPr>
                <w:rFonts w:ascii="Times New Roman" w:eastAsia="Times New Roman" w:hAnsi="Times New Roman" w:cs="Times New Roman"/>
                <w:sz w:val="18"/>
                <w:szCs w:val="18"/>
                <w:lang w:val="en-GB"/>
              </w:rPr>
              <w:t>KG_diff_price_binary</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4FDAFCA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1F1AD42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5932D145" w14:textId="77777777" w:rsidTr="00600787">
        <w:trPr>
          <w:trHeight w:val="225"/>
        </w:trPr>
        <w:tc>
          <w:tcPr>
            <w:tcW w:w="1980" w:type="dxa"/>
            <w:vMerge/>
            <w:vAlign w:val="center"/>
            <w:hideMark/>
          </w:tcPr>
          <w:p w14:paraId="4347CD3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498FDEB"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6C51DDA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'Wheat - Retail KG_RW',</w:t>
            </w:r>
          </w:p>
        </w:tc>
        <w:tc>
          <w:tcPr>
            <w:tcW w:w="1701" w:type="dxa"/>
            <w:shd w:val="clear" w:color="auto" w:fill="auto"/>
            <w:noWrap/>
            <w:vAlign w:val="center"/>
            <w:hideMark/>
          </w:tcPr>
          <w:p w14:paraId="1BB18C9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056A470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A77ECD6" w14:textId="77777777" w:rsidTr="00600787">
        <w:trPr>
          <w:trHeight w:val="450"/>
        </w:trPr>
        <w:tc>
          <w:tcPr>
            <w:tcW w:w="1980" w:type="dxa"/>
            <w:vMerge/>
            <w:vAlign w:val="center"/>
            <w:hideMark/>
          </w:tcPr>
          <w:p w14:paraId="0D93311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restart"/>
            <w:shd w:val="clear" w:color="auto" w:fill="auto"/>
            <w:vAlign w:val="center"/>
            <w:hideMark/>
          </w:tcPr>
          <w:p w14:paraId="62CEFDD8"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Wheat wholesale prices per market</w:t>
            </w:r>
          </w:p>
        </w:tc>
        <w:tc>
          <w:tcPr>
            <w:tcW w:w="2566" w:type="dxa"/>
            <w:shd w:val="clear" w:color="auto" w:fill="auto"/>
            <w:vAlign w:val="center"/>
            <w:hideMark/>
          </w:tcPr>
          <w:p w14:paraId="39ED340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'Wheat - Wholesale 100 KG',</w:t>
            </w:r>
          </w:p>
        </w:tc>
        <w:tc>
          <w:tcPr>
            <w:tcW w:w="1701" w:type="dxa"/>
            <w:shd w:val="clear" w:color="auto" w:fill="auto"/>
            <w:noWrap/>
            <w:vAlign w:val="center"/>
            <w:hideMark/>
          </w:tcPr>
          <w:p w14:paraId="5BF2450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784F6F9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{"citationItems":[{"id":"ITEM-1","itemData":{"URL":"https://data.humdata.org/dataset/wfp-food-prices-for-ethiopia","accessed":{"date-parts":[["2020","9","12"]]},"author":[{"dropping-particle":"","family":"World Food Program","given":"","non-dropping-particle":"","parse-names":false,"suffix":""}],"id":"ITEM-1","issued":{"date-parts":[["2020"]]},"title":"Ethiopia - Food Prices","type":"webpage"},"uris":["http://www.mendeley.com/documents/?uuid=4ca716b4-c080-40ca-8140-3a009ea0d672"]}],"mendeley":{"formattedCitation":"(World Food Program, 2020)","plainTextFormattedCitation":"(World Food Program, 2020)","previouslyFormattedCitation":"(World Food Program, 2020)"},"properties":{"noteIndex":0},"schema":"https://github.com/citation-style-language/schema/raw/master/csl-citation.json"}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(World Food Program, 2020)</w:t>
            </w:r>
            <w:r w:rsidRPr="00075B71">
              <w:rPr>
                <w:rFonts w:ascii="Times New Roman" w:eastAsia="Times New Roman" w:hAnsi="Times New Roman" w:cs="Times New Roman"/>
                <w:bCs/>
                <w:sz w:val="18"/>
                <w:szCs w:val="18"/>
                <w:lang w:val="en-GB"/>
              </w:rPr>
              <w:fldChar w:fldCharType="end"/>
            </w:r>
          </w:p>
        </w:tc>
      </w:tr>
      <w:tr w:rsidR="007F1199" w:rsidRPr="00877E75" w14:paraId="58C5B4EA" w14:textId="77777777" w:rsidTr="00600787">
        <w:trPr>
          <w:trHeight w:val="450"/>
        </w:trPr>
        <w:tc>
          <w:tcPr>
            <w:tcW w:w="1980" w:type="dxa"/>
            <w:vMerge/>
            <w:vAlign w:val="center"/>
            <w:hideMark/>
          </w:tcPr>
          <w:p w14:paraId="05C59B9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08EEE57F"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4FE6F35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'Wheat - Wholesale 100 </w:t>
            </w:r>
            <w:proofErr w:type="spellStart"/>
            <w:r w:rsidRPr="00075B71">
              <w:rPr>
                <w:rFonts w:ascii="Times New Roman" w:eastAsia="Times New Roman" w:hAnsi="Times New Roman" w:cs="Times New Roman"/>
                <w:sz w:val="18"/>
                <w:szCs w:val="18"/>
                <w:lang w:val="en-GB"/>
              </w:rPr>
              <w:t>KG_diff_price_binary</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6A12C91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6DB8774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0FEE7DF0" w14:textId="77777777" w:rsidTr="00600787">
        <w:trPr>
          <w:trHeight w:val="450"/>
        </w:trPr>
        <w:tc>
          <w:tcPr>
            <w:tcW w:w="1980" w:type="dxa"/>
            <w:vMerge/>
            <w:vAlign w:val="center"/>
            <w:hideMark/>
          </w:tcPr>
          <w:p w14:paraId="33BA5D3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0F9793AD"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4509154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'Wheat - Wholesale 100 KG_RW',</w:t>
            </w:r>
          </w:p>
        </w:tc>
        <w:tc>
          <w:tcPr>
            <w:tcW w:w="1701" w:type="dxa"/>
            <w:shd w:val="clear" w:color="auto" w:fill="auto"/>
            <w:noWrap/>
            <w:vAlign w:val="center"/>
            <w:hideMark/>
          </w:tcPr>
          <w:p w14:paraId="088174C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696983B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763C0A2" w14:textId="77777777" w:rsidTr="00600787">
        <w:trPr>
          <w:trHeight w:val="225"/>
        </w:trPr>
        <w:tc>
          <w:tcPr>
            <w:tcW w:w="1980" w:type="dxa"/>
            <w:vMerge/>
            <w:vAlign w:val="center"/>
            <w:hideMark/>
          </w:tcPr>
          <w:p w14:paraId="4B62291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restart"/>
            <w:shd w:val="clear" w:color="auto" w:fill="auto"/>
            <w:vAlign w:val="center"/>
            <w:hideMark/>
          </w:tcPr>
          <w:p w14:paraId="0FCF4D72"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Sorghum retail prices per market</w:t>
            </w:r>
          </w:p>
        </w:tc>
        <w:tc>
          <w:tcPr>
            <w:tcW w:w="2566" w:type="dxa"/>
            <w:shd w:val="clear" w:color="auto" w:fill="auto"/>
            <w:vAlign w:val="center"/>
            <w:hideMark/>
          </w:tcPr>
          <w:p w14:paraId="1EDACC1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'Sorghum - Retail KG',</w:t>
            </w:r>
          </w:p>
        </w:tc>
        <w:tc>
          <w:tcPr>
            <w:tcW w:w="1701" w:type="dxa"/>
            <w:shd w:val="clear" w:color="auto" w:fill="auto"/>
            <w:noWrap/>
            <w:vAlign w:val="center"/>
            <w:hideMark/>
          </w:tcPr>
          <w:p w14:paraId="4AD407E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43405E0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{"citationItems":[{"id":"ITEM-1","itemData":{"URL":"https://data.humdata.org/dataset/wfp-food-prices-for-ethiopia","accessed":{"date-parts":[["2020","9","12"]]},"author":[{"dropping-particle":"","family":"World Food Program","given":"","non-dropping-particle":"","parse-names":false,"suffix":""}],"id":"ITEM-1","issued":{"date-parts":[["2020"]]},"title":"Ethiopia - Food Prices","type":"webpage"},"uris":["http://www.mendeley.com/documents/?uuid=4ca716b4-c080-40ca-8140-3a009ea0d672"]}],"mendeley":{"formattedCitation":"(World Food Program, 2020)","plainTextFormattedCitation":"(World Food Program, 2020)","previouslyFormattedCitation":"(World Food Program, 2020)"},"properties":{"noteIndex":0},"schema":"https://github.com/citation-style-language/schema/raw/master/csl-citation.json"}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(World Food Program, 2020)</w:t>
            </w:r>
            <w:r w:rsidRPr="00075B71">
              <w:rPr>
                <w:rFonts w:ascii="Times New Roman" w:eastAsia="Times New Roman" w:hAnsi="Times New Roman" w:cs="Times New Roman"/>
                <w:bCs/>
                <w:sz w:val="18"/>
                <w:szCs w:val="18"/>
                <w:lang w:val="en-GB"/>
              </w:rPr>
              <w:fldChar w:fldCharType="end"/>
            </w:r>
          </w:p>
        </w:tc>
      </w:tr>
      <w:tr w:rsidR="007F1199" w:rsidRPr="00877E75" w14:paraId="329F01A9" w14:textId="77777777" w:rsidTr="00600787">
        <w:trPr>
          <w:trHeight w:val="450"/>
        </w:trPr>
        <w:tc>
          <w:tcPr>
            <w:tcW w:w="1980" w:type="dxa"/>
            <w:vMerge/>
            <w:vAlign w:val="center"/>
            <w:hideMark/>
          </w:tcPr>
          <w:p w14:paraId="68E1C00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790705C"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3B334C8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'Sorghum - Retail </w:t>
            </w:r>
            <w:proofErr w:type="spellStart"/>
            <w:r w:rsidRPr="00075B71">
              <w:rPr>
                <w:rFonts w:ascii="Times New Roman" w:eastAsia="Times New Roman" w:hAnsi="Times New Roman" w:cs="Times New Roman"/>
                <w:sz w:val="18"/>
                <w:szCs w:val="18"/>
                <w:lang w:val="en-GB"/>
              </w:rPr>
              <w:t>KG_diff_price_binary</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3A0B4EA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5ED5295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6578E19A" w14:textId="77777777" w:rsidTr="00600787">
        <w:trPr>
          <w:trHeight w:val="225"/>
        </w:trPr>
        <w:tc>
          <w:tcPr>
            <w:tcW w:w="1980" w:type="dxa"/>
            <w:vMerge/>
            <w:vAlign w:val="center"/>
            <w:hideMark/>
          </w:tcPr>
          <w:p w14:paraId="190F863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039BB87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08000BE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'Sorghum - Retail KG_RW',</w:t>
            </w:r>
          </w:p>
        </w:tc>
        <w:tc>
          <w:tcPr>
            <w:tcW w:w="1701" w:type="dxa"/>
            <w:shd w:val="clear" w:color="auto" w:fill="auto"/>
            <w:noWrap/>
            <w:vAlign w:val="center"/>
            <w:hideMark/>
          </w:tcPr>
          <w:p w14:paraId="04D4E3D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7634DFC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3C53DAE4" w14:textId="77777777" w:rsidTr="00600787">
        <w:trPr>
          <w:trHeight w:val="450"/>
        </w:trPr>
        <w:tc>
          <w:tcPr>
            <w:tcW w:w="1980" w:type="dxa"/>
            <w:vMerge/>
            <w:vAlign w:val="center"/>
            <w:hideMark/>
          </w:tcPr>
          <w:p w14:paraId="6973BFC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restart"/>
            <w:shd w:val="clear" w:color="auto" w:fill="auto"/>
            <w:vAlign w:val="center"/>
            <w:hideMark/>
          </w:tcPr>
          <w:p w14:paraId="18908E7C"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Sorghum wholesale prices per market</w:t>
            </w:r>
          </w:p>
        </w:tc>
        <w:tc>
          <w:tcPr>
            <w:tcW w:w="2566" w:type="dxa"/>
            <w:shd w:val="clear" w:color="auto" w:fill="auto"/>
            <w:vAlign w:val="center"/>
            <w:hideMark/>
          </w:tcPr>
          <w:p w14:paraId="7CB6DB1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'Sorghum - Wholesale 100 KG',</w:t>
            </w:r>
          </w:p>
        </w:tc>
        <w:tc>
          <w:tcPr>
            <w:tcW w:w="1701" w:type="dxa"/>
            <w:shd w:val="clear" w:color="auto" w:fill="auto"/>
            <w:noWrap/>
            <w:vAlign w:val="center"/>
            <w:hideMark/>
          </w:tcPr>
          <w:p w14:paraId="0DFF524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17052B1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Cs/>
                <w:sz w:val="18"/>
                <w:szCs w:val="18"/>
                <w:lang w:val="en-GB"/>
              </w:rPr>
              <w:fldChar w:fldCharType="begin" w:fldLock="1"/>
            </w:r>
            <w:r w:rsidRPr="00075B71">
              <w:rPr>
                <w:rFonts w:ascii="Times New Roman" w:eastAsia="Times New Roman" w:hAnsi="Times New Roman" w:cs="Times New Roman"/>
                <w:bCs/>
                <w:sz w:val="18"/>
                <w:szCs w:val="18"/>
                <w:lang w:val="en-GB"/>
              </w:rPr>
              <w:instrText>ADDIN CSL_CITATION {"citationItems":[{"id":"ITEM-1","itemData":{"URL":"https://data.humdata.org/dataset/wfp-food-prices-for-ethiopia","accessed":{"date-parts":[["2020","9","12"]]},"author":[{"dropping-particle":"","family":"World Food Program","given":"","non-dropping-particle":"","parse-names":false,"suffix":""}],"id":"ITEM-1","issued":{"date-parts":[["2020"]]},"title":"Ethiopia - Food Prices","type":"webpage"},"uris":["http://www.mendeley.com/documents/?uuid=4ca716b4-c080-40ca-8140-3a009ea0d672"]}],"mendeley":{"formattedCitation":"(World Food Program, 2020)","plainTextFormattedCitation":"(World Food Program, 2020)","previouslyFormattedCitation":"(World Food Program, 2020)"},"properties":{"noteIndex":0},"schema":"https://github.com/citation-style-language/schema/raw/master/csl-citation.json"}</w:instrText>
            </w:r>
            <w:r w:rsidRPr="00075B71">
              <w:rPr>
                <w:rFonts w:ascii="Times New Roman" w:eastAsia="Times New Roman" w:hAnsi="Times New Roman" w:cs="Times New Roman"/>
                <w:bCs/>
                <w:sz w:val="18"/>
                <w:szCs w:val="18"/>
                <w:lang w:val="en-GB"/>
              </w:rPr>
              <w:fldChar w:fldCharType="separate"/>
            </w:r>
            <w:r w:rsidRPr="00075B71">
              <w:rPr>
                <w:rFonts w:ascii="Times New Roman" w:eastAsia="Times New Roman" w:hAnsi="Times New Roman" w:cs="Times New Roman"/>
                <w:bCs/>
                <w:noProof/>
                <w:sz w:val="18"/>
                <w:szCs w:val="18"/>
                <w:lang w:val="en-GB"/>
              </w:rPr>
              <w:t>(World Food Program, 2020)</w:t>
            </w:r>
            <w:r w:rsidRPr="00075B71">
              <w:rPr>
                <w:rFonts w:ascii="Times New Roman" w:eastAsia="Times New Roman" w:hAnsi="Times New Roman" w:cs="Times New Roman"/>
                <w:bCs/>
                <w:sz w:val="18"/>
                <w:szCs w:val="18"/>
                <w:lang w:val="en-GB"/>
              </w:rPr>
              <w:fldChar w:fldCharType="end"/>
            </w:r>
          </w:p>
        </w:tc>
      </w:tr>
      <w:tr w:rsidR="007F1199" w:rsidRPr="00877E75" w14:paraId="004BCE3E" w14:textId="77777777" w:rsidTr="00600787">
        <w:trPr>
          <w:trHeight w:val="450"/>
        </w:trPr>
        <w:tc>
          <w:tcPr>
            <w:tcW w:w="1980" w:type="dxa"/>
            <w:vMerge/>
            <w:vAlign w:val="center"/>
            <w:hideMark/>
          </w:tcPr>
          <w:p w14:paraId="7801311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60C6595D"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345F1C3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'Sorghum - Wholesale 100 </w:t>
            </w:r>
            <w:proofErr w:type="spellStart"/>
            <w:r w:rsidRPr="00075B71">
              <w:rPr>
                <w:rFonts w:ascii="Times New Roman" w:eastAsia="Times New Roman" w:hAnsi="Times New Roman" w:cs="Times New Roman"/>
                <w:sz w:val="18"/>
                <w:szCs w:val="18"/>
                <w:lang w:val="en-GB"/>
              </w:rPr>
              <w:t>KG_diff_price_binary</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3FCAB5F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5EB27BF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2161E085" w14:textId="77777777" w:rsidTr="00600787">
        <w:trPr>
          <w:trHeight w:val="450"/>
        </w:trPr>
        <w:tc>
          <w:tcPr>
            <w:tcW w:w="1980" w:type="dxa"/>
            <w:vMerge/>
            <w:vAlign w:val="center"/>
            <w:hideMark/>
          </w:tcPr>
          <w:p w14:paraId="7733C38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17E07221"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18870F5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'Sorghum - Wholesale 100 KG_RW',</w:t>
            </w:r>
          </w:p>
        </w:tc>
        <w:tc>
          <w:tcPr>
            <w:tcW w:w="1701" w:type="dxa"/>
            <w:shd w:val="clear" w:color="auto" w:fill="auto"/>
            <w:noWrap/>
            <w:vAlign w:val="center"/>
            <w:hideMark/>
          </w:tcPr>
          <w:p w14:paraId="10635A2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4E86B88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44435D7" w14:textId="77777777" w:rsidTr="00600787">
        <w:trPr>
          <w:trHeight w:val="900"/>
        </w:trPr>
        <w:tc>
          <w:tcPr>
            <w:tcW w:w="1980" w:type="dxa"/>
            <w:vMerge w:val="restart"/>
            <w:shd w:val="clear" w:color="auto" w:fill="auto"/>
            <w:noWrap/>
            <w:vAlign w:val="center"/>
            <w:hideMark/>
          </w:tcPr>
          <w:p w14:paraId="42EF211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Conflict</w:t>
            </w:r>
          </w:p>
        </w:tc>
        <w:tc>
          <w:tcPr>
            <w:tcW w:w="1828" w:type="dxa"/>
            <w:vMerge w:val="restart"/>
            <w:shd w:val="clear" w:color="auto" w:fill="auto"/>
            <w:vAlign w:val="center"/>
            <w:hideMark/>
          </w:tcPr>
          <w:p w14:paraId="6AD6245C" w14:textId="77777777" w:rsidR="007F1199" w:rsidRPr="00075B71" w:rsidRDefault="007F1199" w:rsidP="00600787">
            <w:pPr>
              <w:spacing w:after="0" w:line="240" w:lineRule="auto"/>
              <w:jc w:val="both"/>
              <w:rPr>
                <w:rFonts w:ascii="Times New Roman" w:eastAsia="Times New Roman" w:hAnsi="Times New Roman" w:cs="Times New Roman"/>
                <w:b/>
                <w:bCs/>
                <w:sz w:val="18"/>
                <w:szCs w:val="18"/>
                <w:lang w:val="en-GB"/>
              </w:rPr>
            </w:pPr>
            <w:r w:rsidRPr="462D5417">
              <w:rPr>
                <w:rFonts w:ascii="Times New Roman" w:eastAsia="Times New Roman" w:hAnsi="Times New Roman" w:cs="Times New Roman"/>
                <w:b/>
                <w:bCs/>
                <w:sz w:val="18"/>
                <w:szCs w:val="18"/>
                <w:lang w:val="en-GB"/>
              </w:rPr>
              <w:t>The low estimate consists of the aggregated low estimates of deaths for all incidents of organised violence during a year</w:t>
            </w:r>
          </w:p>
        </w:tc>
        <w:tc>
          <w:tcPr>
            <w:tcW w:w="2566" w:type="dxa"/>
            <w:shd w:val="clear" w:color="auto" w:fill="auto"/>
            <w:vAlign w:val="center"/>
            <w:hideMark/>
          </w:tcPr>
          <w:p w14:paraId="343DBA8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fatalities_low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3F2AD16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hideMark/>
          </w:tcPr>
          <w:p w14:paraId="68AFFA8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
                <w:sz w:val="18"/>
                <w:szCs w:val="18"/>
                <w:lang w:val="en-GB"/>
              </w:rPr>
              <w:t xml:space="preserve"> </w:t>
            </w:r>
            <w:r w:rsidRPr="00075B71">
              <w:rPr>
                <w:rFonts w:ascii="Times New Roman" w:eastAsia="Times New Roman" w:hAnsi="Times New Roman" w:cs="Times New Roman"/>
                <w:b/>
                <w:sz w:val="18"/>
                <w:szCs w:val="18"/>
                <w:lang w:val="en-GB"/>
              </w:rPr>
              <w:fldChar w:fldCharType="begin" w:fldLock="1"/>
            </w:r>
            <w:r w:rsidRPr="00075B71">
              <w:rPr>
                <w:rFonts w:ascii="Times New Roman" w:eastAsia="Times New Roman" w:hAnsi="Times New Roman" w:cs="Times New Roman"/>
                <w:b/>
                <w:sz w:val="18"/>
                <w:szCs w:val="18"/>
                <w:lang w:val="en-GB"/>
              </w:rPr>
              <w:instrText>ADDIN CSL_CITATION {"citationItems":[{"id":"ITEM-1","itemData":{"URL":"https://www.pcr.uu.se/research/ucdp/","accessed":{"date-parts":[["2018","7","20"]]},"author":[{"dropping-particle":"","family":"Uppsala University","given":"","non-dropping-particle":"","parse-names":false,"suffix":""}],"id":"ITEM-1","issued":{"date-parts":[["2018"]]},"title":"Uppsala Conflict Data Program","type":"webpage"},"uris":["http://www.mendeley.com/documents/?uuid=f0f8c063-062f-4379-88b9-2d88ed6d1fd1"]}],"mendeley":{"formattedCitation":"(Uppsala University, 2018)","plainTextFormattedCitation":"(Uppsala University, 2018)","previouslyFormattedCitation":"(Uppsala University, 2018)"},"properties":{"noteIndex":0},"schema":"https://github.com/citation-style-language/schema/raw/master/csl-citation.json"}</w:instrText>
            </w:r>
            <w:r w:rsidRPr="00075B71">
              <w:rPr>
                <w:rFonts w:ascii="Times New Roman" w:eastAsia="Times New Roman" w:hAnsi="Times New Roman" w:cs="Times New Roman"/>
                <w:b/>
                <w:sz w:val="18"/>
                <w:szCs w:val="18"/>
                <w:lang w:val="en-GB"/>
              </w:rPr>
              <w:fldChar w:fldCharType="separate"/>
            </w:r>
            <w:r w:rsidRPr="00075B71">
              <w:rPr>
                <w:rFonts w:ascii="Times New Roman" w:eastAsia="Times New Roman" w:hAnsi="Times New Roman" w:cs="Times New Roman"/>
                <w:noProof/>
                <w:sz w:val="18"/>
                <w:szCs w:val="18"/>
                <w:lang w:val="en-GB"/>
              </w:rPr>
              <w:t>(Uppsala University, 2018)</w:t>
            </w:r>
            <w:r w:rsidRPr="00075B71">
              <w:rPr>
                <w:rFonts w:ascii="Times New Roman" w:eastAsia="Times New Roman" w:hAnsi="Times New Roman" w:cs="Times New Roman"/>
                <w:b/>
                <w:sz w:val="18"/>
                <w:szCs w:val="18"/>
                <w:lang w:val="en-GB"/>
              </w:rPr>
              <w:fldChar w:fldCharType="end"/>
            </w:r>
          </w:p>
          <w:p w14:paraId="422B5AB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
                <w:sz w:val="18"/>
                <w:szCs w:val="18"/>
                <w:lang w:val="en-GB"/>
              </w:rPr>
              <w:t xml:space="preserve"> </w:t>
            </w:r>
          </w:p>
        </w:tc>
      </w:tr>
      <w:tr w:rsidR="007F1199" w:rsidRPr="00877E75" w14:paraId="62A870D2" w14:textId="77777777" w:rsidTr="00600787">
        <w:trPr>
          <w:trHeight w:val="225"/>
        </w:trPr>
        <w:tc>
          <w:tcPr>
            <w:tcW w:w="1980" w:type="dxa"/>
            <w:vMerge/>
            <w:vAlign w:val="center"/>
            <w:hideMark/>
          </w:tcPr>
          <w:p w14:paraId="17D2294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7486A77D"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6CD45BA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fatalities_low_RW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vAlign w:val="center"/>
            <w:hideMark/>
          </w:tcPr>
          <w:p w14:paraId="29CDB9A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hideMark/>
          </w:tcPr>
          <w:p w14:paraId="5458830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2731A6F2" w14:textId="77777777" w:rsidTr="00600787">
        <w:trPr>
          <w:trHeight w:val="225"/>
        </w:trPr>
        <w:tc>
          <w:tcPr>
            <w:tcW w:w="1980" w:type="dxa"/>
            <w:vMerge/>
            <w:vAlign w:val="center"/>
            <w:hideMark/>
          </w:tcPr>
          <w:p w14:paraId="72FD261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74AB3F9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68B3217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fatalities_low_cumsum</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3B172F6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0381D76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35897C29" w14:textId="77777777" w:rsidTr="00600787">
        <w:trPr>
          <w:trHeight w:val="225"/>
        </w:trPr>
        <w:tc>
          <w:tcPr>
            <w:tcW w:w="1980" w:type="dxa"/>
            <w:vMerge/>
            <w:vAlign w:val="center"/>
            <w:hideMark/>
          </w:tcPr>
          <w:p w14:paraId="36DE568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restart"/>
            <w:shd w:val="clear" w:color="auto" w:fill="auto"/>
            <w:vAlign w:val="center"/>
            <w:hideMark/>
          </w:tcPr>
          <w:p w14:paraId="0AAB2163"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Death incurred by state-based armed conflict, non-state conflict (battle-related </w:t>
            </w:r>
            <w:proofErr w:type="spellStart"/>
            <w:r w:rsidRPr="00075B71">
              <w:rPr>
                <w:rFonts w:ascii="Times New Roman" w:eastAsia="Times New Roman" w:hAnsi="Times New Roman" w:cs="Times New Roman"/>
                <w:b/>
                <w:sz w:val="18"/>
                <w:szCs w:val="18"/>
                <w:lang w:val="en-GB"/>
              </w:rPr>
              <w:t>deahts</w:t>
            </w:r>
            <w:proofErr w:type="spellEnd"/>
            <w:r w:rsidRPr="00075B71">
              <w:rPr>
                <w:rFonts w:ascii="Times New Roman" w:eastAsia="Times New Roman" w:hAnsi="Times New Roman" w:cs="Times New Roman"/>
                <w:b/>
                <w:sz w:val="18"/>
                <w:szCs w:val="18"/>
                <w:lang w:val="en-GB"/>
              </w:rPr>
              <w:t>) and one-sided violence</w:t>
            </w:r>
          </w:p>
        </w:tc>
        <w:tc>
          <w:tcPr>
            <w:tcW w:w="2566" w:type="dxa"/>
            <w:shd w:val="clear" w:color="auto" w:fill="auto"/>
            <w:vAlign w:val="center"/>
            <w:hideMark/>
          </w:tcPr>
          <w:p w14:paraId="622C955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'fatalities',</w:t>
            </w:r>
          </w:p>
        </w:tc>
        <w:tc>
          <w:tcPr>
            <w:tcW w:w="1701" w:type="dxa"/>
            <w:shd w:val="clear" w:color="auto" w:fill="auto"/>
            <w:noWrap/>
            <w:vAlign w:val="center"/>
            <w:hideMark/>
          </w:tcPr>
          <w:p w14:paraId="636A74F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0616D8D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35726020" w14:textId="77777777" w:rsidTr="00600787">
        <w:trPr>
          <w:trHeight w:val="225"/>
        </w:trPr>
        <w:tc>
          <w:tcPr>
            <w:tcW w:w="1980" w:type="dxa"/>
            <w:vMerge/>
            <w:vAlign w:val="center"/>
            <w:hideMark/>
          </w:tcPr>
          <w:p w14:paraId="766CF26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4C9B6A00"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013E581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fatalities_RW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4FC65F3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0840B52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45B0CB9" w14:textId="77777777" w:rsidTr="00600787">
        <w:trPr>
          <w:trHeight w:val="225"/>
        </w:trPr>
        <w:tc>
          <w:tcPr>
            <w:tcW w:w="1980" w:type="dxa"/>
            <w:vMerge/>
            <w:vAlign w:val="center"/>
            <w:hideMark/>
          </w:tcPr>
          <w:p w14:paraId="7FDE85F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16C71700"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6ECA179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fatalities_cumsum</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59F8E03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3BBE735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7ADD483E" w14:textId="77777777" w:rsidTr="00600787">
        <w:trPr>
          <w:trHeight w:val="225"/>
        </w:trPr>
        <w:tc>
          <w:tcPr>
            <w:tcW w:w="1980" w:type="dxa"/>
            <w:vMerge/>
            <w:vAlign w:val="center"/>
            <w:hideMark/>
          </w:tcPr>
          <w:p w14:paraId="0403D95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restart"/>
            <w:shd w:val="clear" w:color="auto" w:fill="auto"/>
            <w:vAlign w:val="center"/>
            <w:hideMark/>
          </w:tcPr>
          <w:p w14:paraId="22B4D68A" w14:textId="77777777" w:rsidR="007F1199" w:rsidRPr="00075B71" w:rsidRDefault="007F1199" w:rsidP="00600787">
            <w:pPr>
              <w:spacing w:after="0" w:line="240" w:lineRule="auto"/>
              <w:jc w:val="both"/>
              <w:rPr>
                <w:rFonts w:ascii="Times New Roman" w:eastAsia="Times New Roman" w:hAnsi="Times New Roman" w:cs="Times New Roman"/>
                <w:b/>
                <w:bCs/>
                <w:sz w:val="18"/>
                <w:szCs w:val="18"/>
                <w:lang w:val="en-GB"/>
              </w:rPr>
            </w:pPr>
            <w:r w:rsidRPr="462D5417">
              <w:rPr>
                <w:rFonts w:ascii="Times New Roman" w:eastAsia="Times New Roman" w:hAnsi="Times New Roman" w:cs="Times New Roman"/>
                <w:b/>
                <w:bCs/>
                <w:sz w:val="18"/>
                <w:szCs w:val="18"/>
                <w:lang w:val="en-GB"/>
              </w:rPr>
              <w:t>The high estimate consist of the aggregated high estimates of deaths for all incidents of organised violence during a year</w:t>
            </w:r>
          </w:p>
        </w:tc>
        <w:tc>
          <w:tcPr>
            <w:tcW w:w="2566" w:type="dxa"/>
            <w:shd w:val="clear" w:color="auto" w:fill="auto"/>
            <w:vAlign w:val="center"/>
            <w:hideMark/>
          </w:tcPr>
          <w:p w14:paraId="0E97250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fatalities_high</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57736C0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0204527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5E152C5B" w14:textId="77777777" w:rsidTr="00600787">
        <w:trPr>
          <w:trHeight w:val="225"/>
        </w:trPr>
        <w:tc>
          <w:tcPr>
            <w:tcW w:w="1980" w:type="dxa"/>
            <w:vMerge/>
            <w:vAlign w:val="center"/>
            <w:hideMark/>
          </w:tcPr>
          <w:p w14:paraId="162973A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4F45B0B1"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3F9861E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fatalities_high_RW</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53F0881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4DA2153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71677320" w14:textId="77777777" w:rsidTr="00600787">
        <w:trPr>
          <w:trHeight w:val="225"/>
        </w:trPr>
        <w:tc>
          <w:tcPr>
            <w:tcW w:w="1980" w:type="dxa"/>
            <w:vMerge/>
            <w:vAlign w:val="center"/>
            <w:hideMark/>
          </w:tcPr>
          <w:p w14:paraId="6D539A8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B5C8729"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67BA007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fatalities_high_cumsum</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65AFD30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253EB30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05FA81E5" w14:textId="77777777" w:rsidTr="00600787">
        <w:trPr>
          <w:trHeight w:val="3105"/>
        </w:trPr>
        <w:tc>
          <w:tcPr>
            <w:tcW w:w="1980" w:type="dxa"/>
            <w:shd w:val="clear" w:color="auto" w:fill="auto"/>
            <w:noWrap/>
            <w:vAlign w:val="center"/>
            <w:hideMark/>
          </w:tcPr>
          <w:p w14:paraId="28B8936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Crops</w:t>
            </w:r>
          </w:p>
        </w:tc>
        <w:tc>
          <w:tcPr>
            <w:tcW w:w="1828" w:type="dxa"/>
            <w:shd w:val="clear" w:color="auto" w:fill="auto"/>
            <w:vAlign w:val="center"/>
            <w:hideMark/>
          </w:tcPr>
          <w:p w14:paraId="4BFC9FBA"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Binary variable indicating whether a specific fruit, grain or vegetable is a main crop</w:t>
            </w:r>
          </w:p>
        </w:tc>
        <w:tc>
          <w:tcPr>
            <w:tcW w:w="2566" w:type="dxa"/>
            <w:shd w:val="clear" w:color="auto" w:fill="auto"/>
            <w:vAlign w:val="center"/>
            <w:hideMark/>
          </w:tcPr>
          <w:p w14:paraId="3588885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'other roots', 'root crops', 'flax', 'sorghum', 'groundnuts', 'maize', 'chat', 'pepper', 'barley', 'rice', 'cotton', '</w:t>
            </w:r>
            <w:proofErr w:type="spellStart"/>
            <w:r w:rsidRPr="00075B71">
              <w:rPr>
                <w:rFonts w:ascii="Times New Roman" w:eastAsia="Times New Roman" w:hAnsi="Times New Roman" w:cs="Times New Roman"/>
                <w:sz w:val="18"/>
                <w:szCs w:val="18"/>
                <w:lang w:val="en-GB"/>
              </w:rPr>
              <w:t>gesho</w:t>
            </w:r>
            <w:proofErr w:type="spellEnd"/>
            <w:r w:rsidRPr="00075B71">
              <w:rPr>
                <w:rFonts w:ascii="Times New Roman" w:eastAsia="Times New Roman" w:hAnsi="Times New Roman" w:cs="Times New Roman"/>
                <w:sz w:val="18"/>
                <w:szCs w:val="18"/>
                <w:lang w:val="en-GB"/>
              </w:rPr>
              <w:t>', 'wheat', 'sugar cane', 'sesame', 'ginger', 'cassava', 'spices', 'pulses', 'teff', 'tobacco', 'nug', 'wild oats', '</w:t>
            </w:r>
            <w:proofErr w:type="spellStart"/>
            <w:r w:rsidRPr="00075B71">
              <w:rPr>
                <w:rFonts w:ascii="Times New Roman" w:eastAsia="Times New Roman" w:hAnsi="Times New Roman" w:cs="Times New Roman"/>
                <w:sz w:val="18"/>
                <w:szCs w:val="18"/>
                <w:lang w:val="en-GB"/>
              </w:rPr>
              <w:t>enset</w:t>
            </w:r>
            <w:proofErr w:type="spellEnd"/>
            <w:r w:rsidRPr="00075B71">
              <w:rPr>
                <w:rFonts w:ascii="Times New Roman" w:eastAsia="Times New Roman" w:hAnsi="Times New Roman" w:cs="Times New Roman"/>
                <w:sz w:val="18"/>
                <w:szCs w:val="18"/>
                <w:lang w:val="en-GB"/>
              </w:rPr>
              <w:t>', '</w:t>
            </w:r>
            <w:proofErr w:type="spellStart"/>
            <w:r w:rsidRPr="00075B71">
              <w:rPr>
                <w:rFonts w:ascii="Times New Roman" w:eastAsia="Times New Roman" w:hAnsi="Times New Roman" w:cs="Times New Roman"/>
                <w:sz w:val="18"/>
                <w:szCs w:val="18"/>
                <w:lang w:val="en-GB"/>
              </w:rPr>
              <w:t>irish</w:t>
            </w:r>
            <w:proofErr w:type="spellEnd"/>
            <w:r w:rsidRPr="00075B71">
              <w:rPr>
                <w:rFonts w:ascii="Times New Roman" w:eastAsia="Times New Roman" w:hAnsi="Times New Roman" w:cs="Times New Roman"/>
                <w:sz w:val="18"/>
                <w:szCs w:val="18"/>
                <w:lang w:val="en-GB"/>
              </w:rPr>
              <w:t xml:space="preserve"> potatoes', 'oilseeds', 'oats', 'bananas', 'cactus fruit', 'millet', 'coffee', 'date palm', 'mixed cash crops', 'fruit/veg', 'sweet potatoes', 'taro',.</w:t>
            </w:r>
          </w:p>
        </w:tc>
        <w:tc>
          <w:tcPr>
            <w:tcW w:w="1701" w:type="dxa"/>
            <w:shd w:val="clear" w:color="auto" w:fill="auto"/>
            <w:noWrap/>
            <w:vAlign w:val="center"/>
            <w:hideMark/>
          </w:tcPr>
          <w:p w14:paraId="51E2A54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shd w:val="clear" w:color="auto" w:fill="auto"/>
            <w:noWrap/>
            <w:vAlign w:val="bottom"/>
            <w:hideMark/>
          </w:tcPr>
          <w:p w14:paraId="7EEA84E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
                <w:bCs/>
                <w:sz w:val="18"/>
                <w:szCs w:val="18"/>
                <w:lang w:val="en-GB"/>
              </w:rPr>
              <w:fldChar w:fldCharType="begin" w:fldLock="1"/>
            </w:r>
            <w:r>
              <w:rPr>
                <w:rFonts w:ascii="Times New Roman" w:eastAsia="Times New Roman" w:hAnsi="Times New Roman" w:cs="Times New Roman"/>
                <w:b/>
                <w:bCs/>
                <w:sz w:val="18"/>
                <w:szCs w:val="18"/>
                <w:lang w:val="en-GB"/>
              </w:rPr>
              <w:instrText>ADDIN CSL_CITATION {"citationItems":[{"id":"ITEM-1","itemData":{"author":[{"dropping-particle":"","family":"Famine Early Warning Systems Network","given":"","non-dropping-particle":"","parse-names":false,"suffix":""}],"id":"ITEM-1","issued":{"date-parts":[["2011"]]},"title":"SPECIAL BRIEF FEWS NET adopts IPC version 2.0 Scale","type":"report"},"prefix":"FEWS NET,","suppress-author":1,"uris":["http://www.mendeley.com/documents/?uuid=12da4d73-98a6-4e5d-b178-b238da0846a1"]}],"mendeley":{"formattedCitation":"(FEWS NET, 2011)","plainTextFormattedCitation":"(FEWS NET, 2011)","previouslyFormattedCitation":"(FEWS NET, 2011)"},"properties":{"noteIndex":0},"schema":"https://github.com/citation-style-language/schema/raw/master/csl-citation.json"}</w:instrText>
            </w:r>
            <w:r w:rsidRPr="00075B71">
              <w:rPr>
                <w:rFonts w:ascii="Times New Roman" w:eastAsia="Times New Roman" w:hAnsi="Times New Roman" w:cs="Times New Roman"/>
                <w:b/>
                <w:bCs/>
                <w:sz w:val="18"/>
                <w:szCs w:val="18"/>
                <w:lang w:val="en-GB"/>
              </w:rPr>
              <w:fldChar w:fldCharType="separate"/>
            </w:r>
            <w:r w:rsidRPr="00227492">
              <w:rPr>
                <w:rFonts w:ascii="Times New Roman" w:eastAsia="Times New Roman" w:hAnsi="Times New Roman" w:cs="Times New Roman"/>
                <w:noProof/>
                <w:sz w:val="18"/>
                <w:szCs w:val="18"/>
                <w:lang w:val="en-GB"/>
              </w:rPr>
              <w:t>(FEWS NET, 2011)</w:t>
            </w:r>
            <w:r w:rsidRPr="00075B71">
              <w:rPr>
                <w:rFonts w:ascii="Times New Roman" w:eastAsia="Times New Roman" w:hAnsi="Times New Roman" w:cs="Times New Roman"/>
                <w:b/>
                <w:bCs/>
                <w:sz w:val="18"/>
                <w:szCs w:val="18"/>
                <w:lang w:val="en-GB"/>
              </w:rPr>
              <w:fldChar w:fldCharType="end"/>
            </w:r>
          </w:p>
        </w:tc>
      </w:tr>
      <w:tr w:rsidR="007F1199" w:rsidRPr="00877E75" w14:paraId="786D0E96" w14:textId="77777777" w:rsidTr="00600787">
        <w:trPr>
          <w:trHeight w:val="675"/>
        </w:trPr>
        <w:tc>
          <w:tcPr>
            <w:tcW w:w="1980" w:type="dxa"/>
            <w:shd w:val="clear" w:color="auto" w:fill="auto"/>
            <w:noWrap/>
            <w:vAlign w:val="center"/>
            <w:hideMark/>
          </w:tcPr>
          <w:p w14:paraId="7655E32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Stock</w:t>
            </w:r>
          </w:p>
        </w:tc>
        <w:tc>
          <w:tcPr>
            <w:tcW w:w="1828" w:type="dxa"/>
            <w:shd w:val="clear" w:color="auto" w:fill="auto"/>
            <w:vAlign w:val="center"/>
            <w:hideMark/>
          </w:tcPr>
          <w:p w14:paraId="57F8AC3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Binary variable indicating whether a stock is a main stock</w:t>
            </w:r>
          </w:p>
        </w:tc>
        <w:tc>
          <w:tcPr>
            <w:tcW w:w="2566" w:type="dxa"/>
            <w:shd w:val="clear" w:color="auto" w:fill="auto"/>
            <w:vAlign w:val="center"/>
            <w:hideMark/>
          </w:tcPr>
          <w:p w14:paraId="79F3411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'shoats', 'cattle', 'equines', 'camels', 'poultry', 'bees',</w:t>
            </w:r>
          </w:p>
        </w:tc>
        <w:tc>
          <w:tcPr>
            <w:tcW w:w="1701" w:type="dxa"/>
            <w:shd w:val="clear" w:color="auto" w:fill="auto"/>
            <w:noWrap/>
            <w:vAlign w:val="center"/>
            <w:hideMark/>
          </w:tcPr>
          <w:p w14:paraId="04153FB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shd w:val="clear" w:color="auto" w:fill="auto"/>
            <w:noWrap/>
            <w:vAlign w:val="bottom"/>
            <w:hideMark/>
          </w:tcPr>
          <w:p w14:paraId="3E3AFF9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
                <w:bCs/>
                <w:sz w:val="18"/>
                <w:szCs w:val="18"/>
                <w:lang w:val="en-GB"/>
              </w:rPr>
              <w:fldChar w:fldCharType="begin" w:fldLock="1"/>
            </w:r>
            <w:r>
              <w:rPr>
                <w:rFonts w:ascii="Times New Roman" w:eastAsia="Times New Roman" w:hAnsi="Times New Roman" w:cs="Times New Roman"/>
                <w:b/>
                <w:bCs/>
                <w:sz w:val="18"/>
                <w:szCs w:val="18"/>
                <w:lang w:val="en-GB"/>
              </w:rPr>
              <w:instrText>ADDIN CSL_CITATION {"citationItems":[{"id":"ITEM-1","itemData":{"author":[{"dropping-particle":"","family":"Famine Early Warning Systems Network","given":"","non-dropping-particle":"","parse-names":false,"suffix":""}],"id":"ITEM-1","issued":{"date-parts":[["2011"]]},"title":"SPECIAL BRIEF FEWS NET adopts IPC version 2.0 Scale","type":"report"},"prefix":"FEWS NET,","suppress-author":1,"uris":["http://www.mendeley.com/documents/?uuid=12da4d73-98a6-4e5d-b178-b238da0846a1"]}],"mendeley":{"formattedCitation":"(FEWS NET, 2011)","plainTextFormattedCitation":"(FEWS NET, 2011)","previouslyFormattedCitation":"(FEWS NET, 2011)"},"properties":{"noteIndex":0},"schema":"https://github.com/citation-style-language/schema/raw/master/csl-citation.json"}</w:instrText>
            </w:r>
            <w:r w:rsidRPr="00075B71">
              <w:rPr>
                <w:rFonts w:ascii="Times New Roman" w:eastAsia="Times New Roman" w:hAnsi="Times New Roman" w:cs="Times New Roman"/>
                <w:b/>
                <w:bCs/>
                <w:sz w:val="18"/>
                <w:szCs w:val="18"/>
                <w:lang w:val="en-GB"/>
              </w:rPr>
              <w:fldChar w:fldCharType="separate"/>
            </w:r>
            <w:r w:rsidRPr="00227492">
              <w:rPr>
                <w:rFonts w:ascii="Times New Roman" w:eastAsia="Times New Roman" w:hAnsi="Times New Roman" w:cs="Times New Roman"/>
                <w:noProof/>
                <w:sz w:val="18"/>
                <w:szCs w:val="18"/>
                <w:lang w:val="en-GB"/>
              </w:rPr>
              <w:t>(FEWS NET, 2011)</w:t>
            </w:r>
            <w:r w:rsidRPr="00075B71">
              <w:rPr>
                <w:rFonts w:ascii="Times New Roman" w:eastAsia="Times New Roman" w:hAnsi="Times New Roman" w:cs="Times New Roman"/>
                <w:b/>
                <w:bCs/>
                <w:sz w:val="18"/>
                <w:szCs w:val="18"/>
                <w:lang w:val="en-GB"/>
              </w:rPr>
              <w:fldChar w:fldCharType="end"/>
            </w:r>
          </w:p>
        </w:tc>
      </w:tr>
      <w:tr w:rsidR="007F1199" w:rsidRPr="00877E75" w14:paraId="4C369694" w14:textId="77777777" w:rsidTr="00600787">
        <w:trPr>
          <w:trHeight w:val="225"/>
        </w:trPr>
        <w:tc>
          <w:tcPr>
            <w:tcW w:w="1980" w:type="dxa"/>
            <w:vMerge w:val="restart"/>
            <w:shd w:val="clear" w:color="auto" w:fill="auto"/>
            <w:noWrap/>
            <w:vAlign w:val="center"/>
            <w:hideMark/>
          </w:tcPr>
          <w:p w14:paraId="0AD5878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Date</w:t>
            </w:r>
          </w:p>
        </w:tc>
        <w:tc>
          <w:tcPr>
            <w:tcW w:w="1828" w:type="dxa"/>
            <w:vMerge w:val="restart"/>
            <w:shd w:val="clear" w:color="auto" w:fill="auto"/>
            <w:vAlign w:val="center"/>
            <w:hideMark/>
          </w:tcPr>
          <w:p w14:paraId="3CBE1E30"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The Belga, Kiremt and Bega season. </w:t>
            </w:r>
          </w:p>
        </w:tc>
        <w:tc>
          <w:tcPr>
            <w:tcW w:w="2566" w:type="dxa"/>
            <w:shd w:val="clear" w:color="auto" w:fill="auto"/>
            <w:vAlign w:val="center"/>
            <w:hideMark/>
          </w:tcPr>
          <w:p w14:paraId="6498FBD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BelgSeason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5C02503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restart"/>
            <w:shd w:val="clear" w:color="auto" w:fill="auto"/>
            <w:noWrap/>
            <w:vAlign w:val="bottom"/>
            <w:hideMark/>
          </w:tcPr>
          <w:p w14:paraId="5FCCBB3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7E6DCB3E" w14:textId="77777777" w:rsidTr="00600787">
        <w:trPr>
          <w:trHeight w:val="225"/>
        </w:trPr>
        <w:tc>
          <w:tcPr>
            <w:tcW w:w="1980" w:type="dxa"/>
            <w:vMerge/>
            <w:vAlign w:val="center"/>
            <w:hideMark/>
          </w:tcPr>
          <w:p w14:paraId="653B79B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5B8518B"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7B1D1DF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KiremtSeason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27131F6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23A7FBA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F821679" w14:textId="77777777" w:rsidTr="00600787">
        <w:trPr>
          <w:trHeight w:val="225"/>
        </w:trPr>
        <w:tc>
          <w:tcPr>
            <w:tcW w:w="1980" w:type="dxa"/>
            <w:vMerge/>
            <w:vAlign w:val="center"/>
            <w:hideMark/>
          </w:tcPr>
          <w:p w14:paraId="551B15B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0B1CE1A1"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6E08904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BegaSeason</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5994469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286400D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799241EC" w14:textId="77777777" w:rsidTr="00600787">
        <w:trPr>
          <w:trHeight w:val="225"/>
        </w:trPr>
        <w:tc>
          <w:tcPr>
            <w:tcW w:w="1980" w:type="dxa"/>
            <w:vMerge/>
            <w:vAlign w:val="center"/>
            <w:hideMark/>
          </w:tcPr>
          <w:p w14:paraId="5CA4E0E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shd w:val="clear" w:color="auto" w:fill="auto"/>
            <w:vAlign w:val="center"/>
            <w:hideMark/>
          </w:tcPr>
          <w:p w14:paraId="3C5583B8"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The month the data originated from</w:t>
            </w:r>
          </w:p>
        </w:tc>
        <w:tc>
          <w:tcPr>
            <w:tcW w:w="2566" w:type="dxa"/>
            <w:shd w:val="clear" w:color="auto" w:fill="auto"/>
            <w:vAlign w:val="center"/>
            <w:hideMark/>
          </w:tcPr>
          <w:p w14:paraId="37AAF65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'Month',</w:t>
            </w:r>
          </w:p>
        </w:tc>
        <w:tc>
          <w:tcPr>
            <w:tcW w:w="1701" w:type="dxa"/>
            <w:shd w:val="clear" w:color="auto" w:fill="auto"/>
            <w:noWrap/>
            <w:vAlign w:val="center"/>
            <w:hideMark/>
          </w:tcPr>
          <w:p w14:paraId="34B9794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4A6E03B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64AD0412" w14:textId="77777777" w:rsidTr="00600787">
        <w:trPr>
          <w:trHeight w:val="660"/>
        </w:trPr>
        <w:tc>
          <w:tcPr>
            <w:tcW w:w="1980" w:type="dxa"/>
            <w:vMerge/>
            <w:vAlign w:val="center"/>
            <w:hideMark/>
          </w:tcPr>
          <w:p w14:paraId="7AF7F9E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shd w:val="clear" w:color="auto" w:fill="auto"/>
            <w:vAlign w:val="center"/>
            <w:hideMark/>
          </w:tcPr>
          <w:p w14:paraId="163A5CBF"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The year the data originated from</w:t>
            </w:r>
          </w:p>
        </w:tc>
        <w:tc>
          <w:tcPr>
            <w:tcW w:w="2566" w:type="dxa"/>
            <w:shd w:val="clear" w:color="auto" w:fill="auto"/>
            <w:vAlign w:val="center"/>
            <w:hideMark/>
          </w:tcPr>
          <w:p w14:paraId="5804D8C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'Year',</w:t>
            </w:r>
          </w:p>
        </w:tc>
        <w:tc>
          <w:tcPr>
            <w:tcW w:w="1701" w:type="dxa"/>
            <w:shd w:val="clear" w:color="auto" w:fill="auto"/>
            <w:noWrap/>
            <w:vAlign w:val="center"/>
            <w:hideMark/>
          </w:tcPr>
          <w:p w14:paraId="4CFD893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3585AF9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7F141B13" w14:textId="77777777" w:rsidTr="00600787">
        <w:trPr>
          <w:trHeight w:val="225"/>
        </w:trPr>
        <w:tc>
          <w:tcPr>
            <w:tcW w:w="1980" w:type="dxa"/>
            <w:vMerge w:val="restart"/>
            <w:shd w:val="clear" w:color="auto" w:fill="auto"/>
            <w:noWrap/>
            <w:vAlign w:val="center"/>
            <w:hideMark/>
          </w:tcPr>
          <w:p w14:paraId="5C8221C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lastRenderedPageBreak/>
              <w:t>IPC</w:t>
            </w:r>
          </w:p>
        </w:tc>
        <w:tc>
          <w:tcPr>
            <w:tcW w:w="1828" w:type="dxa"/>
            <w:vMerge w:val="restart"/>
            <w:shd w:val="clear" w:color="auto" w:fill="auto"/>
            <w:vAlign w:val="center"/>
            <w:hideMark/>
          </w:tcPr>
          <w:p w14:paraId="0757613C"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Current food security outcomes for a specific month</w:t>
            </w:r>
          </w:p>
        </w:tc>
        <w:tc>
          <w:tcPr>
            <w:tcW w:w="2566" w:type="dxa"/>
            <w:shd w:val="clear" w:color="auto" w:fill="auto"/>
            <w:vAlign w:val="center"/>
            <w:hideMark/>
          </w:tcPr>
          <w:p w14:paraId="3E39F14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'CS',</w:t>
            </w:r>
          </w:p>
        </w:tc>
        <w:tc>
          <w:tcPr>
            <w:tcW w:w="1701" w:type="dxa"/>
            <w:shd w:val="clear" w:color="auto" w:fill="auto"/>
            <w:noWrap/>
            <w:vAlign w:val="center"/>
            <w:hideMark/>
          </w:tcPr>
          <w:p w14:paraId="4FE9BFE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restart"/>
            <w:shd w:val="clear" w:color="auto" w:fill="auto"/>
            <w:noWrap/>
            <w:vAlign w:val="bottom"/>
            <w:hideMark/>
          </w:tcPr>
          <w:p w14:paraId="5574DB7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b/>
                <w:bCs/>
                <w:sz w:val="18"/>
                <w:szCs w:val="18"/>
                <w:lang w:val="en-GB"/>
              </w:rPr>
              <w:fldChar w:fldCharType="begin" w:fldLock="1"/>
            </w:r>
            <w:r>
              <w:rPr>
                <w:rFonts w:ascii="Times New Roman" w:eastAsia="Times New Roman" w:hAnsi="Times New Roman" w:cs="Times New Roman"/>
                <w:b/>
                <w:bCs/>
                <w:sz w:val="18"/>
                <w:szCs w:val="18"/>
                <w:lang w:val="en-GB"/>
              </w:rPr>
              <w:instrText>ADDIN CSL_CITATION {"citationItems":[{"id":"ITEM-1","itemData":{"author":[{"dropping-particle":"","family":"Famine Early Warning Systems Network","given":"","non-dropping-particle":"","parse-names":false,"suffix":""}],"id":"ITEM-1","issued":{"date-parts":[["2011"]]},"title":"SPECIAL BRIEF FEWS NET adopts IPC version 2.0 Scale","type":"report"},"prefix":"FEWS NET,","suppress-author":1,"uris":["http://www.mendeley.com/documents/?uuid=12da4d73-98a6-4e5d-b178-b238da0846a1"]}],"mendeley":{"formattedCitation":"(FEWS NET, 2011)","plainTextFormattedCitation":"(FEWS NET, 2011)","previouslyFormattedCitation":"(FEWS NET, 2011)"},"properties":{"noteIndex":0},"schema":"https://github.com/citation-style-language/schema/raw/master/csl-citation.json"}</w:instrText>
            </w:r>
            <w:r w:rsidRPr="00075B71">
              <w:rPr>
                <w:rFonts w:ascii="Times New Roman" w:eastAsia="Times New Roman" w:hAnsi="Times New Roman" w:cs="Times New Roman"/>
                <w:b/>
                <w:bCs/>
                <w:sz w:val="18"/>
                <w:szCs w:val="18"/>
                <w:lang w:val="en-GB"/>
              </w:rPr>
              <w:fldChar w:fldCharType="separate"/>
            </w:r>
            <w:r w:rsidRPr="00227492">
              <w:rPr>
                <w:rFonts w:ascii="Times New Roman" w:eastAsia="Times New Roman" w:hAnsi="Times New Roman" w:cs="Times New Roman"/>
                <w:noProof/>
                <w:sz w:val="18"/>
                <w:szCs w:val="18"/>
                <w:lang w:val="en-GB"/>
              </w:rPr>
              <w:t>(FEWS NET, 2011)</w:t>
            </w:r>
            <w:r w:rsidRPr="00075B71">
              <w:rPr>
                <w:rFonts w:ascii="Times New Roman" w:eastAsia="Times New Roman" w:hAnsi="Times New Roman" w:cs="Times New Roman"/>
                <w:b/>
                <w:bCs/>
                <w:sz w:val="18"/>
                <w:szCs w:val="18"/>
                <w:lang w:val="en-GB"/>
              </w:rPr>
              <w:fldChar w:fldCharType="end"/>
            </w:r>
          </w:p>
        </w:tc>
      </w:tr>
      <w:tr w:rsidR="007F1199" w:rsidRPr="00877E75" w14:paraId="1E5C073E" w14:textId="77777777" w:rsidTr="00600787">
        <w:trPr>
          <w:trHeight w:val="225"/>
        </w:trPr>
        <w:tc>
          <w:tcPr>
            <w:tcW w:w="1980" w:type="dxa"/>
            <w:vMerge/>
            <w:vAlign w:val="center"/>
            <w:hideMark/>
          </w:tcPr>
          <w:p w14:paraId="415FA69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0D87682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1EB3132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'CS-1',</w:t>
            </w:r>
          </w:p>
        </w:tc>
        <w:tc>
          <w:tcPr>
            <w:tcW w:w="1701" w:type="dxa"/>
            <w:shd w:val="clear" w:color="auto" w:fill="auto"/>
            <w:noWrap/>
            <w:vAlign w:val="center"/>
            <w:hideMark/>
          </w:tcPr>
          <w:p w14:paraId="56F1C1F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13AAE69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BF06EEB" w14:textId="77777777" w:rsidTr="00600787">
        <w:trPr>
          <w:trHeight w:val="225"/>
        </w:trPr>
        <w:tc>
          <w:tcPr>
            <w:tcW w:w="1980" w:type="dxa"/>
            <w:vMerge/>
            <w:vAlign w:val="center"/>
            <w:hideMark/>
          </w:tcPr>
          <w:p w14:paraId="4B8EA2B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A048A50"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5B3AFE5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'CS-2',</w:t>
            </w:r>
          </w:p>
        </w:tc>
        <w:tc>
          <w:tcPr>
            <w:tcW w:w="1701" w:type="dxa"/>
            <w:shd w:val="clear" w:color="auto" w:fill="auto"/>
            <w:noWrap/>
            <w:vAlign w:val="center"/>
            <w:hideMark/>
          </w:tcPr>
          <w:p w14:paraId="013D5E2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2A51B74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73D0EA9D" w14:textId="77777777" w:rsidTr="00600787">
        <w:trPr>
          <w:trHeight w:val="225"/>
        </w:trPr>
        <w:tc>
          <w:tcPr>
            <w:tcW w:w="1980" w:type="dxa"/>
            <w:vMerge/>
            <w:vAlign w:val="center"/>
            <w:hideMark/>
          </w:tcPr>
          <w:p w14:paraId="71DBE9B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1CA2572E"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1AF7506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'CS-3',</w:t>
            </w:r>
          </w:p>
        </w:tc>
        <w:tc>
          <w:tcPr>
            <w:tcW w:w="1701" w:type="dxa"/>
            <w:shd w:val="clear" w:color="auto" w:fill="auto"/>
            <w:noWrap/>
            <w:vAlign w:val="center"/>
            <w:hideMark/>
          </w:tcPr>
          <w:p w14:paraId="1CD497A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22CB7EE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0DC1375C" w14:textId="77777777" w:rsidTr="00600787">
        <w:trPr>
          <w:trHeight w:val="225"/>
        </w:trPr>
        <w:tc>
          <w:tcPr>
            <w:tcW w:w="1980" w:type="dxa"/>
            <w:vMerge/>
            <w:vAlign w:val="center"/>
            <w:hideMark/>
          </w:tcPr>
          <w:p w14:paraId="30C582C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24378608"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011DA40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'CS-4',</w:t>
            </w:r>
          </w:p>
        </w:tc>
        <w:tc>
          <w:tcPr>
            <w:tcW w:w="1701" w:type="dxa"/>
            <w:shd w:val="clear" w:color="auto" w:fill="auto"/>
            <w:noWrap/>
            <w:vAlign w:val="center"/>
            <w:hideMark/>
          </w:tcPr>
          <w:p w14:paraId="692B0A3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3334DAF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B3E7F44" w14:textId="77777777" w:rsidTr="00600787">
        <w:trPr>
          <w:trHeight w:val="225"/>
        </w:trPr>
        <w:tc>
          <w:tcPr>
            <w:tcW w:w="1980" w:type="dxa"/>
            <w:vMerge/>
            <w:vAlign w:val="center"/>
            <w:hideMark/>
          </w:tcPr>
          <w:p w14:paraId="4875810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5EE43472"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73BCF51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'CS-5',</w:t>
            </w:r>
          </w:p>
        </w:tc>
        <w:tc>
          <w:tcPr>
            <w:tcW w:w="1701" w:type="dxa"/>
            <w:shd w:val="clear" w:color="auto" w:fill="auto"/>
            <w:noWrap/>
            <w:vAlign w:val="center"/>
            <w:hideMark/>
          </w:tcPr>
          <w:p w14:paraId="33147BD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33DF5EA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327F7426" w14:textId="77777777" w:rsidTr="00600787">
        <w:trPr>
          <w:trHeight w:val="225"/>
        </w:trPr>
        <w:tc>
          <w:tcPr>
            <w:tcW w:w="1980" w:type="dxa"/>
            <w:vMerge/>
            <w:vAlign w:val="center"/>
            <w:hideMark/>
          </w:tcPr>
          <w:p w14:paraId="47A5045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20A4064D"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4F926E2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'CS-6',</w:t>
            </w:r>
          </w:p>
        </w:tc>
        <w:tc>
          <w:tcPr>
            <w:tcW w:w="1701" w:type="dxa"/>
            <w:shd w:val="clear" w:color="auto" w:fill="auto"/>
            <w:noWrap/>
            <w:vAlign w:val="center"/>
            <w:hideMark/>
          </w:tcPr>
          <w:p w14:paraId="3F9867C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54D2B53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40C93ED5" w14:textId="77777777" w:rsidTr="00600787">
        <w:trPr>
          <w:trHeight w:val="225"/>
        </w:trPr>
        <w:tc>
          <w:tcPr>
            <w:tcW w:w="1980" w:type="dxa"/>
            <w:vMerge/>
            <w:vAlign w:val="center"/>
            <w:hideMark/>
          </w:tcPr>
          <w:p w14:paraId="5E9795D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restart"/>
            <w:shd w:val="clear" w:color="auto" w:fill="auto"/>
            <w:vAlign w:val="center"/>
            <w:hideMark/>
          </w:tcPr>
          <w:p w14:paraId="785D4B19"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Humanitarian assistance is present and helping the area</w:t>
            </w:r>
          </w:p>
        </w:tc>
        <w:tc>
          <w:tcPr>
            <w:tcW w:w="2566" w:type="dxa"/>
            <w:shd w:val="clear" w:color="auto" w:fill="auto"/>
            <w:vAlign w:val="center"/>
            <w:hideMark/>
          </w:tcPr>
          <w:p w14:paraId="2E16FC0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'HA0',</w:t>
            </w:r>
          </w:p>
        </w:tc>
        <w:tc>
          <w:tcPr>
            <w:tcW w:w="1701" w:type="dxa"/>
            <w:shd w:val="clear" w:color="auto" w:fill="auto"/>
            <w:noWrap/>
            <w:vAlign w:val="center"/>
            <w:hideMark/>
          </w:tcPr>
          <w:p w14:paraId="42CFCC2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2268" w:type="dxa"/>
            <w:vMerge/>
            <w:vAlign w:val="center"/>
            <w:hideMark/>
          </w:tcPr>
          <w:p w14:paraId="38D7905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FD4A5BB" w14:textId="77777777" w:rsidTr="00600787">
        <w:trPr>
          <w:trHeight w:val="225"/>
        </w:trPr>
        <w:tc>
          <w:tcPr>
            <w:tcW w:w="1980" w:type="dxa"/>
            <w:vMerge/>
            <w:vAlign w:val="center"/>
            <w:hideMark/>
          </w:tcPr>
          <w:p w14:paraId="037C5A6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54A5FAC3"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7E91EBA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'HA0-1',</w:t>
            </w:r>
          </w:p>
        </w:tc>
        <w:tc>
          <w:tcPr>
            <w:tcW w:w="1701" w:type="dxa"/>
            <w:shd w:val="clear" w:color="auto" w:fill="auto"/>
            <w:noWrap/>
            <w:vAlign w:val="center"/>
            <w:hideMark/>
          </w:tcPr>
          <w:p w14:paraId="3F0A0CD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7F9C076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11D1C897" w14:textId="77777777" w:rsidTr="00600787">
        <w:trPr>
          <w:trHeight w:val="225"/>
        </w:trPr>
        <w:tc>
          <w:tcPr>
            <w:tcW w:w="1980" w:type="dxa"/>
            <w:vMerge/>
            <w:vAlign w:val="center"/>
            <w:hideMark/>
          </w:tcPr>
          <w:p w14:paraId="3BE6AA1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1B18D056"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21FD36C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'HA0-2',</w:t>
            </w:r>
          </w:p>
        </w:tc>
        <w:tc>
          <w:tcPr>
            <w:tcW w:w="1701" w:type="dxa"/>
            <w:shd w:val="clear" w:color="auto" w:fill="auto"/>
            <w:noWrap/>
            <w:vAlign w:val="center"/>
            <w:hideMark/>
          </w:tcPr>
          <w:p w14:paraId="0A2A56D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15524FF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3B5C6A42" w14:textId="77777777" w:rsidTr="00600787">
        <w:trPr>
          <w:trHeight w:val="225"/>
        </w:trPr>
        <w:tc>
          <w:tcPr>
            <w:tcW w:w="1980" w:type="dxa"/>
            <w:vMerge/>
            <w:vAlign w:val="center"/>
            <w:hideMark/>
          </w:tcPr>
          <w:p w14:paraId="3808FBE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4BB3DB54"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4DF1F14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'HA0-3',</w:t>
            </w:r>
          </w:p>
        </w:tc>
        <w:tc>
          <w:tcPr>
            <w:tcW w:w="1701" w:type="dxa"/>
            <w:shd w:val="clear" w:color="auto" w:fill="auto"/>
            <w:noWrap/>
            <w:vAlign w:val="center"/>
            <w:hideMark/>
          </w:tcPr>
          <w:p w14:paraId="55C1B00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028B76E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4A872903" w14:textId="77777777" w:rsidTr="00600787">
        <w:trPr>
          <w:trHeight w:val="225"/>
        </w:trPr>
        <w:tc>
          <w:tcPr>
            <w:tcW w:w="1980" w:type="dxa"/>
            <w:vMerge/>
            <w:vAlign w:val="center"/>
            <w:hideMark/>
          </w:tcPr>
          <w:p w14:paraId="63653B9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3DAD24D8"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366B4364"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'HA0-4',</w:t>
            </w:r>
          </w:p>
        </w:tc>
        <w:tc>
          <w:tcPr>
            <w:tcW w:w="1701" w:type="dxa"/>
            <w:shd w:val="clear" w:color="auto" w:fill="auto"/>
            <w:noWrap/>
            <w:vAlign w:val="center"/>
            <w:hideMark/>
          </w:tcPr>
          <w:p w14:paraId="4C0533C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7E9F90E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2CB67553" w14:textId="77777777" w:rsidTr="00600787">
        <w:trPr>
          <w:trHeight w:val="225"/>
        </w:trPr>
        <w:tc>
          <w:tcPr>
            <w:tcW w:w="1980" w:type="dxa"/>
            <w:vMerge/>
            <w:vAlign w:val="center"/>
            <w:hideMark/>
          </w:tcPr>
          <w:p w14:paraId="3E3D475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4FE7642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7AF9C37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'HA0-5',</w:t>
            </w:r>
          </w:p>
        </w:tc>
        <w:tc>
          <w:tcPr>
            <w:tcW w:w="1701" w:type="dxa"/>
            <w:shd w:val="clear" w:color="auto" w:fill="auto"/>
            <w:noWrap/>
            <w:vAlign w:val="center"/>
            <w:hideMark/>
          </w:tcPr>
          <w:p w14:paraId="5ACCBF3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7BD16FA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2E71AD8E" w14:textId="77777777" w:rsidTr="00600787">
        <w:trPr>
          <w:trHeight w:val="225"/>
        </w:trPr>
        <w:tc>
          <w:tcPr>
            <w:tcW w:w="1980" w:type="dxa"/>
            <w:vMerge/>
            <w:vAlign w:val="center"/>
            <w:hideMark/>
          </w:tcPr>
          <w:p w14:paraId="6EBFC89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vMerge/>
            <w:vAlign w:val="center"/>
            <w:hideMark/>
          </w:tcPr>
          <w:p w14:paraId="4E7F481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p>
        </w:tc>
        <w:tc>
          <w:tcPr>
            <w:tcW w:w="2566" w:type="dxa"/>
            <w:shd w:val="clear" w:color="auto" w:fill="auto"/>
            <w:vAlign w:val="center"/>
            <w:hideMark/>
          </w:tcPr>
          <w:p w14:paraId="03FD37F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'HA0-6',</w:t>
            </w:r>
          </w:p>
        </w:tc>
        <w:tc>
          <w:tcPr>
            <w:tcW w:w="1701" w:type="dxa"/>
            <w:shd w:val="clear" w:color="auto" w:fill="auto"/>
            <w:noWrap/>
            <w:vAlign w:val="center"/>
            <w:hideMark/>
          </w:tcPr>
          <w:p w14:paraId="24585BD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vMerge/>
            <w:vAlign w:val="center"/>
            <w:hideMark/>
          </w:tcPr>
          <w:p w14:paraId="6CC7220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337BFCC0" w14:textId="77777777" w:rsidTr="00600787">
        <w:trPr>
          <w:trHeight w:val="675"/>
        </w:trPr>
        <w:tc>
          <w:tcPr>
            <w:tcW w:w="1980" w:type="dxa"/>
            <w:vMerge/>
            <w:vAlign w:val="center"/>
            <w:hideMark/>
          </w:tcPr>
          <w:p w14:paraId="5A1BE4D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shd w:val="clear" w:color="auto" w:fill="auto"/>
            <w:vAlign w:val="center"/>
            <w:hideMark/>
          </w:tcPr>
          <w:p w14:paraId="7B271E83"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History of the </w:t>
            </w:r>
            <w:proofErr w:type="spellStart"/>
            <w:r w:rsidRPr="00075B71">
              <w:rPr>
                <w:rFonts w:ascii="Times New Roman" w:eastAsia="Times New Roman" w:hAnsi="Times New Roman" w:cs="Times New Roman"/>
                <w:b/>
                <w:sz w:val="18"/>
                <w:szCs w:val="18"/>
                <w:lang w:val="en-GB"/>
              </w:rPr>
              <w:t>livelihoodzones</w:t>
            </w:r>
            <w:proofErr w:type="spellEnd"/>
            <w:r w:rsidRPr="00075B71">
              <w:rPr>
                <w:rFonts w:ascii="Times New Roman" w:eastAsia="Times New Roman" w:hAnsi="Times New Roman" w:cs="Times New Roman"/>
                <w:b/>
                <w:sz w:val="18"/>
                <w:szCs w:val="18"/>
                <w:lang w:val="en-GB"/>
              </w:rPr>
              <w:t>. How many times did any change event happen.</w:t>
            </w:r>
          </w:p>
        </w:tc>
        <w:tc>
          <w:tcPr>
            <w:tcW w:w="2566" w:type="dxa"/>
            <w:shd w:val="clear" w:color="auto" w:fill="auto"/>
            <w:vAlign w:val="center"/>
            <w:hideMark/>
          </w:tcPr>
          <w:p w14:paraId="26CA84F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change_events_count_all</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425B0D6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shd w:val="clear" w:color="auto" w:fill="auto"/>
            <w:noWrap/>
            <w:vAlign w:val="bottom"/>
            <w:hideMark/>
          </w:tcPr>
          <w:p w14:paraId="3A1E324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0658B688" w14:textId="77777777" w:rsidTr="00600787">
        <w:trPr>
          <w:trHeight w:val="675"/>
        </w:trPr>
        <w:tc>
          <w:tcPr>
            <w:tcW w:w="1980" w:type="dxa"/>
            <w:vMerge/>
            <w:vAlign w:val="center"/>
            <w:hideMark/>
          </w:tcPr>
          <w:p w14:paraId="369C309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shd w:val="clear" w:color="auto" w:fill="auto"/>
            <w:vAlign w:val="center"/>
            <w:hideMark/>
          </w:tcPr>
          <w:p w14:paraId="2101A8DD"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History of the </w:t>
            </w:r>
            <w:proofErr w:type="spellStart"/>
            <w:r w:rsidRPr="00075B71">
              <w:rPr>
                <w:rFonts w:ascii="Times New Roman" w:eastAsia="Times New Roman" w:hAnsi="Times New Roman" w:cs="Times New Roman"/>
                <w:b/>
                <w:sz w:val="18"/>
                <w:szCs w:val="18"/>
                <w:lang w:val="en-GB"/>
              </w:rPr>
              <w:t>livelihoodzones</w:t>
            </w:r>
            <w:proofErr w:type="spellEnd"/>
            <w:r w:rsidRPr="00075B71">
              <w:rPr>
                <w:rFonts w:ascii="Times New Roman" w:eastAsia="Times New Roman" w:hAnsi="Times New Roman" w:cs="Times New Roman"/>
                <w:b/>
                <w:sz w:val="18"/>
                <w:szCs w:val="18"/>
                <w:lang w:val="en-GB"/>
              </w:rPr>
              <w:t>. How many times did an improvement happen</w:t>
            </w:r>
          </w:p>
        </w:tc>
        <w:tc>
          <w:tcPr>
            <w:tcW w:w="2566" w:type="dxa"/>
            <w:shd w:val="clear" w:color="auto" w:fill="auto"/>
            <w:vAlign w:val="center"/>
            <w:hideMark/>
          </w:tcPr>
          <w:p w14:paraId="57B7F81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change_events_count_improve</w:t>
            </w:r>
            <w:proofErr w:type="spellEnd"/>
            <w:r w:rsidRPr="00075B71">
              <w:rPr>
                <w:rFonts w:ascii="Times New Roman" w:eastAsia="Times New Roman" w:hAnsi="Times New Roman" w:cs="Times New Roman"/>
                <w:sz w:val="18"/>
                <w:szCs w:val="18"/>
                <w:lang w:val="en-GB"/>
              </w:rPr>
              <w:t>',</w:t>
            </w:r>
          </w:p>
        </w:tc>
        <w:tc>
          <w:tcPr>
            <w:tcW w:w="1701" w:type="dxa"/>
            <w:shd w:val="clear" w:color="auto" w:fill="auto"/>
            <w:noWrap/>
            <w:vAlign w:val="center"/>
            <w:hideMark/>
          </w:tcPr>
          <w:p w14:paraId="47B60B2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shd w:val="clear" w:color="auto" w:fill="auto"/>
            <w:noWrap/>
            <w:vAlign w:val="bottom"/>
            <w:hideMark/>
          </w:tcPr>
          <w:p w14:paraId="2DD603B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r w:rsidR="007F1199" w:rsidRPr="00877E75" w14:paraId="7F8AED6E" w14:textId="77777777" w:rsidTr="00600787">
        <w:trPr>
          <w:trHeight w:val="675"/>
        </w:trPr>
        <w:tc>
          <w:tcPr>
            <w:tcW w:w="1980" w:type="dxa"/>
            <w:vMerge/>
            <w:vAlign w:val="center"/>
            <w:hideMark/>
          </w:tcPr>
          <w:p w14:paraId="145F445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c>
          <w:tcPr>
            <w:tcW w:w="1828" w:type="dxa"/>
            <w:tcBorders>
              <w:bottom w:val="single" w:sz="4" w:space="0" w:color="auto"/>
            </w:tcBorders>
            <w:shd w:val="clear" w:color="auto" w:fill="auto"/>
            <w:vAlign w:val="center"/>
            <w:hideMark/>
          </w:tcPr>
          <w:p w14:paraId="25CD9BA4"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History of the </w:t>
            </w:r>
            <w:proofErr w:type="spellStart"/>
            <w:r w:rsidRPr="00075B71">
              <w:rPr>
                <w:rFonts w:ascii="Times New Roman" w:eastAsia="Times New Roman" w:hAnsi="Times New Roman" w:cs="Times New Roman"/>
                <w:b/>
                <w:sz w:val="18"/>
                <w:szCs w:val="18"/>
                <w:lang w:val="en-GB"/>
              </w:rPr>
              <w:t>livelihoodzones</w:t>
            </w:r>
            <w:proofErr w:type="spellEnd"/>
            <w:r w:rsidRPr="00075B71">
              <w:rPr>
                <w:rFonts w:ascii="Times New Roman" w:eastAsia="Times New Roman" w:hAnsi="Times New Roman" w:cs="Times New Roman"/>
                <w:b/>
                <w:sz w:val="18"/>
                <w:szCs w:val="18"/>
                <w:lang w:val="en-GB"/>
              </w:rPr>
              <w:t>. How many times did a deterioration happen.</w:t>
            </w:r>
          </w:p>
        </w:tc>
        <w:tc>
          <w:tcPr>
            <w:tcW w:w="2566" w:type="dxa"/>
            <w:tcBorders>
              <w:bottom w:val="single" w:sz="4" w:space="0" w:color="auto"/>
            </w:tcBorders>
            <w:shd w:val="clear" w:color="auto" w:fill="auto"/>
            <w:vAlign w:val="center"/>
            <w:hideMark/>
          </w:tcPr>
          <w:p w14:paraId="5BD8BAD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xml:space="preserve"> '</w:t>
            </w:r>
            <w:proofErr w:type="spellStart"/>
            <w:r w:rsidRPr="00075B71">
              <w:rPr>
                <w:rFonts w:ascii="Times New Roman" w:eastAsia="Times New Roman" w:hAnsi="Times New Roman" w:cs="Times New Roman"/>
                <w:sz w:val="18"/>
                <w:szCs w:val="18"/>
                <w:lang w:val="en-GB"/>
              </w:rPr>
              <w:t>change_events_count_deter</w:t>
            </w:r>
            <w:proofErr w:type="spellEnd"/>
            <w:r w:rsidRPr="00075B71">
              <w:rPr>
                <w:rFonts w:ascii="Times New Roman" w:eastAsia="Times New Roman" w:hAnsi="Times New Roman" w:cs="Times New Roman"/>
                <w:sz w:val="18"/>
                <w:szCs w:val="18"/>
                <w:lang w:val="en-GB"/>
              </w:rPr>
              <w:t>'</w:t>
            </w:r>
          </w:p>
        </w:tc>
        <w:tc>
          <w:tcPr>
            <w:tcW w:w="1701" w:type="dxa"/>
            <w:tcBorders>
              <w:bottom w:val="single" w:sz="4" w:space="0" w:color="auto"/>
            </w:tcBorders>
            <w:shd w:val="clear" w:color="auto" w:fill="auto"/>
            <w:noWrap/>
            <w:vAlign w:val="center"/>
            <w:hideMark/>
          </w:tcPr>
          <w:p w14:paraId="2484C94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X</w:t>
            </w:r>
          </w:p>
        </w:tc>
        <w:tc>
          <w:tcPr>
            <w:tcW w:w="2268" w:type="dxa"/>
            <w:tcBorders>
              <w:bottom w:val="single" w:sz="4" w:space="0" w:color="auto"/>
            </w:tcBorders>
            <w:shd w:val="clear" w:color="auto" w:fill="auto"/>
            <w:noWrap/>
            <w:vAlign w:val="bottom"/>
            <w:hideMark/>
          </w:tcPr>
          <w:p w14:paraId="1529CC2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p>
        </w:tc>
      </w:tr>
    </w:tbl>
    <w:p w14:paraId="0FC3844F" w14:textId="77777777" w:rsidR="007F1199" w:rsidRPr="00075B71" w:rsidRDefault="007F1199" w:rsidP="007F1199">
      <w:pPr>
        <w:spacing w:after="0" w:line="480" w:lineRule="auto"/>
        <w:jc w:val="both"/>
        <w:rPr>
          <w:rFonts w:ascii="Times New Roman" w:eastAsia="Times New Roman" w:hAnsi="Times New Roman" w:cs="Times New Roman"/>
          <w:i/>
          <w:iCs/>
          <w:lang w:val="en-GB"/>
        </w:rPr>
      </w:pPr>
    </w:p>
    <w:p w14:paraId="5AB77B2D" w14:textId="77777777" w:rsidR="007F1199" w:rsidRPr="00160F91" w:rsidRDefault="007F1199" w:rsidP="007F1199">
      <w:pPr>
        <w:spacing w:after="0" w:line="480" w:lineRule="auto"/>
        <w:jc w:val="both"/>
        <w:rPr>
          <w:rFonts w:ascii="Times New Roman" w:eastAsia="Times New Roman" w:hAnsi="Times New Roman" w:cs="Times New Roman"/>
          <w:lang w:val="en-GB"/>
        </w:rPr>
      </w:pPr>
      <w:r w:rsidRPr="00160F91">
        <w:rPr>
          <w:rFonts w:ascii="Times New Roman" w:eastAsia="Times New Roman" w:hAnsi="Times New Roman" w:cs="Times New Roman"/>
          <w:lang w:val="en-GB"/>
        </w:rPr>
        <w:t>Table A.2 Summary of all the different markets that have been used to calculate the mean average food market price per admin zone level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5"/>
        <w:gridCol w:w="645"/>
        <w:gridCol w:w="1005"/>
        <w:gridCol w:w="1140"/>
        <w:gridCol w:w="825"/>
        <w:gridCol w:w="1020"/>
        <w:gridCol w:w="855"/>
        <w:gridCol w:w="780"/>
        <w:gridCol w:w="765"/>
      </w:tblGrid>
      <w:tr w:rsidR="007F1199" w:rsidRPr="00877E75" w14:paraId="37A92A40" w14:textId="77777777" w:rsidTr="00600787">
        <w:trPr>
          <w:trHeight w:val="300"/>
        </w:trPr>
        <w:tc>
          <w:tcPr>
            <w:tcW w:w="1005" w:type="dxa"/>
            <w:tcBorders>
              <w:top w:val="single" w:sz="4" w:space="0" w:color="auto"/>
              <w:bottom w:val="single" w:sz="4" w:space="0" w:color="auto"/>
            </w:tcBorders>
          </w:tcPr>
          <w:p w14:paraId="4BFD5B31"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b/>
                <w:bCs/>
                <w:sz w:val="18"/>
                <w:szCs w:val="18"/>
                <w:lang w:val="en-GB"/>
              </w:rPr>
              <w:t>Addis Ababa</w:t>
            </w:r>
          </w:p>
        </w:tc>
        <w:tc>
          <w:tcPr>
            <w:tcW w:w="645" w:type="dxa"/>
            <w:tcBorders>
              <w:top w:val="single" w:sz="4" w:space="0" w:color="auto"/>
              <w:bottom w:val="single" w:sz="4" w:space="0" w:color="auto"/>
            </w:tcBorders>
          </w:tcPr>
          <w:p w14:paraId="51A04B94"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b/>
                <w:bCs/>
                <w:sz w:val="18"/>
                <w:szCs w:val="18"/>
                <w:lang w:val="en-GB"/>
              </w:rPr>
              <w:t>Afar</w:t>
            </w:r>
          </w:p>
        </w:tc>
        <w:tc>
          <w:tcPr>
            <w:tcW w:w="1005" w:type="dxa"/>
            <w:tcBorders>
              <w:top w:val="single" w:sz="4" w:space="0" w:color="auto"/>
              <w:bottom w:val="single" w:sz="4" w:space="0" w:color="auto"/>
            </w:tcBorders>
          </w:tcPr>
          <w:p w14:paraId="0D80525F"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b/>
                <w:bCs/>
                <w:sz w:val="18"/>
                <w:szCs w:val="18"/>
                <w:lang w:val="en-GB"/>
              </w:rPr>
              <w:t>Amhara</w:t>
            </w:r>
          </w:p>
        </w:tc>
        <w:tc>
          <w:tcPr>
            <w:tcW w:w="1140" w:type="dxa"/>
            <w:tcBorders>
              <w:top w:val="single" w:sz="4" w:space="0" w:color="auto"/>
              <w:bottom w:val="single" w:sz="4" w:space="0" w:color="auto"/>
            </w:tcBorders>
          </w:tcPr>
          <w:p w14:paraId="0EE4C5AE"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b/>
                <w:bCs/>
                <w:sz w:val="18"/>
                <w:szCs w:val="18"/>
                <w:lang w:val="en-GB"/>
              </w:rPr>
              <w:t>Beneshangul</w:t>
            </w:r>
            <w:proofErr w:type="spellEnd"/>
            <w:r w:rsidRPr="00075B71">
              <w:rPr>
                <w:rFonts w:ascii="Times New Roman" w:hAnsi="Times New Roman" w:cs="Times New Roman"/>
                <w:b/>
                <w:bCs/>
                <w:sz w:val="18"/>
                <w:szCs w:val="18"/>
                <w:lang w:val="en-GB"/>
              </w:rPr>
              <w:t xml:space="preserve"> </w:t>
            </w:r>
            <w:r w:rsidRPr="00075B71">
              <w:rPr>
                <w:rFonts w:ascii="Times New Roman" w:hAnsi="Times New Roman" w:cs="Times New Roman"/>
                <w:sz w:val="18"/>
                <w:szCs w:val="18"/>
                <w:lang w:val="en-GB"/>
              </w:rPr>
              <w:br/>
            </w:r>
            <w:proofErr w:type="spellStart"/>
            <w:r w:rsidRPr="00075B71">
              <w:rPr>
                <w:rFonts w:ascii="Times New Roman" w:hAnsi="Times New Roman" w:cs="Times New Roman"/>
                <w:b/>
                <w:bCs/>
                <w:sz w:val="18"/>
                <w:szCs w:val="18"/>
                <w:lang w:val="en-GB"/>
              </w:rPr>
              <w:t>Gumu</w:t>
            </w:r>
            <w:proofErr w:type="spellEnd"/>
          </w:p>
        </w:tc>
        <w:tc>
          <w:tcPr>
            <w:tcW w:w="825" w:type="dxa"/>
            <w:tcBorders>
              <w:top w:val="single" w:sz="4" w:space="0" w:color="auto"/>
              <w:bottom w:val="single" w:sz="4" w:space="0" w:color="auto"/>
            </w:tcBorders>
          </w:tcPr>
          <w:p w14:paraId="79805C67"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b/>
                <w:bCs/>
                <w:sz w:val="18"/>
                <w:szCs w:val="18"/>
                <w:lang w:val="en-GB"/>
              </w:rPr>
              <w:t>Gambela</w:t>
            </w:r>
            <w:proofErr w:type="spellEnd"/>
          </w:p>
        </w:tc>
        <w:tc>
          <w:tcPr>
            <w:tcW w:w="1020" w:type="dxa"/>
            <w:tcBorders>
              <w:top w:val="single" w:sz="4" w:space="0" w:color="auto"/>
              <w:bottom w:val="single" w:sz="4" w:space="0" w:color="auto"/>
            </w:tcBorders>
          </w:tcPr>
          <w:p w14:paraId="4C65E476"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b/>
                <w:bCs/>
                <w:sz w:val="18"/>
                <w:szCs w:val="18"/>
                <w:lang w:val="en-GB"/>
              </w:rPr>
              <w:t>Oromia</w:t>
            </w:r>
          </w:p>
        </w:tc>
        <w:tc>
          <w:tcPr>
            <w:tcW w:w="855" w:type="dxa"/>
            <w:tcBorders>
              <w:top w:val="single" w:sz="4" w:space="0" w:color="auto"/>
              <w:bottom w:val="single" w:sz="4" w:space="0" w:color="auto"/>
            </w:tcBorders>
          </w:tcPr>
          <w:p w14:paraId="7BFA653F"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b/>
                <w:bCs/>
                <w:sz w:val="18"/>
                <w:szCs w:val="18"/>
                <w:lang w:val="en-GB"/>
              </w:rPr>
              <w:t>SNNPR</w:t>
            </w:r>
          </w:p>
        </w:tc>
        <w:tc>
          <w:tcPr>
            <w:tcW w:w="780" w:type="dxa"/>
            <w:tcBorders>
              <w:top w:val="single" w:sz="4" w:space="0" w:color="auto"/>
              <w:bottom w:val="single" w:sz="4" w:space="0" w:color="auto"/>
            </w:tcBorders>
          </w:tcPr>
          <w:p w14:paraId="500B0EAF"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b/>
                <w:bCs/>
                <w:sz w:val="18"/>
                <w:szCs w:val="18"/>
                <w:lang w:val="en-GB"/>
              </w:rPr>
              <w:t>Somali</w:t>
            </w:r>
          </w:p>
        </w:tc>
        <w:tc>
          <w:tcPr>
            <w:tcW w:w="765" w:type="dxa"/>
            <w:tcBorders>
              <w:top w:val="single" w:sz="4" w:space="0" w:color="auto"/>
              <w:bottom w:val="single" w:sz="4" w:space="0" w:color="auto"/>
            </w:tcBorders>
          </w:tcPr>
          <w:p w14:paraId="533F1F86"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b/>
                <w:bCs/>
                <w:sz w:val="18"/>
                <w:szCs w:val="18"/>
                <w:lang w:val="en-GB"/>
              </w:rPr>
              <w:t>Tigray</w:t>
            </w:r>
          </w:p>
        </w:tc>
      </w:tr>
      <w:tr w:rsidR="007F1199" w:rsidRPr="00877E75" w14:paraId="6A8D1FCA" w14:textId="77777777" w:rsidTr="00600787">
        <w:trPr>
          <w:trHeight w:val="300"/>
        </w:trPr>
        <w:tc>
          <w:tcPr>
            <w:tcW w:w="1005" w:type="dxa"/>
            <w:tcBorders>
              <w:top w:val="single" w:sz="4" w:space="0" w:color="auto"/>
            </w:tcBorders>
          </w:tcPr>
          <w:p w14:paraId="6FC6B988"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Addis Ababa</w:t>
            </w:r>
          </w:p>
        </w:tc>
        <w:tc>
          <w:tcPr>
            <w:tcW w:w="645" w:type="dxa"/>
            <w:tcBorders>
              <w:top w:val="single" w:sz="4" w:space="0" w:color="auto"/>
            </w:tcBorders>
          </w:tcPr>
          <w:p w14:paraId="35C87FE8"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Abaala</w:t>
            </w:r>
            <w:proofErr w:type="spellEnd"/>
          </w:p>
        </w:tc>
        <w:tc>
          <w:tcPr>
            <w:tcW w:w="1005" w:type="dxa"/>
            <w:tcBorders>
              <w:top w:val="single" w:sz="4" w:space="0" w:color="auto"/>
            </w:tcBorders>
          </w:tcPr>
          <w:p w14:paraId="67DFB787"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Abomsa</w:t>
            </w:r>
            <w:proofErr w:type="spellEnd"/>
          </w:p>
        </w:tc>
        <w:tc>
          <w:tcPr>
            <w:tcW w:w="1140" w:type="dxa"/>
            <w:tcBorders>
              <w:top w:val="single" w:sz="4" w:space="0" w:color="auto"/>
            </w:tcBorders>
          </w:tcPr>
          <w:p w14:paraId="0C90A47E"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Assosa</w:t>
            </w:r>
            <w:proofErr w:type="spellEnd"/>
          </w:p>
        </w:tc>
        <w:tc>
          <w:tcPr>
            <w:tcW w:w="825" w:type="dxa"/>
            <w:tcBorders>
              <w:top w:val="single" w:sz="4" w:space="0" w:color="auto"/>
            </w:tcBorders>
          </w:tcPr>
          <w:p w14:paraId="24031F36"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Gambela</w:t>
            </w:r>
            <w:proofErr w:type="spellEnd"/>
          </w:p>
        </w:tc>
        <w:tc>
          <w:tcPr>
            <w:tcW w:w="1020" w:type="dxa"/>
            <w:tcBorders>
              <w:top w:val="single" w:sz="4" w:space="0" w:color="auto"/>
            </w:tcBorders>
          </w:tcPr>
          <w:p w14:paraId="26D11F41"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Ambo</w:t>
            </w:r>
          </w:p>
        </w:tc>
        <w:tc>
          <w:tcPr>
            <w:tcW w:w="855" w:type="dxa"/>
            <w:tcBorders>
              <w:top w:val="single" w:sz="4" w:space="0" w:color="auto"/>
            </w:tcBorders>
          </w:tcPr>
          <w:p w14:paraId="3FA8C2C6"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Amaro</w:t>
            </w:r>
          </w:p>
        </w:tc>
        <w:tc>
          <w:tcPr>
            <w:tcW w:w="780" w:type="dxa"/>
            <w:tcBorders>
              <w:top w:val="single" w:sz="4" w:space="0" w:color="auto"/>
            </w:tcBorders>
          </w:tcPr>
          <w:p w14:paraId="48450EAE"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Gode</w:t>
            </w:r>
            <w:proofErr w:type="spellEnd"/>
          </w:p>
        </w:tc>
        <w:tc>
          <w:tcPr>
            <w:tcW w:w="765" w:type="dxa"/>
            <w:tcBorders>
              <w:top w:val="single" w:sz="4" w:space="0" w:color="auto"/>
            </w:tcBorders>
          </w:tcPr>
          <w:p w14:paraId="1C510081"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Abi Adi</w:t>
            </w:r>
          </w:p>
        </w:tc>
      </w:tr>
      <w:tr w:rsidR="007F1199" w:rsidRPr="00877E75" w14:paraId="01D61E72" w14:textId="77777777" w:rsidTr="00600787">
        <w:trPr>
          <w:trHeight w:val="300"/>
        </w:trPr>
        <w:tc>
          <w:tcPr>
            <w:tcW w:w="1005" w:type="dxa"/>
          </w:tcPr>
          <w:p w14:paraId="43097ACC"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5DB8CBF5"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Asayta</w:t>
            </w:r>
            <w:proofErr w:type="spellEnd"/>
          </w:p>
        </w:tc>
        <w:tc>
          <w:tcPr>
            <w:tcW w:w="1005" w:type="dxa"/>
          </w:tcPr>
          <w:p w14:paraId="15756CC5"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Ajeber</w:t>
            </w:r>
            <w:proofErr w:type="spellEnd"/>
          </w:p>
        </w:tc>
        <w:tc>
          <w:tcPr>
            <w:tcW w:w="1140" w:type="dxa"/>
          </w:tcPr>
          <w:p w14:paraId="54DA7138"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5B365F43"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Meti</w:t>
            </w:r>
            <w:proofErr w:type="spellEnd"/>
          </w:p>
        </w:tc>
        <w:tc>
          <w:tcPr>
            <w:tcW w:w="1020" w:type="dxa"/>
          </w:tcPr>
          <w:p w14:paraId="4FF17916"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Assela</w:t>
            </w:r>
            <w:proofErr w:type="spellEnd"/>
          </w:p>
        </w:tc>
        <w:tc>
          <w:tcPr>
            <w:tcW w:w="855" w:type="dxa"/>
          </w:tcPr>
          <w:p w14:paraId="7DBF2278"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Aroresa</w:t>
            </w:r>
            <w:proofErr w:type="spellEnd"/>
          </w:p>
        </w:tc>
        <w:tc>
          <w:tcPr>
            <w:tcW w:w="780" w:type="dxa"/>
          </w:tcPr>
          <w:p w14:paraId="289A61DC"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Jijiga</w:t>
            </w:r>
            <w:proofErr w:type="spellEnd"/>
          </w:p>
        </w:tc>
        <w:tc>
          <w:tcPr>
            <w:tcW w:w="765" w:type="dxa"/>
          </w:tcPr>
          <w:p w14:paraId="45A90FF6"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Adigrat</w:t>
            </w:r>
            <w:proofErr w:type="spellEnd"/>
          </w:p>
        </w:tc>
      </w:tr>
      <w:tr w:rsidR="007F1199" w:rsidRPr="00877E75" w14:paraId="09FE5FCE" w14:textId="77777777" w:rsidTr="00600787">
        <w:trPr>
          <w:trHeight w:val="300"/>
        </w:trPr>
        <w:tc>
          <w:tcPr>
            <w:tcW w:w="1005" w:type="dxa"/>
          </w:tcPr>
          <w:p w14:paraId="0E5AB93C"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4980E0A8"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70375DCD"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Baher</w:t>
            </w:r>
            <w:proofErr w:type="spellEnd"/>
            <w:r w:rsidRPr="00075B71">
              <w:rPr>
                <w:rFonts w:ascii="Times New Roman" w:hAnsi="Times New Roman" w:cs="Times New Roman"/>
                <w:i/>
                <w:iCs/>
                <w:sz w:val="18"/>
                <w:szCs w:val="18"/>
                <w:lang w:val="en-GB"/>
              </w:rPr>
              <w:t xml:space="preserve"> Dar</w:t>
            </w:r>
          </w:p>
        </w:tc>
        <w:tc>
          <w:tcPr>
            <w:tcW w:w="1140" w:type="dxa"/>
          </w:tcPr>
          <w:p w14:paraId="17167A56"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545FE844"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7E5E6D4A"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Babile</w:t>
            </w:r>
            <w:proofErr w:type="spellEnd"/>
          </w:p>
        </w:tc>
        <w:tc>
          <w:tcPr>
            <w:tcW w:w="855" w:type="dxa"/>
          </w:tcPr>
          <w:p w14:paraId="0793A201"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Gamo</w:t>
            </w:r>
            <w:proofErr w:type="spellEnd"/>
            <w:r w:rsidRPr="00075B71">
              <w:rPr>
                <w:rFonts w:ascii="Times New Roman" w:hAnsi="Times New Roman" w:cs="Times New Roman"/>
                <w:i/>
                <w:iCs/>
                <w:sz w:val="18"/>
                <w:szCs w:val="18"/>
                <w:lang w:val="en-GB"/>
              </w:rPr>
              <w:t xml:space="preserve"> </w:t>
            </w:r>
            <w:proofErr w:type="spellStart"/>
            <w:r w:rsidRPr="00075B71">
              <w:rPr>
                <w:rFonts w:ascii="Times New Roman" w:hAnsi="Times New Roman" w:cs="Times New Roman"/>
                <w:i/>
                <w:iCs/>
                <w:sz w:val="18"/>
                <w:szCs w:val="18"/>
                <w:lang w:val="en-GB"/>
              </w:rPr>
              <w:t>Gofa</w:t>
            </w:r>
            <w:proofErr w:type="spellEnd"/>
          </w:p>
        </w:tc>
        <w:tc>
          <w:tcPr>
            <w:tcW w:w="780" w:type="dxa"/>
          </w:tcPr>
          <w:p w14:paraId="45BAA60D"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24812893"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Adwa</w:t>
            </w:r>
          </w:p>
        </w:tc>
      </w:tr>
      <w:tr w:rsidR="007F1199" w:rsidRPr="00877E75" w14:paraId="4AD29C4F" w14:textId="77777777" w:rsidTr="00600787">
        <w:trPr>
          <w:trHeight w:val="300"/>
        </w:trPr>
        <w:tc>
          <w:tcPr>
            <w:tcW w:w="1005" w:type="dxa"/>
          </w:tcPr>
          <w:p w14:paraId="7EAE117D"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76E1D654"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50E84056"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Bati</w:t>
            </w:r>
            <w:proofErr w:type="spellEnd"/>
          </w:p>
        </w:tc>
        <w:tc>
          <w:tcPr>
            <w:tcW w:w="1140" w:type="dxa"/>
          </w:tcPr>
          <w:p w14:paraId="78F90BC4"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054546F5"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4DBFD615"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Beddenno</w:t>
            </w:r>
            <w:proofErr w:type="spellEnd"/>
          </w:p>
        </w:tc>
        <w:tc>
          <w:tcPr>
            <w:tcW w:w="855" w:type="dxa"/>
          </w:tcPr>
          <w:p w14:paraId="5384BC7E"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Hawassa</w:t>
            </w:r>
          </w:p>
        </w:tc>
        <w:tc>
          <w:tcPr>
            <w:tcW w:w="780" w:type="dxa"/>
          </w:tcPr>
          <w:p w14:paraId="264017F3"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03E38785"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Alamata</w:t>
            </w:r>
            <w:proofErr w:type="spellEnd"/>
          </w:p>
        </w:tc>
      </w:tr>
      <w:tr w:rsidR="007F1199" w:rsidRPr="00877E75" w14:paraId="54DEA0BA" w14:textId="77777777" w:rsidTr="00600787">
        <w:trPr>
          <w:trHeight w:val="300"/>
        </w:trPr>
        <w:tc>
          <w:tcPr>
            <w:tcW w:w="1005" w:type="dxa"/>
          </w:tcPr>
          <w:p w14:paraId="0CC355E0"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3CC21751"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7D0546F4"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Bure</w:t>
            </w:r>
          </w:p>
        </w:tc>
        <w:tc>
          <w:tcPr>
            <w:tcW w:w="1140" w:type="dxa"/>
          </w:tcPr>
          <w:p w14:paraId="4E7FF840"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1E638199"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6A6F95F5"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Bedessa</w:t>
            </w:r>
            <w:proofErr w:type="spellEnd"/>
          </w:p>
        </w:tc>
        <w:tc>
          <w:tcPr>
            <w:tcW w:w="855" w:type="dxa"/>
          </w:tcPr>
          <w:p w14:paraId="55D8CDDD"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Hossana</w:t>
            </w:r>
            <w:proofErr w:type="spellEnd"/>
          </w:p>
        </w:tc>
        <w:tc>
          <w:tcPr>
            <w:tcW w:w="780" w:type="dxa"/>
          </w:tcPr>
          <w:p w14:paraId="795E8CC5"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3B4B5A94"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Hawzien</w:t>
            </w:r>
            <w:proofErr w:type="spellEnd"/>
          </w:p>
        </w:tc>
      </w:tr>
      <w:tr w:rsidR="007F1199" w:rsidRPr="00877E75" w14:paraId="124CA2AB" w14:textId="77777777" w:rsidTr="00600787">
        <w:trPr>
          <w:trHeight w:val="300"/>
        </w:trPr>
        <w:tc>
          <w:tcPr>
            <w:tcW w:w="1005" w:type="dxa"/>
          </w:tcPr>
          <w:p w14:paraId="7BC8EBEA"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660F62DF"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7750F062"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Debark</w:t>
            </w:r>
          </w:p>
        </w:tc>
        <w:tc>
          <w:tcPr>
            <w:tcW w:w="1140" w:type="dxa"/>
          </w:tcPr>
          <w:p w14:paraId="7722C49A"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0BDD4275"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424B3561"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Deder</w:t>
            </w:r>
            <w:proofErr w:type="spellEnd"/>
          </w:p>
        </w:tc>
        <w:tc>
          <w:tcPr>
            <w:tcW w:w="855" w:type="dxa"/>
          </w:tcPr>
          <w:p w14:paraId="5A4BB0E4"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Karati</w:t>
            </w:r>
            <w:proofErr w:type="spellEnd"/>
          </w:p>
        </w:tc>
        <w:tc>
          <w:tcPr>
            <w:tcW w:w="780" w:type="dxa"/>
          </w:tcPr>
          <w:p w14:paraId="24CDEED3"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0B4FDFE2"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Humera</w:t>
            </w:r>
            <w:proofErr w:type="spellEnd"/>
          </w:p>
        </w:tc>
      </w:tr>
      <w:tr w:rsidR="007F1199" w:rsidRPr="00877E75" w14:paraId="69EBC36E" w14:textId="77777777" w:rsidTr="00600787">
        <w:trPr>
          <w:trHeight w:val="300"/>
        </w:trPr>
        <w:tc>
          <w:tcPr>
            <w:tcW w:w="1005" w:type="dxa"/>
          </w:tcPr>
          <w:p w14:paraId="21092B20"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77C83C85"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57C6A89C"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 xml:space="preserve">Debre </w:t>
            </w:r>
            <w:proofErr w:type="spellStart"/>
            <w:r w:rsidRPr="00075B71">
              <w:rPr>
                <w:rFonts w:ascii="Times New Roman" w:hAnsi="Times New Roman" w:cs="Times New Roman"/>
                <w:i/>
                <w:iCs/>
                <w:sz w:val="18"/>
                <w:szCs w:val="18"/>
                <w:lang w:val="en-GB"/>
              </w:rPr>
              <w:t>Birhan</w:t>
            </w:r>
            <w:proofErr w:type="spellEnd"/>
          </w:p>
        </w:tc>
        <w:tc>
          <w:tcPr>
            <w:tcW w:w="1140" w:type="dxa"/>
          </w:tcPr>
          <w:p w14:paraId="7B3F50E5"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470F546E"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3226E7E3"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Delo</w:t>
            </w:r>
            <w:proofErr w:type="spellEnd"/>
          </w:p>
        </w:tc>
        <w:tc>
          <w:tcPr>
            <w:tcW w:w="855" w:type="dxa"/>
          </w:tcPr>
          <w:p w14:paraId="199AC6D5"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Sodo</w:t>
            </w:r>
          </w:p>
        </w:tc>
        <w:tc>
          <w:tcPr>
            <w:tcW w:w="780" w:type="dxa"/>
          </w:tcPr>
          <w:p w14:paraId="61CAAB46"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37198ABA"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Korem</w:t>
            </w:r>
            <w:proofErr w:type="spellEnd"/>
          </w:p>
        </w:tc>
      </w:tr>
      <w:tr w:rsidR="007F1199" w:rsidRPr="00877E75" w14:paraId="76606C07" w14:textId="77777777" w:rsidTr="00600787">
        <w:trPr>
          <w:trHeight w:val="300"/>
        </w:trPr>
        <w:tc>
          <w:tcPr>
            <w:tcW w:w="1005" w:type="dxa"/>
          </w:tcPr>
          <w:p w14:paraId="14B54634"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0952FA4F"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4F594BC4"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Debre Markos</w:t>
            </w:r>
          </w:p>
        </w:tc>
        <w:tc>
          <w:tcPr>
            <w:tcW w:w="1140" w:type="dxa"/>
          </w:tcPr>
          <w:p w14:paraId="2FBC7858"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6C618F26"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75BD9412"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Derashe</w:t>
            </w:r>
            <w:proofErr w:type="spellEnd"/>
          </w:p>
        </w:tc>
        <w:tc>
          <w:tcPr>
            <w:tcW w:w="855" w:type="dxa"/>
          </w:tcPr>
          <w:p w14:paraId="04E66CB4"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Turmi</w:t>
            </w:r>
            <w:proofErr w:type="spellEnd"/>
          </w:p>
        </w:tc>
        <w:tc>
          <w:tcPr>
            <w:tcW w:w="780" w:type="dxa"/>
          </w:tcPr>
          <w:p w14:paraId="16E4FA1A"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695B8093"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Mekele</w:t>
            </w:r>
            <w:proofErr w:type="spellEnd"/>
          </w:p>
        </w:tc>
      </w:tr>
      <w:tr w:rsidR="007F1199" w:rsidRPr="00877E75" w14:paraId="7DF490BE" w14:textId="77777777" w:rsidTr="00600787">
        <w:trPr>
          <w:trHeight w:val="300"/>
        </w:trPr>
        <w:tc>
          <w:tcPr>
            <w:tcW w:w="1005" w:type="dxa"/>
          </w:tcPr>
          <w:p w14:paraId="6C1D4692"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3A293CF6"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5B146ED3"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Dessie</w:t>
            </w:r>
          </w:p>
        </w:tc>
        <w:tc>
          <w:tcPr>
            <w:tcW w:w="1140" w:type="dxa"/>
          </w:tcPr>
          <w:p w14:paraId="39EC7D1A"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4088303A"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43AEFC7C"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Gordamole</w:t>
            </w:r>
            <w:proofErr w:type="spellEnd"/>
          </w:p>
        </w:tc>
        <w:tc>
          <w:tcPr>
            <w:tcW w:w="855" w:type="dxa"/>
          </w:tcPr>
          <w:p w14:paraId="2B18EB9A"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Wonago</w:t>
            </w:r>
            <w:proofErr w:type="spellEnd"/>
          </w:p>
        </w:tc>
        <w:tc>
          <w:tcPr>
            <w:tcW w:w="780" w:type="dxa"/>
          </w:tcPr>
          <w:p w14:paraId="76134284"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5BEBBE68"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Sik'ela</w:t>
            </w:r>
            <w:proofErr w:type="spellEnd"/>
          </w:p>
        </w:tc>
      </w:tr>
      <w:tr w:rsidR="007F1199" w:rsidRPr="00877E75" w14:paraId="4079F871" w14:textId="77777777" w:rsidTr="00600787">
        <w:trPr>
          <w:trHeight w:val="300"/>
        </w:trPr>
        <w:tc>
          <w:tcPr>
            <w:tcW w:w="1005" w:type="dxa"/>
          </w:tcPr>
          <w:p w14:paraId="2A61B79F"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01CE0623"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57CE291B"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Ebinat</w:t>
            </w:r>
            <w:proofErr w:type="spellEnd"/>
          </w:p>
        </w:tc>
        <w:tc>
          <w:tcPr>
            <w:tcW w:w="1140" w:type="dxa"/>
          </w:tcPr>
          <w:p w14:paraId="1B0BDA16"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30BA5057"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76A8E4FB"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Jimma</w:t>
            </w:r>
            <w:proofErr w:type="spellEnd"/>
          </w:p>
        </w:tc>
        <w:tc>
          <w:tcPr>
            <w:tcW w:w="855" w:type="dxa"/>
          </w:tcPr>
          <w:p w14:paraId="4865670C"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80" w:type="dxa"/>
          </w:tcPr>
          <w:p w14:paraId="752F068E"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281B7591"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Wekro</w:t>
            </w:r>
            <w:proofErr w:type="spellEnd"/>
          </w:p>
        </w:tc>
      </w:tr>
      <w:tr w:rsidR="007F1199" w:rsidRPr="00877E75" w14:paraId="69B26376" w14:textId="77777777" w:rsidTr="00600787">
        <w:trPr>
          <w:trHeight w:val="300"/>
        </w:trPr>
        <w:tc>
          <w:tcPr>
            <w:tcW w:w="1005" w:type="dxa"/>
          </w:tcPr>
          <w:p w14:paraId="223CECCE"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165567F1"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65813881"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Gonder</w:t>
            </w:r>
            <w:proofErr w:type="spellEnd"/>
          </w:p>
        </w:tc>
        <w:tc>
          <w:tcPr>
            <w:tcW w:w="1140" w:type="dxa"/>
          </w:tcPr>
          <w:p w14:paraId="2961904B"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1EE96883"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7B5B2634"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Kersa</w:t>
            </w:r>
            <w:proofErr w:type="spellEnd"/>
          </w:p>
        </w:tc>
        <w:tc>
          <w:tcPr>
            <w:tcW w:w="855" w:type="dxa"/>
          </w:tcPr>
          <w:p w14:paraId="72D59711"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80" w:type="dxa"/>
          </w:tcPr>
          <w:p w14:paraId="071162E3"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410B4DBF"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 xml:space="preserve"> </w:t>
            </w:r>
          </w:p>
        </w:tc>
      </w:tr>
      <w:tr w:rsidR="007F1199" w:rsidRPr="00877E75" w14:paraId="3DCE8BC9" w14:textId="77777777" w:rsidTr="00600787">
        <w:trPr>
          <w:trHeight w:val="300"/>
        </w:trPr>
        <w:tc>
          <w:tcPr>
            <w:tcW w:w="1005" w:type="dxa"/>
          </w:tcPr>
          <w:p w14:paraId="7B9EA637"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105B91F5"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23FB0ECA"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Kobo</w:t>
            </w:r>
          </w:p>
        </w:tc>
        <w:tc>
          <w:tcPr>
            <w:tcW w:w="1140" w:type="dxa"/>
          </w:tcPr>
          <w:p w14:paraId="71732A5B"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6A2CD021"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5439718E"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Merti</w:t>
            </w:r>
            <w:proofErr w:type="spellEnd"/>
          </w:p>
        </w:tc>
        <w:tc>
          <w:tcPr>
            <w:tcW w:w="855" w:type="dxa"/>
          </w:tcPr>
          <w:p w14:paraId="3AC6402F"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80" w:type="dxa"/>
          </w:tcPr>
          <w:p w14:paraId="62991E9E"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2738818B"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 xml:space="preserve"> </w:t>
            </w:r>
          </w:p>
        </w:tc>
      </w:tr>
      <w:tr w:rsidR="007F1199" w:rsidRPr="00877E75" w14:paraId="4CF6727E" w14:textId="77777777" w:rsidTr="00600787">
        <w:trPr>
          <w:trHeight w:val="300"/>
        </w:trPr>
        <w:tc>
          <w:tcPr>
            <w:tcW w:w="1005" w:type="dxa"/>
          </w:tcPr>
          <w:p w14:paraId="37D57324"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12AEECBF"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5BBD057F"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Mota</w:t>
            </w:r>
          </w:p>
        </w:tc>
        <w:tc>
          <w:tcPr>
            <w:tcW w:w="1140" w:type="dxa"/>
          </w:tcPr>
          <w:p w14:paraId="7D88B61F"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00BFAD11"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545F0492"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Nazareth</w:t>
            </w:r>
          </w:p>
        </w:tc>
        <w:tc>
          <w:tcPr>
            <w:tcW w:w="855" w:type="dxa"/>
          </w:tcPr>
          <w:p w14:paraId="5C3F3300"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80" w:type="dxa"/>
          </w:tcPr>
          <w:p w14:paraId="7F9463C2"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7AC404BB"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 xml:space="preserve"> </w:t>
            </w:r>
          </w:p>
        </w:tc>
      </w:tr>
      <w:tr w:rsidR="007F1199" w:rsidRPr="00877E75" w14:paraId="72DEB1C8" w14:textId="77777777" w:rsidTr="00600787">
        <w:trPr>
          <w:trHeight w:val="300"/>
        </w:trPr>
        <w:tc>
          <w:tcPr>
            <w:tcW w:w="1005" w:type="dxa"/>
          </w:tcPr>
          <w:p w14:paraId="25932FA8"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1A97F861"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53206B7E"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Robit</w:t>
            </w:r>
            <w:proofErr w:type="spellEnd"/>
          </w:p>
        </w:tc>
        <w:tc>
          <w:tcPr>
            <w:tcW w:w="1140" w:type="dxa"/>
          </w:tcPr>
          <w:p w14:paraId="1DC89AD7"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33E8EA52"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097218D2"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Nekempt</w:t>
            </w:r>
            <w:proofErr w:type="spellEnd"/>
          </w:p>
        </w:tc>
        <w:tc>
          <w:tcPr>
            <w:tcW w:w="855" w:type="dxa"/>
          </w:tcPr>
          <w:p w14:paraId="792ED946"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80" w:type="dxa"/>
          </w:tcPr>
          <w:p w14:paraId="155239FC"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0E872D3A"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 xml:space="preserve"> </w:t>
            </w:r>
          </w:p>
        </w:tc>
      </w:tr>
      <w:tr w:rsidR="007F1199" w:rsidRPr="00877E75" w14:paraId="7EBB9F7A" w14:textId="77777777" w:rsidTr="00600787">
        <w:trPr>
          <w:trHeight w:val="300"/>
        </w:trPr>
        <w:tc>
          <w:tcPr>
            <w:tcW w:w="1005" w:type="dxa"/>
          </w:tcPr>
          <w:p w14:paraId="645729D5"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7EECCB08"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5D35FF5F"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Sekota</w:t>
            </w:r>
            <w:proofErr w:type="spellEnd"/>
          </w:p>
        </w:tc>
        <w:tc>
          <w:tcPr>
            <w:tcW w:w="1140" w:type="dxa"/>
          </w:tcPr>
          <w:p w14:paraId="7B92B6F3"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46818781"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72384A2F"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Robe</w:t>
            </w:r>
          </w:p>
        </w:tc>
        <w:tc>
          <w:tcPr>
            <w:tcW w:w="855" w:type="dxa"/>
          </w:tcPr>
          <w:p w14:paraId="7482E39C"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80" w:type="dxa"/>
          </w:tcPr>
          <w:p w14:paraId="5C62BF4C"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5351A88A"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 xml:space="preserve"> </w:t>
            </w:r>
          </w:p>
        </w:tc>
      </w:tr>
      <w:tr w:rsidR="007F1199" w:rsidRPr="00877E75" w14:paraId="78A29E1A" w14:textId="77777777" w:rsidTr="00600787">
        <w:trPr>
          <w:trHeight w:val="300"/>
        </w:trPr>
        <w:tc>
          <w:tcPr>
            <w:tcW w:w="1005" w:type="dxa"/>
          </w:tcPr>
          <w:p w14:paraId="7EE21A5B"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431A0BD2"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59444D61"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140" w:type="dxa"/>
          </w:tcPr>
          <w:p w14:paraId="2C597721"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7F3BEE3F"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392FEF1B"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Shashemene</w:t>
            </w:r>
            <w:proofErr w:type="spellEnd"/>
          </w:p>
        </w:tc>
        <w:tc>
          <w:tcPr>
            <w:tcW w:w="855" w:type="dxa"/>
          </w:tcPr>
          <w:p w14:paraId="7EF4C156"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80" w:type="dxa"/>
          </w:tcPr>
          <w:p w14:paraId="0EA9FAFA"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2A0E10AE"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 xml:space="preserve"> </w:t>
            </w:r>
          </w:p>
        </w:tc>
      </w:tr>
      <w:tr w:rsidR="007F1199" w:rsidRPr="00877E75" w14:paraId="7E7ABD55" w14:textId="77777777" w:rsidTr="00600787">
        <w:trPr>
          <w:trHeight w:val="300"/>
        </w:trPr>
        <w:tc>
          <w:tcPr>
            <w:tcW w:w="1005" w:type="dxa"/>
          </w:tcPr>
          <w:p w14:paraId="119842CF"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1947C051"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70A990FB"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140" w:type="dxa"/>
          </w:tcPr>
          <w:p w14:paraId="342BD7CF"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1102E5F6"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373CC5F7"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Wolenchiti</w:t>
            </w:r>
            <w:proofErr w:type="spellEnd"/>
          </w:p>
        </w:tc>
        <w:tc>
          <w:tcPr>
            <w:tcW w:w="855" w:type="dxa"/>
          </w:tcPr>
          <w:p w14:paraId="31836607"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80" w:type="dxa"/>
          </w:tcPr>
          <w:p w14:paraId="18EDF775"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7C3AFFF8"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 xml:space="preserve"> </w:t>
            </w:r>
          </w:p>
        </w:tc>
      </w:tr>
      <w:tr w:rsidR="007F1199" w:rsidRPr="00877E75" w14:paraId="495C1373" w14:textId="77777777" w:rsidTr="00600787">
        <w:trPr>
          <w:trHeight w:val="300"/>
        </w:trPr>
        <w:tc>
          <w:tcPr>
            <w:tcW w:w="1005" w:type="dxa"/>
          </w:tcPr>
          <w:p w14:paraId="45BE69FA"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Pr>
          <w:p w14:paraId="34F47EA7"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Pr>
          <w:p w14:paraId="22AB968D"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140" w:type="dxa"/>
          </w:tcPr>
          <w:p w14:paraId="2BBB5672"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Pr>
          <w:p w14:paraId="4CF0283C"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Pr>
          <w:p w14:paraId="344450F3"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Woliso</w:t>
            </w:r>
            <w:proofErr w:type="spellEnd"/>
          </w:p>
        </w:tc>
        <w:tc>
          <w:tcPr>
            <w:tcW w:w="855" w:type="dxa"/>
          </w:tcPr>
          <w:p w14:paraId="3BE25B3C"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80" w:type="dxa"/>
          </w:tcPr>
          <w:p w14:paraId="75D2E848"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Pr>
          <w:p w14:paraId="37260A0B" w14:textId="77777777" w:rsidR="007F1199" w:rsidRPr="00075B71" w:rsidRDefault="007F1199" w:rsidP="00600787">
            <w:pPr>
              <w:spacing w:line="259" w:lineRule="auto"/>
              <w:jc w:val="both"/>
              <w:rPr>
                <w:rFonts w:ascii="Times New Roman" w:hAnsi="Times New Roman" w:cs="Times New Roman"/>
                <w:sz w:val="18"/>
                <w:szCs w:val="18"/>
                <w:lang w:val="en-GB"/>
              </w:rPr>
            </w:pPr>
            <w:r w:rsidRPr="00075B71">
              <w:rPr>
                <w:rFonts w:ascii="Times New Roman" w:hAnsi="Times New Roman" w:cs="Times New Roman"/>
                <w:i/>
                <w:iCs/>
                <w:sz w:val="18"/>
                <w:szCs w:val="18"/>
                <w:lang w:val="en-GB"/>
              </w:rPr>
              <w:t xml:space="preserve"> </w:t>
            </w:r>
          </w:p>
        </w:tc>
      </w:tr>
      <w:tr w:rsidR="007F1199" w:rsidRPr="00877E75" w14:paraId="5EE00591" w14:textId="77777777" w:rsidTr="00600787">
        <w:trPr>
          <w:trHeight w:val="300"/>
        </w:trPr>
        <w:tc>
          <w:tcPr>
            <w:tcW w:w="1005" w:type="dxa"/>
            <w:tcBorders>
              <w:bottom w:val="single" w:sz="4" w:space="0" w:color="auto"/>
            </w:tcBorders>
          </w:tcPr>
          <w:p w14:paraId="6C62F93E"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645" w:type="dxa"/>
            <w:tcBorders>
              <w:bottom w:val="single" w:sz="4" w:space="0" w:color="auto"/>
            </w:tcBorders>
          </w:tcPr>
          <w:p w14:paraId="2C00B0E4"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05" w:type="dxa"/>
            <w:tcBorders>
              <w:bottom w:val="single" w:sz="4" w:space="0" w:color="auto"/>
            </w:tcBorders>
          </w:tcPr>
          <w:p w14:paraId="318EEDED"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140" w:type="dxa"/>
            <w:tcBorders>
              <w:bottom w:val="single" w:sz="4" w:space="0" w:color="auto"/>
            </w:tcBorders>
          </w:tcPr>
          <w:p w14:paraId="534A616E"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825" w:type="dxa"/>
            <w:tcBorders>
              <w:bottom w:val="single" w:sz="4" w:space="0" w:color="auto"/>
            </w:tcBorders>
          </w:tcPr>
          <w:p w14:paraId="6788ABF9"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1020" w:type="dxa"/>
            <w:tcBorders>
              <w:bottom w:val="single" w:sz="4" w:space="0" w:color="auto"/>
            </w:tcBorders>
          </w:tcPr>
          <w:p w14:paraId="013A68B2" w14:textId="77777777" w:rsidR="007F1199" w:rsidRPr="00075B71" w:rsidRDefault="007F1199" w:rsidP="00600787">
            <w:pPr>
              <w:spacing w:line="259" w:lineRule="auto"/>
              <w:jc w:val="both"/>
              <w:rPr>
                <w:rFonts w:ascii="Times New Roman" w:hAnsi="Times New Roman" w:cs="Times New Roman"/>
                <w:sz w:val="18"/>
                <w:szCs w:val="18"/>
                <w:lang w:val="en-GB"/>
              </w:rPr>
            </w:pPr>
            <w:proofErr w:type="spellStart"/>
            <w:r w:rsidRPr="00075B71">
              <w:rPr>
                <w:rFonts w:ascii="Times New Roman" w:hAnsi="Times New Roman" w:cs="Times New Roman"/>
                <w:i/>
                <w:iCs/>
                <w:sz w:val="18"/>
                <w:szCs w:val="18"/>
                <w:lang w:val="en-GB"/>
              </w:rPr>
              <w:t>Ziway</w:t>
            </w:r>
            <w:proofErr w:type="spellEnd"/>
          </w:p>
        </w:tc>
        <w:tc>
          <w:tcPr>
            <w:tcW w:w="855" w:type="dxa"/>
            <w:tcBorders>
              <w:bottom w:val="single" w:sz="4" w:space="0" w:color="auto"/>
            </w:tcBorders>
          </w:tcPr>
          <w:p w14:paraId="38CF2418"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80" w:type="dxa"/>
            <w:tcBorders>
              <w:bottom w:val="single" w:sz="4" w:space="0" w:color="auto"/>
            </w:tcBorders>
          </w:tcPr>
          <w:p w14:paraId="7DA885BB" w14:textId="77777777" w:rsidR="007F1199" w:rsidRPr="00075B71" w:rsidRDefault="007F1199" w:rsidP="00600787">
            <w:pPr>
              <w:spacing w:line="259" w:lineRule="auto"/>
              <w:jc w:val="both"/>
              <w:rPr>
                <w:rFonts w:ascii="Times New Roman" w:hAnsi="Times New Roman" w:cs="Times New Roman"/>
                <w:sz w:val="18"/>
                <w:szCs w:val="18"/>
                <w:lang w:val="en-GB"/>
              </w:rPr>
            </w:pPr>
          </w:p>
        </w:tc>
        <w:tc>
          <w:tcPr>
            <w:tcW w:w="765" w:type="dxa"/>
            <w:tcBorders>
              <w:bottom w:val="single" w:sz="4" w:space="0" w:color="auto"/>
            </w:tcBorders>
          </w:tcPr>
          <w:p w14:paraId="451F5A82" w14:textId="77777777" w:rsidR="007F1199" w:rsidRPr="00075B71" w:rsidRDefault="007F1199" w:rsidP="00600787">
            <w:pPr>
              <w:spacing w:line="259" w:lineRule="auto"/>
              <w:jc w:val="both"/>
              <w:rPr>
                <w:rFonts w:ascii="Times New Roman" w:hAnsi="Times New Roman" w:cs="Times New Roman"/>
                <w:sz w:val="18"/>
                <w:szCs w:val="18"/>
                <w:lang w:val="en-GB"/>
              </w:rPr>
            </w:pPr>
          </w:p>
        </w:tc>
      </w:tr>
    </w:tbl>
    <w:p w14:paraId="53426B6F" w14:textId="77777777" w:rsidR="007F1199" w:rsidRPr="00160F91" w:rsidRDefault="007F1199" w:rsidP="007F1199">
      <w:pPr>
        <w:widowControl w:val="0"/>
        <w:pBdr>
          <w:top w:val="nil"/>
          <w:left w:val="nil"/>
          <w:bottom w:val="nil"/>
          <w:right w:val="nil"/>
          <w:between w:val="nil"/>
        </w:pBdr>
        <w:spacing w:after="0" w:line="480" w:lineRule="auto"/>
        <w:jc w:val="both"/>
        <w:rPr>
          <w:rFonts w:ascii="Times New Roman" w:eastAsia="Times New Roman" w:hAnsi="Times New Roman" w:cs="Times New Roman"/>
          <w:lang w:val="en-GB"/>
        </w:rPr>
      </w:pPr>
      <w:r w:rsidRPr="416E5397">
        <w:rPr>
          <w:rFonts w:ascii="Times New Roman" w:eastAsia="Times New Roman" w:hAnsi="Times New Roman" w:cs="Times New Roman"/>
          <w:lang w:val="en-GB"/>
        </w:rPr>
        <w:t>Table A.3 the hyperparameters selected after hyperparameter tuning.</w:t>
      </w:r>
    </w:p>
    <w:tbl>
      <w:tblPr>
        <w:tblStyle w:val="TableGrid"/>
        <w:tblW w:w="9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965"/>
        <w:gridCol w:w="1101"/>
        <w:gridCol w:w="1533"/>
        <w:gridCol w:w="1533"/>
        <w:gridCol w:w="1533"/>
        <w:gridCol w:w="1533"/>
      </w:tblGrid>
      <w:tr w:rsidR="007F1199" w:rsidRPr="00877E75" w14:paraId="131F62E1" w14:textId="77777777" w:rsidTr="00600787">
        <w:trPr>
          <w:trHeight w:val="300"/>
        </w:trPr>
        <w:tc>
          <w:tcPr>
            <w:tcW w:w="9198" w:type="dxa"/>
            <w:gridSpan w:val="6"/>
            <w:tcBorders>
              <w:top w:val="single" w:sz="4" w:space="0" w:color="auto"/>
            </w:tcBorders>
            <w:vAlign w:val="bottom"/>
          </w:tcPr>
          <w:p w14:paraId="36206069" w14:textId="77777777" w:rsidR="007F1199" w:rsidRPr="00075B71" w:rsidRDefault="007F1199" w:rsidP="00600787">
            <w:pPr>
              <w:jc w:val="both"/>
              <w:rPr>
                <w:rFonts w:ascii="Times New Roman" w:hAnsi="Times New Roman" w:cs="Times New Roman"/>
                <w:sz w:val="18"/>
                <w:szCs w:val="18"/>
                <w:lang w:val="en-GB"/>
              </w:rPr>
            </w:pPr>
            <w:r w:rsidRPr="416E5397">
              <w:rPr>
                <w:rFonts w:ascii="Times New Roman" w:hAnsi="Times New Roman" w:cs="Times New Roman"/>
                <w:sz w:val="18"/>
                <w:szCs w:val="18"/>
                <w:lang w:val="en-GB"/>
              </w:rPr>
              <w:t>Hyperparameters</w:t>
            </w:r>
          </w:p>
        </w:tc>
      </w:tr>
      <w:tr w:rsidR="007F1199" w:rsidRPr="00877E75" w14:paraId="28C57E57" w14:textId="77777777" w:rsidTr="00600787">
        <w:trPr>
          <w:trHeight w:val="300"/>
        </w:trPr>
        <w:tc>
          <w:tcPr>
            <w:tcW w:w="3066" w:type="dxa"/>
            <w:gridSpan w:val="2"/>
            <w:tcBorders>
              <w:bottom w:val="single" w:sz="4" w:space="0" w:color="auto"/>
            </w:tcBorders>
            <w:vAlign w:val="bottom"/>
          </w:tcPr>
          <w:p w14:paraId="36211733" w14:textId="77777777" w:rsidR="007F1199" w:rsidRPr="00075B71" w:rsidRDefault="007F1199" w:rsidP="00600787">
            <w:pPr>
              <w:jc w:val="both"/>
              <w:rPr>
                <w:rFonts w:ascii="Times New Roman" w:hAnsi="Times New Roman" w:cs="Times New Roman"/>
                <w:i/>
                <w:iCs/>
                <w:sz w:val="18"/>
                <w:szCs w:val="18"/>
                <w:lang w:val="en-GB"/>
              </w:rPr>
            </w:pPr>
            <w:r w:rsidRPr="00075B71">
              <w:rPr>
                <w:rFonts w:ascii="Times New Roman" w:hAnsi="Times New Roman" w:cs="Times New Roman"/>
                <w:i/>
                <w:iCs/>
                <w:sz w:val="18"/>
                <w:szCs w:val="18"/>
                <w:lang w:val="en-GB"/>
              </w:rPr>
              <w:t>Xgboost</w:t>
            </w:r>
          </w:p>
        </w:tc>
        <w:tc>
          <w:tcPr>
            <w:tcW w:w="3066" w:type="dxa"/>
            <w:gridSpan w:val="2"/>
            <w:tcBorders>
              <w:bottom w:val="single" w:sz="4" w:space="0" w:color="auto"/>
            </w:tcBorders>
            <w:vAlign w:val="bottom"/>
          </w:tcPr>
          <w:p w14:paraId="2E83C19E" w14:textId="77777777" w:rsidR="007F1199" w:rsidRPr="00075B71" w:rsidRDefault="007F1199" w:rsidP="00600787">
            <w:pPr>
              <w:jc w:val="both"/>
              <w:rPr>
                <w:rFonts w:ascii="Times New Roman" w:hAnsi="Times New Roman" w:cs="Times New Roman"/>
                <w:i/>
                <w:iCs/>
                <w:sz w:val="18"/>
                <w:szCs w:val="18"/>
                <w:lang w:val="en-GB"/>
              </w:rPr>
            </w:pPr>
            <w:r w:rsidRPr="00075B71">
              <w:rPr>
                <w:rFonts w:ascii="Times New Roman" w:hAnsi="Times New Roman" w:cs="Times New Roman"/>
                <w:i/>
                <w:iCs/>
                <w:sz w:val="18"/>
                <w:szCs w:val="18"/>
                <w:lang w:val="en-GB"/>
              </w:rPr>
              <w:t>Catboost</w:t>
            </w:r>
          </w:p>
        </w:tc>
        <w:tc>
          <w:tcPr>
            <w:tcW w:w="3066" w:type="dxa"/>
            <w:gridSpan w:val="2"/>
            <w:tcBorders>
              <w:bottom w:val="single" w:sz="4" w:space="0" w:color="auto"/>
            </w:tcBorders>
            <w:vAlign w:val="bottom"/>
          </w:tcPr>
          <w:p w14:paraId="0FA785D2" w14:textId="77777777" w:rsidR="007F1199" w:rsidRPr="00075B71" w:rsidRDefault="007F1199" w:rsidP="00600787">
            <w:pPr>
              <w:jc w:val="both"/>
              <w:rPr>
                <w:rFonts w:ascii="Times New Roman" w:hAnsi="Times New Roman" w:cs="Times New Roman"/>
                <w:i/>
                <w:iCs/>
                <w:sz w:val="18"/>
                <w:szCs w:val="18"/>
                <w:lang w:val="en-GB"/>
              </w:rPr>
            </w:pPr>
            <w:r w:rsidRPr="00075B71">
              <w:rPr>
                <w:rFonts w:ascii="Times New Roman" w:hAnsi="Times New Roman" w:cs="Times New Roman"/>
                <w:i/>
                <w:iCs/>
                <w:sz w:val="18"/>
                <w:szCs w:val="18"/>
                <w:lang w:val="en-GB"/>
              </w:rPr>
              <w:t>Random Forest</w:t>
            </w:r>
          </w:p>
        </w:tc>
      </w:tr>
      <w:tr w:rsidR="007F1199" w:rsidRPr="00877E75" w14:paraId="11ED14DF" w14:textId="77777777" w:rsidTr="00600787">
        <w:trPr>
          <w:trHeight w:val="300"/>
        </w:trPr>
        <w:tc>
          <w:tcPr>
            <w:tcW w:w="1965" w:type="dxa"/>
            <w:tcBorders>
              <w:top w:val="single" w:sz="4" w:space="0" w:color="auto"/>
            </w:tcBorders>
            <w:vAlign w:val="center"/>
          </w:tcPr>
          <w:p w14:paraId="3B8C9A29"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n_estimators</w:t>
            </w:r>
            <w:proofErr w:type="spellEnd"/>
            <w:r w:rsidRPr="00075B71">
              <w:rPr>
                <w:rFonts w:ascii="Times New Roman" w:hAnsi="Times New Roman" w:cs="Times New Roman"/>
                <w:b/>
                <w:bCs/>
                <w:sz w:val="18"/>
                <w:szCs w:val="18"/>
                <w:lang w:val="en-GB"/>
              </w:rPr>
              <w:t xml:space="preserve"> </w:t>
            </w:r>
          </w:p>
        </w:tc>
        <w:tc>
          <w:tcPr>
            <w:tcW w:w="1101" w:type="dxa"/>
            <w:tcBorders>
              <w:top w:val="single" w:sz="4" w:space="0" w:color="auto"/>
            </w:tcBorders>
            <w:vAlign w:val="bottom"/>
          </w:tcPr>
          <w:p w14:paraId="1C02E679"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500</w:t>
            </w:r>
          </w:p>
        </w:tc>
        <w:tc>
          <w:tcPr>
            <w:tcW w:w="1533" w:type="dxa"/>
            <w:tcBorders>
              <w:top w:val="single" w:sz="4" w:space="0" w:color="auto"/>
            </w:tcBorders>
            <w:vAlign w:val="bottom"/>
          </w:tcPr>
          <w:p w14:paraId="36505FB0" w14:textId="77777777" w:rsidR="007F1199" w:rsidRPr="00075B71" w:rsidRDefault="007F1199" w:rsidP="00600787">
            <w:pPr>
              <w:jc w:val="both"/>
              <w:rPr>
                <w:rFonts w:ascii="Times New Roman" w:hAnsi="Times New Roman" w:cs="Times New Roman"/>
                <w:b/>
                <w:bCs/>
                <w:sz w:val="18"/>
                <w:szCs w:val="18"/>
                <w:lang w:val="en-GB"/>
              </w:rPr>
            </w:pPr>
            <w:r w:rsidRPr="00075B71">
              <w:rPr>
                <w:rFonts w:ascii="Times New Roman" w:hAnsi="Times New Roman" w:cs="Times New Roman"/>
                <w:b/>
                <w:bCs/>
                <w:sz w:val="18"/>
                <w:szCs w:val="18"/>
                <w:lang w:val="en-GB"/>
              </w:rPr>
              <w:t>Iterations</w:t>
            </w:r>
          </w:p>
        </w:tc>
        <w:tc>
          <w:tcPr>
            <w:tcW w:w="1533" w:type="dxa"/>
            <w:tcBorders>
              <w:top w:val="single" w:sz="4" w:space="0" w:color="auto"/>
            </w:tcBorders>
            <w:vAlign w:val="bottom"/>
          </w:tcPr>
          <w:p w14:paraId="4473B176"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1000</w:t>
            </w:r>
          </w:p>
        </w:tc>
        <w:tc>
          <w:tcPr>
            <w:tcW w:w="1533" w:type="dxa"/>
            <w:tcBorders>
              <w:top w:val="single" w:sz="4" w:space="0" w:color="auto"/>
            </w:tcBorders>
            <w:vAlign w:val="bottom"/>
          </w:tcPr>
          <w:p w14:paraId="256BE37F"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n_estimators</w:t>
            </w:r>
            <w:proofErr w:type="spellEnd"/>
          </w:p>
        </w:tc>
        <w:tc>
          <w:tcPr>
            <w:tcW w:w="1533" w:type="dxa"/>
            <w:tcBorders>
              <w:top w:val="single" w:sz="4" w:space="0" w:color="auto"/>
            </w:tcBorders>
            <w:vAlign w:val="bottom"/>
          </w:tcPr>
          <w:p w14:paraId="37033AA1"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1000</w:t>
            </w:r>
          </w:p>
        </w:tc>
      </w:tr>
      <w:tr w:rsidR="007F1199" w:rsidRPr="00877E75" w14:paraId="7271876B" w14:textId="77777777" w:rsidTr="00600787">
        <w:trPr>
          <w:trHeight w:val="300"/>
        </w:trPr>
        <w:tc>
          <w:tcPr>
            <w:tcW w:w="1965" w:type="dxa"/>
            <w:vAlign w:val="center"/>
          </w:tcPr>
          <w:p w14:paraId="4F467572"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learning_rate</w:t>
            </w:r>
            <w:proofErr w:type="spellEnd"/>
            <w:r w:rsidRPr="00075B71">
              <w:rPr>
                <w:rFonts w:ascii="Times New Roman" w:hAnsi="Times New Roman" w:cs="Times New Roman"/>
                <w:b/>
                <w:bCs/>
                <w:sz w:val="18"/>
                <w:szCs w:val="18"/>
                <w:lang w:val="en-GB"/>
              </w:rPr>
              <w:t xml:space="preserve"> </w:t>
            </w:r>
          </w:p>
        </w:tc>
        <w:tc>
          <w:tcPr>
            <w:tcW w:w="1101" w:type="dxa"/>
            <w:vAlign w:val="bottom"/>
          </w:tcPr>
          <w:p w14:paraId="5D14665C"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0,005</w:t>
            </w:r>
          </w:p>
        </w:tc>
        <w:tc>
          <w:tcPr>
            <w:tcW w:w="1533" w:type="dxa"/>
            <w:vAlign w:val="bottom"/>
          </w:tcPr>
          <w:p w14:paraId="72A7D05A"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Learning_rate</w:t>
            </w:r>
            <w:proofErr w:type="spellEnd"/>
          </w:p>
        </w:tc>
        <w:tc>
          <w:tcPr>
            <w:tcW w:w="1533" w:type="dxa"/>
            <w:vAlign w:val="bottom"/>
          </w:tcPr>
          <w:p w14:paraId="2AF11358"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0,001</w:t>
            </w:r>
          </w:p>
        </w:tc>
        <w:tc>
          <w:tcPr>
            <w:tcW w:w="1533" w:type="dxa"/>
            <w:vAlign w:val="bottom"/>
          </w:tcPr>
          <w:p w14:paraId="7D7FDA2D"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max_features</w:t>
            </w:r>
            <w:proofErr w:type="spellEnd"/>
          </w:p>
        </w:tc>
        <w:tc>
          <w:tcPr>
            <w:tcW w:w="1533" w:type="dxa"/>
            <w:vAlign w:val="bottom"/>
          </w:tcPr>
          <w:p w14:paraId="2CE1EDEE"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sqrt'</w:t>
            </w:r>
          </w:p>
        </w:tc>
      </w:tr>
      <w:tr w:rsidR="007F1199" w:rsidRPr="00877E75" w14:paraId="3B381FFD" w14:textId="77777777" w:rsidTr="00600787">
        <w:trPr>
          <w:trHeight w:val="300"/>
        </w:trPr>
        <w:tc>
          <w:tcPr>
            <w:tcW w:w="1965" w:type="dxa"/>
            <w:vAlign w:val="center"/>
          </w:tcPr>
          <w:p w14:paraId="08650A69" w14:textId="77777777" w:rsidR="007F1199" w:rsidRPr="00075B71" w:rsidRDefault="007F1199" w:rsidP="00600787">
            <w:pPr>
              <w:jc w:val="both"/>
              <w:rPr>
                <w:rFonts w:ascii="Times New Roman" w:hAnsi="Times New Roman" w:cs="Times New Roman"/>
                <w:b/>
                <w:bCs/>
                <w:sz w:val="18"/>
                <w:szCs w:val="18"/>
                <w:lang w:val="en-GB"/>
              </w:rPr>
            </w:pPr>
            <w:r w:rsidRPr="00075B71">
              <w:rPr>
                <w:rFonts w:ascii="Times New Roman" w:hAnsi="Times New Roman" w:cs="Times New Roman"/>
                <w:b/>
                <w:bCs/>
                <w:sz w:val="18"/>
                <w:szCs w:val="18"/>
                <w:lang w:val="en-GB"/>
              </w:rPr>
              <w:t xml:space="preserve">max Depth </w:t>
            </w:r>
          </w:p>
        </w:tc>
        <w:tc>
          <w:tcPr>
            <w:tcW w:w="1101" w:type="dxa"/>
            <w:vAlign w:val="bottom"/>
          </w:tcPr>
          <w:p w14:paraId="274D1F69"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3</w:t>
            </w:r>
          </w:p>
        </w:tc>
        <w:tc>
          <w:tcPr>
            <w:tcW w:w="1533" w:type="dxa"/>
            <w:vAlign w:val="bottom"/>
          </w:tcPr>
          <w:p w14:paraId="54BABAA3"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max_depth</w:t>
            </w:r>
            <w:proofErr w:type="spellEnd"/>
          </w:p>
        </w:tc>
        <w:tc>
          <w:tcPr>
            <w:tcW w:w="1533" w:type="dxa"/>
            <w:vAlign w:val="bottom"/>
          </w:tcPr>
          <w:p w14:paraId="1A96E199"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8</w:t>
            </w:r>
          </w:p>
        </w:tc>
        <w:tc>
          <w:tcPr>
            <w:tcW w:w="1533" w:type="dxa"/>
            <w:vAlign w:val="bottom"/>
          </w:tcPr>
          <w:p w14:paraId="29597104"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max_depth</w:t>
            </w:r>
            <w:proofErr w:type="spellEnd"/>
          </w:p>
        </w:tc>
        <w:tc>
          <w:tcPr>
            <w:tcW w:w="1533" w:type="dxa"/>
            <w:vAlign w:val="bottom"/>
          </w:tcPr>
          <w:p w14:paraId="67517666"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5</w:t>
            </w:r>
          </w:p>
        </w:tc>
      </w:tr>
      <w:tr w:rsidR="007F1199" w:rsidRPr="00877E75" w14:paraId="4BB83E47" w14:textId="77777777" w:rsidTr="00600787">
        <w:trPr>
          <w:trHeight w:val="300"/>
        </w:trPr>
        <w:tc>
          <w:tcPr>
            <w:tcW w:w="1965" w:type="dxa"/>
            <w:vAlign w:val="center"/>
          </w:tcPr>
          <w:p w14:paraId="73300D31" w14:textId="77777777" w:rsidR="007F1199" w:rsidRPr="00075B71" w:rsidRDefault="007F1199" w:rsidP="00600787">
            <w:pPr>
              <w:jc w:val="both"/>
              <w:rPr>
                <w:rFonts w:ascii="Times New Roman" w:hAnsi="Times New Roman" w:cs="Times New Roman"/>
                <w:b/>
                <w:bCs/>
                <w:sz w:val="18"/>
                <w:szCs w:val="18"/>
                <w:lang w:val="en-GB"/>
              </w:rPr>
            </w:pPr>
            <w:r w:rsidRPr="00075B71">
              <w:rPr>
                <w:rFonts w:ascii="Times New Roman" w:hAnsi="Times New Roman" w:cs="Times New Roman"/>
                <w:b/>
                <w:bCs/>
                <w:sz w:val="18"/>
                <w:szCs w:val="18"/>
                <w:lang w:val="en-GB"/>
              </w:rPr>
              <w:t xml:space="preserve">subsample </w:t>
            </w:r>
          </w:p>
        </w:tc>
        <w:tc>
          <w:tcPr>
            <w:tcW w:w="1101" w:type="dxa"/>
            <w:vAlign w:val="bottom"/>
          </w:tcPr>
          <w:p w14:paraId="1576FA4E"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0,7</w:t>
            </w:r>
          </w:p>
        </w:tc>
        <w:tc>
          <w:tcPr>
            <w:tcW w:w="1533" w:type="dxa"/>
            <w:vAlign w:val="bottom"/>
          </w:tcPr>
          <w:p w14:paraId="106D2C39" w14:textId="77777777" w:rsidR="007F1199" w:rsidRPr="00075B71" w:rsidRDefault="007F1199" w:rsidP="00600787">
            <w:pPr>
              <w:jc w:val="both"/>
              <w:rPr>
                <w:rFonts w:ascii="Times New Roman" w:hAnsi="Times New Roman" w:cs="Times New Roman"/>
                <w:b/>
                <w:bCs/>
                <w:sz w:val="18"/>
                <w:szCs w:val="18"/>
                <w:lang w:val="en-GB"/>
              </w:rPr>
            </w:pPr>
            <w:r w:rsidRPr="00075B71">
              <w:rPr>
                <w:rFonts w:ascii="Times New Roman" w:hAnsi="Times New Roman" w:cs="Times New Roman"/>
                <w:b/>
                <w:bCs/>
                <w:sz w:val="18"/>
                <w:szCs w:val="18"/>
                <w:lang w:val="en-GB"/>
              </w:rPr>
              <w:t>l2_lear_reg</w:t>
            </w:r>
          </w:p>
        </w:tc>
        <w:tc>
          <w:tcPr>
            <w:tcW w:w="1533" w:type="dxa"/>
            <w:vAlign w:val="bottom"/>
          </w:tcPr>
          <w:p w14:paraId="47464ECA"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10</w:t>
            </w:r>
          </w:p>
        </w:tc>
        <w:tc>
          <w:tcPr>
            <w:tcW w:w="1533" w:type="dxa"/>
            <w:vAlign w:val="bottom"/>
          </w:tcPr>
          <w:p w14:paraId="6F496B2E"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min_samples_split</w:t>
            </w:r>
            <w:proofErr w:type="spellEnd"/>
          </w:p>
        </w:tc>
        <w:tc>
          <w:tcPr>
            <w:tcW w:w="1533" w:type="dxa"/>
            <w:vAlign w:val="bottom"/>
          </w:tcPr>
          <w:p w14:paraId="6EA1AEB5"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2 </w:t>
            </w:r>
          </w:p>
        </w:tc>
      </w:tr>
      <w:tr w:rsidR="007F1199" w:rsidRPr="00877E75" w14:paraId="0B12D0B3" w14:textId="77777777" w:rsidTr="00600787">
        <w:trPr>
          <w:trHeight w:val="300"/>
        </w:trPr>
        <w:tc>
          <w:tcPr>
            <w:tcW w:w="1965" w:type="dxa"/>
            <w:vAlign w:val="center"/>
          </w:tcPr>
          <w:p w14:paraId="763A129D"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colsample_bytree</w:t>
            </w:r>
            <w:proofErr w:type="spellEnd"/>
            <w:r w:rsidRPr="00075B71">
              <w:rPr>
                <w:rFonts w:ascii="Times New Roman" w:hAnsi="Times New Roman" w:cs="Times New Roman"/>
                <w:b/>
                <w:bCs/>
                <w:sz w:val="18"/>
                <w:szCs w:val="18"/>
                <w:lang w:val="en-GB"/>
              </w:rPr>
              <w:t xml:space="preserve"> </w:t>
            </w:r>
          </w:p>
        </w:tc>
        <w:tc>
          <w:tcPr>
            <w:tcW w:w="1101" w:type="dxa"/>
            <w:vAlign w:val="bottom"/>
          </w:tcPr>
          <w:p w14:paraId="2CE915A9"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0,7</w:t>
            </w:r>
          </w:p>
        </w:tc>
        <w:tc>
          <w:tcPr>
            <w:tcW w:w="1533" w:type="dxa"/>
            <w:vAlign w:val="bottom"/>
          </w:tcPr>
          <w:p w14:paraId="04F0BB5B"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vAlign w:val="bottom"/>
          </w:tcPr>
          <w:p w14:paraId="22504610"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vAlign w:val="bottom"/>
          </w:tcPr>
          <w:p w14:paraId="7C9C8988"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min_samples_leaf</w:t>
            </w:r>
            <w:proofErr w:type="spellEnd"/>
          </w:p>
        </w:tc>
        <w:tc>
          <w:tcPr>
            <w:tcW w:w="1533" w:type="dxa"/>
            <w:vAlign w:val="bottom"/>
          </w:tcPr>
          <w:p w14:paraId="1C552FAD"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1</w:t>
            </w:r>
          </w:p>
        </w:tc>
      </w:tr>
      <w:tr w:rsidR="007F1199" w:rsidRPr="00877E75" w14:paraId="72F12170" w14:textId="77777777" w:rsidTr="00600787">
        <w:trPr>
          <w:trHeight w:val="300"/>
        </w:trPr>
        <w:tc>
          <w:tcPr>
            <w:tcW w:w="1965" w:type="dxa"/>
            <w:vAlign w:val="center"/>
          </w:tcPr>
          <w:p w14:paraId="6BDD1620" w14:textId="77777777" w:rsidR="007F1199" w:rsidRPr="00075B71" w:rsidRDefault="007F1199" w:rsidP="00600787">
            <w:pPr>
              <w:jc w:val="both"/>
              <w:rPr>
                <w:rFonts w:ascii="Times New Roman" w:hAnsi="Times New Roman" w:cs="Times New Roman"/>
                <w:b/>
                <w:bCs/>
                <w:sz w:val="18"/>
                <w:szCs w:val="18"/>
                <w:lang w:val="en-GB"/>
              </w:rPr>
            </w:pPr>
            <w:r w:rsidRPr="00075B71">
              <w:rPr>
                <w:rFonts w:ascii="Times New Roman" w:hAnsi="Times New Roman" w:cs="Times New Roman"/>
                <w:b/>
                <w:bCs/>
                <w:sz w:val="18"/>
                <w:szCs w:val="18"/>
                <w:lang w:val="en-GB"/>
              </w:rPr>
              <w:t xml:space="preserve">Gamma </w:t>
            </w:r>
          </w:p>
        </w:tc>
        <w:tc>
          <w:tcPr>
            <w:tcW w:w="1101" w:type="dxa"/>
            <w:vAlign w:val="bottom"/>
          </w:tcPr>
          <w:p w14:paraId="1BA6C52F"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0,3</w:t>
            </w:r>
          </w:p>
        </w:tc>
        <w:tc>
          <w:tcPr>
            <w:tcW w:w="1533" w:type="dxa"/>
            <w:vAlign w:val="bottom"/>
          </w:tcPr>
          <w:p w14:paraId="67E763C7"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vAlign w:val="bottom"/>
          </w:tcPr>
          <w:p w14:paraId="32EBC2FA"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vAlign w:val="bottom"/>
          </w:tcPr>
          <w:p w14:paraId="19A3CA10"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vAlign w:val="bottom"/>
          </w:tcPr>
          <w:p w14:paraId="3B8B881A"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r>
      <w:tr w:rsidR="007F1199" w:rsidRPr="00877E75" w14:paraId="29913D65" w14:textId="77777777" w:rsidTr="00600787">
        <w:trPr>
          <w:trHeight w:val="300"/>
        </w:trPr>
        <w:tc>
          <w:tcPr>
            <w:tcW w:w="1965" w:type="dxa"/>
            <w:vAlign w:val="center"/>
          </w:tcPr>
          <w:p w14:paraId="279CB748"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min_chil_weight</w:t>
            </w:r>
            <w:proofErr w:type="spellEnd"/>
            <w:r w:rsidRPr="00075B71">
              <w:rPr>
                <w:rFonts w:ascii="Times New Roman" w:hAnsi="Times New Roman" w:cs="Times New Roman"/>
                <w:b/>
                <w:bCs/>
                <w:sz w:val="18"/>
                <w:szCs w:val="18"/>
                <w:lang w:val="en-GB"/>
              </w:rPr>
              <w:t xml:space="preserve"> </w:t>
            </w:r>
          </w:p>
        </w:tc>
        <w:tc>
          <w:tcPr>
            <w:tcW w:w="1101" w:type="dxa"/>
            <w:vAlign w:val="bottom"/>
          </w:tcPr>
          <w:p w14:paraId="423006B8"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7</w:t>
            </w:r>
          </w:p>
        </w:tc>
        <w:tc>
          <w:tcPr>
            <w:tcW w:w="1533" w:type="dxa"/>
            <w:vAlign w:val="bottom"/>
          </w:tcPr>
          <w:p w14:paraId="477E9836"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vAlign w:val="bottom"/>
          </w:tcPr>
          <w:p w14:paraId="5EA22183"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vAlign w:val="bottom"/>
          </w:tcPr>
          <w:p w14:paraId="0CEC8CE3"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vAlign w:val="bottom"/>
          </w:tcPr>
          <w:p w14:paraId="69E5A253"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r>
      <w:tr w:rsidR="007F1199" w:rsidRPr="00877E75" w14:paraId="11483A45" w14:textId="77777777" w:rsidTr="00600787">
        <w:trPr>
          <w:trHeight w:val="300"/>
        </w:trPr>
        <w:tc>
          <w:tcPr>
            <w:tcW w:w="1965" w:type="dxa"/>
            <w:vAlign w:val="center"/>
          </w:tcPr>
          <w:p w14:paraId="43ED0D1B"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reg_alpha</w:t>
            </w:r>
            <w:proofErr w:type="spellEnd"/>
            <w:r w:rsidRPr="00075B71">
              <w:rPr>
                <w:rFonts w:ascii="Times New Roman" w:hAnsi="Times New Roman" w:cs="Times New Roman"/>
                <w:b/>
                <w:bCs/>
                <w:sz w:val="18"/>
                <w:szCs w:val="18"/>
                <w:lang w:val="en-GB"/>
              </w:rPr>
              <w:t xml:space="preserve"> </w:t>
            </w:r>
          </w:p>
        </w:tc>
        <w:tc>
          <w:tcPr>
            <w:tcW w:w="1101" w:type="dxa"/>
            <w:vAlign w:val="bottom"/>
          </w:tcPr>
          <w:p w14:paraId="781C8E3C"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1</w:t>
            </w:r>
          </w:p>
        </w:tc>
        <w:tc>
          <w:tcPr>
            <w:tcW w:w="1533" w:type="dxa"/>
            <w:vAlign w:val="bottom"/>
          </w:tcPr>
          <w:p w14:paraId="7A89944C"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vAlign w:val="bottom"/>
          </w:tcPr>
          <w:p w14:paraId="0B0B153C"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vAlign w:val="bottom"/>
          </w:tcPr>
          <w:p w14:paraId="433A4862"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vAlign w:val="bottom"/>
          </w:tcPr>
          <w:p w14:paraId="2DF7AA2D"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r>
      <w:tr w:rsidR="007F1199" w:rsidRPr="00877E75" w14:paraId="789EA21A" w14:textId="77777777" w:rsidTr="00600787">
        <w:trPr>
          <w:trHeight w:val="300"/>
        </w:trPr>
        <w:tc>
          <w:tcPr>
            <w:tcW w:w="1965" w:type="dxa"/>
            <w:tcBorders>
              <w:bottom w:val="single" w:sz="4" w:space="0" w:color="auto"/>
            </w:tcBorders>
            <w:vAlign w:val="center"/>
          </w:tcPr>
          <w:p w14:paraId="1AF02C34" w14:textId="77777777" w:rsidR="007F1199" w:rsidRPr="00075B71" w:rsidRDefault="007F1199" w:rsidP="00600787">
            <w:pPr>
              <w:jc w:val="both"/>
              <w:rPr>
                <w:rFonts w:ascii="Times New Roman" w:hAnsi="Times New Roman" w:cs="Times New Roman"/>
                <w:b/>
                <w:bCs/>
                <w:sz w:val="18"/>
                <w:szCs w:val="18"/>
                <w:lang w:val="en-GB"/>
              </w:rPr>
            </w:pPr>
            <w:proofErr w:type="spellStart"/>
            <w:r w:rsidRPr="00075B71">
              <w:rPr>
                <w:rFonts w:ascii="Times New Roman" w:hAnsi="Times New Roman" w:cs="Times New Roman"/>
                <w:b/>
                <w:bCs/>
                <w:sz w:val="18"/>
                <w:szCs w:val="18"/>
                <w:lang w:val="en-GB"/>
              </w:rPr>
              <w:t>reg_lambda</w:t>
            </w:r>
            <w:proofErr w:type="spellEnd"/>
            <w:r w:rsidRPr="00075B71">
              <w:rPr>
                <w:rFonts w:ascii="Times New Roman" w:hAnsi="Times New Roman" w:cs="Times New Roman"/>
                <w:b/>
                <w:bCs/>
                <w:sz w:val="18"/>
                <w:szCs w:val="18"/>
                <w:lang w:val="en-GB"/>
              </w:rPr>
              <w:t xml:space="preserve"> </w:t>
            </w:r>
          </w:p>
        </w:tc>
        <w:tc>
          <w:tcPr>
            <w:tcW w:w="1101" w:type="dxa"/>
            <w:tcBorders>
              <w:bottom w:val="single" w:sz="4" w:space="0" w:color="auto"/>
            </w:tcBorders>
            <w:vAlign w:val="bottom"/>
          </w:tcPr>
          <w:p w14:paraId="0ADC9724"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1</w:t>
            </w:r>
          </w:p>
        </w:tc>
        <w:tc>
          <w:tcPr>
            <w:tcW w:w="1533" w:type="dxa"/>
            <w:tcBorders>
              <w:bottom w:val="single" w:sz="4" w:space="0" w:color="auto"/>
            </w:tcBorders>
            <w:vAlign w:val="bottom"/>
          </w:tcPr>
          <w:p w14:paraId="4B9F0829"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tcBorders>
              <w:bottom w:val="single" w:sz="4" w:space="0" w:color="auto"/>
            </w:tcBorders>
            <w:vAlign w:val="bottom"/>
          </w:tcPr>
          <w:p w14:paraId="2F08DCB2"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tcBorders>
              <w:bottom w:val="single" w:sz="4" w:space="0" w:color="auto"/>
            </w:tcBorders>
            <w:vAlign w:val="bottom"/>
          </w:tcPr>
          <w:p w14:paraId="02075D4D" w14:textId="77777777" w:rsidR="007F1199" w:rsidRPr="00075B71" w:rsidRDefault="007F1199" w:rsidP="00600787">
            <w:pPr>
              <w:jc w:val="both"/>
              <w:rPr>
                <w:rFonts w:ascii="Times New Roman" w:hAnsi="Times New Roman" w:cs="Times New Roman"/>
                <w:sz w:val="18"/>
                <w:szCs w:val="18"/>
                <w:lang w:val="en-GB"/>
              </w:rPr>
            </w:pPr>
            <w:r w:rsidRPr="00075B71">
              <w:rPr>
                <w:rFonts w:ascii="Times New Roman" w:hAnsi="Times New Roman" w:cs="Times New Roman"/>
                <w:sz w:val="18"/>
                <w:szCs w:val="18"/>
                <w:lang w:val="en-GB"/>
              </w:rPr>
              <w:t xml:space="preserve"> </w:t>
            </w:r>
          </w:p>
        </w:tc>
        <w:tc>
          <w:tcPr>
            <w:tcW w:w="1533" w:type="dxa"/>
            <w:tcBorders>
              <w:bottom w:val="single" w:sz="4" w:space="0" w:color="auto"/>
            </w:tcBorders>
            <w:vAlign w:val="bottom"/>
          </w:tcPr>
          <w:p w14:paraId="6F931522" w14:textId="77777777" w:rsidR="007F1199" w:rsidRPr="00075B71" w:rsidRDefault="007F1199" w:rsidP="00600787">
            <w:pPr>
              <w:jc w:val="both"/>
              <w:rPr>
                <w:rFonts w:ascii="Times New Roman" w:hAnsi="Times New Roman" w:cs="Times New Roman"/>
                <w:sz w:val="18"/>
                <w:szCs w:val="18"/>
                <w:lang w:val="en-GB"/>
              </w:rPr>
            </w:pPr>
          </w:p>
        </w:tc>
      </w:tr>
    </w:tbl>
    <w:p w14:paraId="78BDADD0" w14:textId="77777777" w:rsidR="007F1199" w:rsidRPr="00075B71" w:rsidRDefault="007F1199" w:rsidP="007F1199">
      <w:pPr>
        <w:widowControl w:val="0"/>
        <w:spacing w:after="0" w:line="480" w:lineRule="auto"/>
        <w:jc w:val="both"/>
        <w:rPr>
          <w:rFonts w:ascii="Times New Roman" w:eastAsia="Times New Roman" w:hAnsi="Times New Roman" w:cs="Times New Roman"/>
          <w:i/>
          <w:iCs/>
          <w:lang w:val="en-GB"/>
        </w:rPr>
      </w:pPr>
    </w:p>
    <w:p w14:paraId="1FC1F3D5" w14:textId="77777777" w:rsidR="007F1199" w:rsidRPr="00160F91" w:rsidRDefault="007F1199" w:rsidP="007F1199">
      <w:pPr>
        <w:widowControl w:val="0"/>
        <w:spacing w:after="0" w:line="480" w:lineRule="auto"/>
        <w:jc w:val="both"/>
        <w:rPr>
          <w:rFonts w:ascii="Times New Roman" w:eastAsia="Times New Roman" w:hAnsi="Times New Roman" w:cs="Times New Roman"/>
          <w:lang w:val="en-GB"/>
        </w:rPr>
      </w:pPr>
      <w:r w:rsidRPr="00160F91">
        <w:rPr>
          <w:rFonts w:ascii="Times New Roman" w:eastAsia="Times New Roman" w:hAnsi="Times New Roman" w:cs="Times New Roman"/>
          <w:lang w:val="en-GB"/>
        </w:rPr>
        <w:t>Table A.4 Summary of the different baseline models that we are going to use to validate the model</w:t>
      </w:r>
    </w:p>
    <w:tbl>
      <w:tblPr>
        <w:tblW w:w="9199" w:type="dxa"/>
        <w:tblLayout w:type="fixed"/>
        <w:tblCellMar>
          <w:top w:w="100" w:type="dxa"/>
          <w:left w:w="100" w:type="dxa"/>
          <w:bottom w:w="100" w:type="dxa"/>
          <w:right w:w="100" w:type="dxa"/>
        </w:tblCellMar>
        <w:tblLook w:val="0600" w:firstRow="0" w:lastRow="0" w:firstColumn="0" w:lastColumn="0" w:noHBand="1" w:noVBand="1"/>
      </w:tblPr>
      <w:tblGrid>
        <w:gridCol w:w="3067"/>
        <w:gridCol w:w="3066"/>
        <w:gridCol w:w="3066"/>
      </w:tblGrid>
      <w:tr w:rsidR="007F1199" w:rsidRPr="00877E75" w14:paraId="21733D86" w14:textId="77777777" w:rsidTr="00600787">
        <w:trPr>
          <w:trHeight w:val="635"/>
        </w:trPr>
        <w:tc>
          <w:tcPr>
            <w:tcW w:w="3067" w:type="dxa"/>
            <w:tcBorders>
              <w:top w:val="single" w:sz="4" w:space="0" w:color="auto"/>
              <w:bottom w:val="single" w:sz="4" w:space="0" w:color="auto"/>
            </w:tcBorders>
            <w:tcMar>
              <w:top w:w="100" w:type="dxa"/>
              <w:left w:w="100" w:type="dxa"/>
              <w:bottom w:w="100" w:type="dxa"/>
              <w:right w:w="100" w:type="dxa"/>
            </w:tcMar>
          </w:tcPr>
          <w:p w14:paraId="6EB4022D"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 Baseline name</w:t>
            </w:r>
          </w:p>
        </w:tc>
        <w:tc>
          <w:tcPr>
            <w:tcW w:w="3066" w:type="dxa"/>
            <w:tcBorders>
              <w:top w:val="single" w:sz="4" w:space="0" w:color="auto"/>
              <w:bottom w:val="single" w:sz="4" w:space="0" w:color="auto"/>
            </w:tcBorders>
            <w:tcMar>
              <w:top w:w="100" w:type="dxa"/>
              <w:left w:w="100" w:type="dxa"/>
              <w:bottom w:w="100" w:type="dxa"/>
              <w:right w:w="100" w:type="dxa"/>
            </w:tcMar>
          </w:tcPr>
          <w:p w14:paraId="0AC46359"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Type</w:t>
            </w:r>
          </w:p>
        </w:tc>
        <w:tc>
          <w:tcPr>
            <w:tcW w:w="3066" w:type="dxa"/>
            <w:tcBorders>
              <w:top w:val="single" w:sz="4" w:space="0" w:color="auto"/>
              <w:bottom w:val="single" w:sz="4" w:space="0" w:color="auto"/>
            </w:tcBorders>
            <w:tcMar>
              <w:top w:w="100" w:type="dxa"/>
              <w:left w:w="100" w:type="dxa"/>
              <w:bottom w:w="100" w:type="dxa"/>
              <w:right w:w="100" w:type="dxa"/>
            </w:tcMar>
          </w:tcPr>
          <w:p w14:paraId="2B240F7F"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Definition</w:t>
            </w:r>
          </w:p>
        </w:tc>
      </w:tr>
      <w:tr w:rsidR="007F1199" w:rsidRPr="00877E75" w14:paraId="4845F24E" w14:textId="77777777" w:rsidTr="00600787">
        <w:trPr>
          <w:trHeight w:val="1070"/>
        </w:trPr>
        <w:tc>
          <w:tcPr>
            <w:tcW w:w="3067" w:type="dxa"/>
            <w:tcBorders>
              <w:top w:val="single" w:sz="4" w:space="0" w:color="auto"/>
            </w:tcBorders>
            <w:tcMar>
              <w:top w:w="100" w:type="dxa"/>
              <w:left w:w="100" w:type="dxa"/>
              <w:bottom w:w="100" w:type="dxa"/>
              <w:right w:w="100" w:type="dxa"/>
            </w:tcMar>
          </w:tcPr>
          <w:p w14:paraId="5D0C14F8"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Dummy Classifier Stratified (DCS)</w:t>
            </w:r>
          </w:p>
        </w:tc>
        <w:tc>
          <w:tcPr>
            <w:tcW w:w="3066" w:type="dxa"/>
            <w:tcBorders>
              <w:top w:val="single" w:sz="4" w:space="0" w:color="auto"/>
            </w:tcBorders>
            <w:tcMar>
              <w:top w:w="100" w:type="dxa"/>
              <w:left w:w="100" w:type="dxa"/>
              <w:bottom w:w="100" w:type="dxa"/>
              <w:right w:w="100" w:type="dxa"/>
            </w:tcMar>
          </w:tcPr>
          <w:p w14:paraId="338D5F63"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i/>
                <w:sz w:val="18"/>
                <w:szCs w:val="18"/>
                <w:lang w:val="en-GB"/>
              </w:rPr>
            </w:pPr>
            <w:r w:rsidRPr="00075B71">
              <w:rPr>
                <w:rFonts w:ascii="Times New Roman" w:eastAsia="Times New Roman" w:hAnsi="Times New Roman" w:cs="Times New Roman"/>
                <w:b/>
                <w:i/>
                <w:sz w:val="18"/>
                <w:szCs w:val="18"/>
                <w:lang w:val="en-GB"/>
              </w:rPr>
              <w:t>Chance</w:t>
            </w:r>
          </w:p>
        </w:tc>
        <w:tc>
          <w:tcPr>
            <w:tcW w:w="3066" w:type="dxa"/>
            <w:tcBorders>
              <w:top w:val="single" w:sz="4" w:space="0" w:color="auto"/>
            </w:tcBorders>
            <w:tcMar>
              <w:top w:w="100" w:type="dxa"/>
              <w:left w:w="100" w:type="dxa"/>
              <w:bottom w:w="100" w:type="dxa"/>
              <w:right w:w="100" w:type="dxa"/>
            </w:tcMar>
          </w:tcPr>
          <w:p w14:paraId="51912504"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Generates forecasts by respecting the training set’s class distribution</w:t>
            </w:r>
          </w:p>
        </w:tc>
      </w:tr>
      <w:tr w:rsidR="007F1199" w:rsidRPr="00877E75" w14:paraId="4B486032" w14:textId="77777777" w:rsidTr="00600787">
        <w:trPr>
          <w:trHeight w:val="1140"/>
        </w:trPr>
        <w:tc>
          <w:tcPr>
            <w:tcW w:w="3067" w:type="dxa"/>
            <w:tcMar>
              <w:top w:w="100" w:type="dxa"/>
              <w:left w:w="100" w:type="dxa"/>
              <w:bottom w:w="100" w:type="dxa"/>
              <w:right w:w="100" w:type="dxa"/>
            </w:tcMar>
          </w:tcPr>
          <w:p w14:paraId="3E6D6ABC" w14:textId="77777777" w:rsidR="007F1199" w:rsidRPr="00075B71" w:rsidRDefault="007F1199" w:rsidP="00600787">
            <w:pPr>
              <w:widowControl w:val="0"/>
              <w:spacing w:line="480" w:lineRule="auto"/>
              <w:ind w:left="10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 </w:t>
            </w:r>
          </w:p>
          <w:p w14:paraId="06A48452"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Historical Norm (HN)</w:t>
            </w:r>
          </w:p>
        </w:tc>
        <w:tc>
          <w:tcPr>
            <w:tcW w:w="3066" w:type="dxa"/>
            <w:tcMar>
              <w:top w:w="100" w:type="dxa"/>
              <w:left w:w="100" w:type="dxa"/>
              <w:bottom w:w="100" w:type="dxa"/>
              <w:right w:w="100" w:type="dxa"/>
            </w:tcMar>
          </w:tcPr>
          <w:p w14:paraId="7074DEFB" w14:textId="77777777" w:rsidR="007F1199" w:rsidRPr="00075B71" w:rsidRDefault="007F1199" w:rsidP="00600787">
            <w:pPr>
              <w:widowControl w:val="0"/>
              <w:spacing w:line="480" w:lineRule="auto"/>
              <w:ind w:left="10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 </w:t>
            </w:r>
          </w:p>
          <w:p w14:paraId="4E9B2EEE"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i/>
                <w:sz w:val="18"/>
                <w:szCs w:val="18"/>
                <w:lang w:val="en-GB"/>
              </w:rPr>
            </w:pPr>
            <w:r w:rsidRPr="00075B71">
              <w:rPr>
                <w:rFonts w:ascii="Times New Roman" w:eastAsia="Times New Roman" w:hAnsi="Times New Roman" w:cs="Times New Roman"/>
                <w:b/>
                <w:i/>
                <w:sz w:val="18"/>
                <w:szCs w:val="18"/>
                <w:lang w:val="en-GB"/>
              </w:rPr>
              <w:t>Heuristic</w:t>
            </w:r>
          </w:p>
        </w:tc>
        <w:tc>
          <w:tcPr>
            <w:tcW w:w="3066" w:type="dxa"/>
            <w:tcMar>
              <w:top w:w="100" w:type="dxa"/>
              <w:left w:w="100" w:type="dxa"/>
              <w:bottom w:w="100" w:type="dxa"/>
              <w:right w:w="100" w:type="dxa"/>
            </w:tcMar>
          </w:tcPr>
          <w:p w14:paraId="32644218" w14:textId="77777777" w:rsidR="007F1199" w:rsidRPr="00075B71" w:rsidRDefault="007F1199" w:rsidP="00600787">
            <w:pPr>
              <w:widowControl w:val="0"/>
              <w:spacing w:before="240" w:line="48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Mode of Change Event over the train period per livelihood zone is sufficient to predict the change event in the test period.</w:t>
            </w:r>
          </w:p>
        </w:tc>
      </w:tr>
      <w:tr w:rsidR="007F1199" w:rsidRPr="00877E75" w14:paraId="35D7A890" w14:textId="77777777" w:rsidTr="00600787">
        <w:trPr>
          <w:trHeight w:val="845"/>
        </w:trPr>
        <w:tc>
          <w:tcPr>
            <w:tcW w:w="3067" w:type="dxa"/>
            <w:tcMar>
              <w:top w:w="100" w:type="dxa"/>
              <w:left w:w="100" w:type="dxa"/>
              <w:bottom w:w="100" w:type="dxa"/>
              <w:right w:w="100" w:type="dxa"/>
            </w:tcMar>
          </w:tcPr>
          <w:p w14:paraId="329F30F6"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Future Equals The Present (</w:t>
            </w:r>
            <w:proofErr w:type="spellStart"/>
            <w:r w:rsidRPr="00075B71">
              <w:rPr>
                <w:rFonts w:ascii="Times New Roman" w:eastAsia="Times New Roman" w:hAnsi="Times New Roman" w:cs="Times New Roman"/>
                <w:b/>
                <w:sz w:val="18"/>
                <w:szCs w:val="18"/>
                <w:lang w:val="en-GB"/>
              </w:rPr>
              <w:t>FeP</w:t>
            </w:r>
            <w:proofErr w:type="spellEnd"/>
            <w:r w:rsidRPr="00075B71">
              <w:rPr>
                <w:rFonts w:ascii="Times New Roman" w:eastAsia="Times New Roman" w:hAnsi="Times New Roman" w:cs="Times New Roman"/>
                <w:b/>
                <w:sz w:val="18"/>
                <w:szCs w:val="18"/>
                <w:lang w:val="en-GB"/>
              </w:rPr>
              <w:t>)</w:t>
            </w:r>
          </w:p>
        </w:tc>
        <w:tc>
          <w:tcPr>
            <w:tcW w:w="3066" w:type="dxa"/>
            <w:tcMar>
              <w:top w:w="100" w:type="dxa"/>
              <w:left w:w="100" w:type="dxa"/>
              <w:bottom w:w="100" w:type="dxa"/>
              <w:right w:w="100" w:type="dxa"/>
            </w:tcMar>
          </w:tcPr>
          <w:p w14:paraId="20261C32"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i/>
                <w:sz w:val="18"/>
                <w:szCs w:val="18"/>
                <w:lang w:val="en-GB"/>
              </w:rPr>
            </w:pPr>
            <w:r w:rsidRPr="00075B71">
              <w:rPr>
                <w:rFonts w:ascii="Times New Roman" w:eastAsia="Times New Roman" w:hAnsi="Times New Roman" w:cs="Times New Roman"/>
                <w:b/>
                <w:i/>
                <w:sz w:val="18"/>
                <w:szCs w:val="18"/>
                <w:lang w:val="en-GB"/>
              </w:rPr>
              <w:t>Heuristic</w:t>
            </w:r>
          </w:p>
        </w:tc>
        <w:tc>
          <w:tcPr>
            <w:tcW w:w="3066" w:type="dxa"/>
            <w:tcMar>
              <w:top w:w="100" w:type="dxa"/>
              <w:left w:w="100" w:type="dxa"/>
              <w:bottom w:w="100" w:type="dxa"/>
              <w:right w:w="100" w:type="dxa"/>
            </w:tcMar>
          </w:tcPr>
          <w:p w14:paraId="711460EF"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The future equals the present. In our case this means there is no change at </w:t>
            </w:r>
            <w:r w:rsidRPr="00075B71">
              <w:rPr>
                <w:rFonts w:ascii="Times New Roman" w:eastAsia="Times New Roman" w:hAnsi="Times New Roman" w:cs="Times New Roman"/>
                <w:b/>
                <w:sz w:val="18"/>
                <w:szCs w:val="18"/>
                <w:lang w:val="en-GB"/>
              </w:rPr>
              <w:lastRenderedPageBreak/>
              <w:t>all, since everything stays the same.</w:t>
            </w:r>
          </w:p>
        </w:tc>
      </w:tr>
      <w:tr w:rsidR="007F1199" w:rsidRPr="00877E75" w14:paraId="76FFB649" w14:textId="77777777" w:rsidTr="00600787">
        <w:trPr>
          <w:trHeight w:val="1710"/>
        </w:trPr>
        <w:tc>
          <w:tcPr>
            <w:tcW w:w="3067" w:type="dxa"/>
            <w:tcMar>
              <w:top w:w="100" w:type="dxa"/>
              <w:left w:w="100" w:type="dxa"/>
              <w:bottom w:w="100" w:type="dxa"/>
              <w:right w:w="100" w:type="dxa"/>
            </w:tcMar>
          </w:tcPr>
          <w:p w14:paraId="2D6A59FB" w14:textId="77777777" w:rsidR="007F1199" w:rsidRPr="00075B71" w:rsidRDefault="007F1199" w:rsidP="00600787">
            <w:pPr>
              <w:widowControl w:val="0"/>
              <w:spacing w:line="480" w:lineRule="auto"/>
              <w:ind w:left="10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lastRenderedPageBreak/>
              <w:t xml:space="preserve"> </w:t>
            </w:r>
          </w:p>
          <w:p w14:paraId="640AB877"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Historical Norm Temporal (HNT)</w:t>
            </w:r>
          </w:p>
        </w:tc>
        <w:tc>
          <w:tcPr>
            <w:tcW w:w="3066" w:type="dxa"/>
            <w:tcMar>
              <w:top w:w="100" w:type="dxa"/>
              <w:left w:w="100" w:type="dxa"/>
              <w:bottom w:w="100" w:type="dxa"/>
              <w:right w:w="100" w:type="dxa"/>
            </w:tcMar>
          </w:tcPr>
          <w:p w14:paraId="0A53959C" w14:textId="77777777" w:rsidR="007F1199" w:rsidRPr="00075B71" w:rsidRDefault="007F1199" w:rsidP="00600787">
            <w:pPr>
              <w:widowControl w:val="0"/>
              <w:spacing w:line="480" w:lineRule="auto"/>
              <w:ind w:left="10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 </w:t>
            </w:r>
          </w:p>
          <w:p w14:paraId="439F361F"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i/>
                <w:sz w:val="18"/>
                <w:szCs w:val="18"/>
                <w:lang w:val="en-GB"/>
              </w:rPr>
            </w:pPr>
            <w:r w:rsidRPr="00075B71">
              <w:rPr>
                <w:rFonts w:ascii="Times New Roman" w:eastAsia="Times New Roman" w:hAnsi="Times New Roman" w:cs="Times New Roman"/>
                <w:b/>
                <w:i/>
                <w:sz w:val="18"/>
                <w:szCs w:val="18"/>
                <w:lang w:val="en-GB"/>
              </w:rPr>
              <w:t>Heuristic</w:t>
            </w:r>
          </w:p>
        </w:tc>
        <w:tc>
          <w:tcPr>
            <w:tcW w:w="3066" w:type="dxa"/>
            <w:tcMar>
              <w:top w:w="100" w:type="dxa"/>
              <w:left w:w="100" w:type="dxa"/>
              <w:bottom w:w="100" w:type="dxa"/>
              <w:right w:w="100" w:type="dxa"/>
            </w:tcMar>
          </w:tcPr>
          <w:p w14:paraId="4DEC22CB"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bCs/>
                <w:sz w:val="18"/>
                <w:szCs w:val="18"/>
                <w:lang w:val="en-GB"/>
              </w:rPr>
            </w:pPr>
            <w:r w:rsidRPr="57C85B2A">
              <w:rPr>
                <w:rFonts w:ascii="Times New Roman" w:eastAsia="Times New Roman" w:hAnsi="Times New Roman" w:cs="Times New Roman"/>
                <w:b/>
                <w:bCs/>
                <w:sz w:val="18"/>
                <w:szCs w:val="18"/>
                <w:lang w:val="en-GB"/>
              </w:rPr>
              <w:t>The mode of the Change event over the train period per livelihood zone per month is sufficient to predict the change event in the test period.</w:t>
            </w:r>
          </w:p>
        </w:tc>
      </w:tr>
      <w:tr w:rsidR="007F1199" w:rsidRPr="00877E75" w14:paraId="34A044DB" w14:textId="77777777" w:rsidTr="00600787">
        <w:trPr>
          <w:trHeight w:val="984"/>
        </w:trPr>
        <w:tc>
          <w:tcPr>
            <w:tcW w:w="3067" w:type="dxa"/>
            <w:tcBorders>
              <w:bottom w:val="single" w:sz="4" w:space="0" w:color="auto"/>
            </w:tcBorders>
            <w:tcMar>
              <w:top w:w="100" w:type="dxa"/>
              <w:left w:w="100" w:type="dxa"/>
              <w:bottom w:w="100" w:type="dxa"/>
              <w:right w:w="100" w:type="dxa"/>
            </w:tcMar>
          </w:tcPr>
          <w:p w14:paraId="4B0107FA"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Recent Observation (RO)</w:t>
            </w:r>
          </w:p>
        </w:tc>
        <w:tc>
          <w:tcPr>
            <w:tcW w:w="3066" w:type="dxa"/>
            <w:tcBorders>
              <w:bottom w:val="single" w:sz="4" w:space="0" w:color="auto"/>
            </w:tcBorders>
            <w:tcMar>
              <w:top w:w="100" w:type="dxa"/>
              <w:left w:w="100" w:type="dxa"/>
              <w:bottom w:w="100" w:type="dxa"/>
              <w:right w:w="100" w:type="dxa"/>
            </w:tcMar>
          </w:tcPr>
          <w:p w14:paraId="019BEC99"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i/>
                <w:sz w:val="18"/>
                <w:szCs w:val="18"/>
                <w:lang w:val="en-GB"/>
              </w:rPr>
            </w:pPr>
            <w:r w:rsidRPr="00075B71">
              <w:rPr>
                <w:rFonts w:ascii="Times New Roman" w:eastAsia="Times New Roman" w:hAnsi="Times New Roman" w:cs="Times New Roman"/>
                <w:b/>
                <w:i/>
                <w:sz w:val="18"/>
                <w:szCs w:val="18"/>
                <w:lang w:val="en-GB"/>
              </w:rPr>
              <w:t>Heuristic</w:t>
            </w:r>
          </w:p>
        </w:tc>
        <w:tc>
          <w:tcPr>
            <w:tcW w:w="3066" w:type="dxa"/>
            <w:tcBorders>
              <w:bottom w:val="single" w:sz="4" w:space="0" w:color="auto"/>
            </w:tcBorders>
            <w:tcMar>
              <w:top w:w="100" w:type="dxa"/>
              <w:left w:w="100" w:type="dxa"/>
              <w:bottom w:w="100" w:type="dxa"/>
              <w:right w:w="100" w:type="dxa"/>
            </w:tcMar>
          </w:tcPr>
          <w:p w14:paraId="55D056D6" w14:textId="77777777" w:rsidR="007F1199" w:rsidRPr="00075B71" w:rsidRDefault="007F1199" w:rsidP="00600787">
            <w:pPr>
              <w:widowControl w:val="0"/>
              <w:spacing w:before="200" w:line="480" w:lineRule="auto"/>
              <w:ind w:right="580"/>
              <w:jc w:val="both"/>
              <w:rPr>
                <w:rFonts w:ascii="Times New Roman" w:eastAsia="Times New Roman" w:hAnsi="Times New Roman" w:cs="Times New Roman"/>
                <w:b/>
                <w:sz w:val="18"/>
                <w:szCs w:val="18"/>
                <w:lang w:val="en-GB"/>
              </w:rPr>
            </w:pPr>
            <w:bookmarkStart w:id="0" w:name="_lnxbz9" w:colFirst="0" w:colLast="0"/>
            <w:bookmarkEnd w:id="0"/>
            <w:r w:rsidRPr="00075B71">
              <w:rPr>
                <w:rFonts w:ascii="Times New Roman" w:eastAsia="Times New Roman" w:hAnsi="Times New Roman" w:cs="Times New Roman"/>
                <w:b/>
                <w:sz w:val="18"/>
                <w:szCs w:val="18"/>
                <w:lang w:val="en-GB"/>
              </w:rPr>
              <w:t>The most recent observation for a livelihood zone for a specific month is a good forecast for the future.</w:t>
            </w:r>
          </w:p>
        </w:tc>
      </w:tr>
    </w:tbl>
    <w:p w14:paraId="2ECBD817" w14:textId="77777777" w:rsidR="007F1199" w:rsidRPr="00075B71" w:rsidRDefault="007F1199" w:rsidP="007F1199">
      <w:pPr>
        <w:spacing w:after="0" w:line="480" w:lineRule="auto"/>
        <w:jc w:val="both"/>
        <w:rPr>
          <w:rFonts w:ascii="Times New Roman" w:eastAsia="Times New Roman" w:hAnsi="Times New Roman" w:cs="Times New Roman"/>
          <w:i/>
          <w:iCs/>
          <w:lang w:val="en-GB"/>
        </w:rPr>
      </w:pPr>
    </w:p>
    <w:p w14:paraId="5D2DB9B4" w14:textId="77777777" w:rsidR="007F1199" w:rsidRPr="00160F91" w:rsidRDefault="007F1199" w:rsidP="007F1199">
      <w:pPr>
        <w:spacing w:after="0" w:line="480" w:lineRule="auto"/>
        <w:jc w:val="both"/>
        <w:rPr>
          <w:rFonts w:ascii="Times New Roman" w:eastAsia="Times New Roman" w:hAnsi="Times New Roman" w:cs="Times New Roman"/>
          <w:lang w:val="en-GB"/>
        </w:rPr>
      </w:pPr>
      <w:r w:rsidRPr="57C85B2A">
        <w:rPr>
          <w:rFonts w:ascii="Times New Roman" w:eastAsia="Times New Roman" w:hAnsi="Times New Roman" w:cs="Times New Roman"/>
          <w:lang w:val="en-GB"/>
        </w:rPr>
        <w:t xml:space="preserve">Table A.5 Classification report over the n 100 runs for the </w:t>
      </w:r>
      <w:r w:rsidRPr="57C85B2A" w:rsidDel="57C85B2A">
        <w:rPr>
          <w:rFonts w:ascii="Times New Roman" w:eastAsia="Times New Roman" w:hAnsi="Times New Roman" w:cs="Times New Roman"/>
          <w:lang w:val="en-GB"/>
        </w:rPr>
        <w:t>7</w:t>
      </w:r>
      <w:r w:rsidRPr="57C85B2A">
        <w:rPr>
          <w:rFonts w:ascii="Times New Roman" w:eastAsia="Times New Roman" w:hAnsi="Times New Roman" w:cs="Times New Roman"/>
          <w:lang w:val="en-GB"/>
        </w:rPr>
        <w:t>-month interval.</w:t>
      </w:r>
    </w:p>
    <w:tbl>
      <w:tblPr>
        <w:tblW w:w="7100" w:type="dxa"/>
        <w:tblLook w:val="04A0" w:firstRow="1" w:lastRow="0" w:firstColumn="1" w:lastColumn="0" w:noHBand="0" w:noVBand="1"/>
      </w:tblPr>
      <w:tblGrid>
        <w:gridCol w:w="960"/>
        <w:gridCol w:w="1256"/>
        <w:gridCol w:w="1290"/>
        <w:gridCol w:w="1600"/>
        <w:gridCol w:w="946"/>
        <w:gridCol w:w="1048"/>
      </w:tblGrid>
      <w:tr w:rsidR="007F1199" w:rsidRPr="00877E75" w14:paraId="2CAA2246" w14:textId="77777777" w:rsidTr="00600787">
        <w:trPr>
          <w:trHeight w:val="480"/>
        </w:trPr>
        <w:tc>
          <w:tcPr>
            <w:tcW w:w="960" w:type="dxa"/>
            <w:tcBorders>
              <w:top w:val="single" w:sz="4" w:space="0" w:color="auto"/>
              <w:left w:val="nil"/>
              <w:bottom w:val="single" w:sz="4" w:space="0" w:color="auto"/>
              <w:right w:val="nil"/>
            </w:tcBorders>
            <w:shd w:val="clear" w:color="auto" w:fill="auto"/>
            <w:noWrap/>
            <w:vAlign w:val="bottom"/>
            <w:hideMark/>
          </w:tcPr>
          <w:p w14:paraId="3E3A15F1"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c>
          <w:tcPr>
            <w:tcW w:w="1240" w:type="dxa"/>
            <w:tcBorders>
              <w:top w:val="single" w:sz="4" w:space="0" w:color="auto"/>
              <w:left w:val="nil"/>
              <w:bottom w:val="single" w:sz="4" w:space="0" w:color="auto"/>
              <w:right w:val="nil"/>
            </w:tcBorders>
            <w:shd w:val="clear" w:color="000000" w:fill="FFFFFF"/>
            <w:vAlign w:val="center"/>
            <w:hideMark/>
          </w:tcPr>
          <w:p w14:paraId="55689970"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Deterioration</w:t>
            </w:r>
          </w:p>
        </w:tc>
        <w:tc>
          <w:tcPr>
            <w:tcW w:w="1320" w:type="dxa"/>
            <w:tcBorders>
              <w:top w:val="single" w:sz="4" w:space="0" w:color="auto"/>
              <w:left w:val="nil"/>
              <w:bottom w:val="single" w:sz="4" w:space="0" w:color="auto"/>
              <w:right w:val="nil"/>
            </w:tcBorders>
            <w:shd w:val="clear" w:color="000000" w:fill="FFFFFF"/>
            <w:vAlign w:val="center"/>
            <w:hideMark/>
          </w:tcPr>
          <w:p w14:paraId="28D34431"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No Change</w:t>
            </w:r>
          </w:p>
        </w:tc>
        <w:tc>
          <w:tcPr>
            <w:tcW w:w="1620" w:type="dxa"/>
            <w:tcBorders>
              <w:top w:val="single" w:sz="4" w:space="0" w:color="auto"/>
              <w:left w:val="nil"/>
              <w:bottom w:val="single" w:sz="4" w:space="0" w:color="auto"/>
              <w:right w:val="nil"/>
            </w:tcBorders>
            <w:shd w:val="clear" w:color="000000" w:fill="FFFFFF"/>
            <w:vAlign w:val="center"/>
            <w:hideMark/>
          </w:tcPr>
          <w:p w14:paraId="4BEBD1DC"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Improvement</w:t>
            </w:r>
          </w:p>
        </w:tc>
        <w:tc>
          <w:tcPr>
            <w:tcW w:w="900" w:type="dxa"/>
            <w:tcBorders>
              <w:top w:val="single" w:sz="4" w:space="0" w:color="auto"/>
              <w:left w:val="nil"/>
              <w:bottom w:val="single" w:sz="4" w:space="0" w:color="auto"/>
              <w:right w:val="nil"/>
            </w:tcBorders>
            <w:shd w:val="clear" w:color="000000" w:fill="FFFFFF"/>
            <w:vAlign w:val="center"/>
            <w:hideMark/>
          </w:tcPr>
          <w:p w14:paraId="30DEB86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 Overall Accuracy</w:t>
            </w:r>
          </w:p>
        </w:tc>
        <w:tc>
          <w:tcPr>
            <w:tcW w:w="1060" w:type="dxa"/>
            <w:tcBorders>
              <w:top w:val="single" w:sz="4" w:space="0" w:color="auto"/>
              <w:left w:val="nil"/>
              <w:bottom w:val="single" w:sz="4" w:space="0" w:color="auto"/>
              <w:right w:val="nil"/>
            </w:tcBorders>
            <w:shd w:val="clear" w:color="000000" w:fill="FFFFFF"/>
            <w:vAlign w:val="center"/>
            <w:hideMark/>
          </w:tcPr>
          <w:p w14:paraId="6B54BB81"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Macro Average</w:t>
            </w:r>
          </w:p>
        </w:tc>
      </w:tr>
      <w:tr w:rsidR="007F1199" w:rsidRPr="00877E75" w14:paraId="1717ADB0" w14:textId="77777777" w:rsidTr="00600787">
        <w:trPr>
          <w:trHeight w:val="300"/>
        </w:trPr>
        <w:tc>
          <w:tcPr>
            <w:tcW w:w="960" w:type="dxa"/>
            <w:tcBorders>
              <w:top w:val="nil"/>
              <w:left w:val="nil"/>
              <w:bottom w:val="nil"/>
              <w:right w:val="nil"/>
            </w:tcBorders>
            <w:shd w:val="clear" w:color="000000" w:fill="FFFFFF"/>
            <w:vAlign w:val="center"/>
            <w:hideMark/>
          </w:tcPr>
          <w:p w14:paraId="15F1AC2D"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f1-score</w:t>
            </w:r>
          </w:p>
        </w:tc>
        <w:tc>
          <w:tcPr>
            <w:tcW w:w="1240" w:type="dxa"/>
            <w:tcBorders>
              <w:top w:val="nil"/>
              <w:left w:val="nil"/>
              <w:bottom w:val="nil"/>
              <w:right w:val="nil"/>
            </w:tcBorders>
            <w:shd w:val="clear" w:color="000000" w:fill="FFFFFF"/>
            <w:vAlign w:val="center"/>
            <w:hideMark/>
          </w:tcPr>
          <w:p w14:paraId="7366FE8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0.48</w:t>
            </w:r>
          </w:p>
        </w:tc>
        <w:tc>
          <w:tcPr>
            <w:tcW w:w="1320" w:type="dxa"/>
            <w:tcBorders>
              <w:top w:val="nil"/>
              <w:left w:val="nil"/>
              <w:bottom w:val="nil"/>
              <w:right w:val="nil"/>
            </w:tcBorders>
            <w:shd w:val="clear" w:color="000000" w:fill="FFFFFF"/>
            <w:vAlign w:val="center"/>
            <w:hideMark/>
          </w:tcPr>
          <w:p w14:paraId="513F8C7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0.74</w:t>
            </w:r>
          </w:p>
        </w:tc>
        <w:tc>
          <w:tcPr>
            <w:tcW w:w="1620" w:type="dxa"/>
            <w:tcBorders>
              <w:top w:val="nil"/>
              <w:left w:val="nil"/>
              <w:bottom w:val="nil"/>
              <w:right w:val="nil"/>
            </w:tcBorders>
            <w:shd w:val="clear" w:color="000000" w:fill="FFFFFF"/>
            <w:vAlign w:val="center"/>
            <w:hideMark/>
          </w:tcPr>
          <w:p w14:paraId="0DFD4C3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0.60</w:t>
            </w:r>
          </w:p>
        </w:tc>
        <w:tc>
          <w:tcPr>
            <w:tcW w:w="900" w:type="dxa"/>
            <w:tcBorders>
              <w:top w:val="nil"/>
              <w:left w:val="nil"/>
              <w:bottom w:val="nil"/>
              <w:right w:val="nil"/>
            </w:tcBorders>
            <w:shd w:val="clear" w:color="000000" w:fill="FFFFFF"/>
            <w:vAlign w:val="center"/>
            <w:hideMark/>
          </w:tcPr>
          <w:p w14:paraId="496275CF"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w:t>
            </w:r>
          </w:p>
        </w:tc>
        <w:tc>
          <w:tcPr>
            <w:tcW w:w="1060" w:type="dxa"/>
            <w:tcBorders>
              <w:top w:val="nil"/>
              <w:left w:val="nil"/>
              <w:bottom w:val="nil"/>
              <w:right w:val="nil"/>
            </w:tcBorders>
            <w:shd w:val="clear" w:color="000000" w:fill="FFFFFF"/>
            <w:vAlign w:val="center"/>
            <w:hideMark/>
          </w:tcPr>
          <w:p w14:paraId="614E622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0.61</w:t>
            </w:r>
          </w:p>
        </w:tc>
      </w:tr>
      <w:tr w:rsidR="007F1199" w:rsidRPr="00877E75" w14:paraId="7984EB4C" w14:textId="77777777" w:rsidTr="00600787">
        <w:trPr>
          <w:trHeight w:val="300"/>
        </w:trPr>
        <w:tc>
          <w:tcPr>
            <w:tcW w:w="960" w:type="dxa"/>
            <w:tcBorders>
              <w:top w:val="nil"/>
              <w:left w:val="nil"/>
              <w:bottom w:val="nil"/>
              <w:right w:val="nil"/>
            </w:tcBorders>
            <w:shd w:val="clear" w:color="000000" w:fill="FFFFFF"/>
            <w:vAlign w:val="center"/>
            <w:hideMark/>
          </w:tcPr>
          <w:p w14:paraId="026EEBAB"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precision</w:t>
            </w:r>
          </w:p>
        </w:tc>
        <w:tc>
          <w:tcPr>
            <w:tcW w:w="1240" w:type="dxa"/>
            <w:tcBorders>
              <w:top w:val="nil"/>
              <w:left w:val="nil"/>
              <w:bottom w:val="nil"/>
              <w:right w:val="nil"/>
            </w:tcBorders>
            <w:shd w:val="clear" w:color="000000" w:fill="FFFFFF"/>
            <w:vAlign w:val="center"/>
            <w:hideMark/>
          </w:tcPr>
          <w:p w14:paraId="7453B17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0.41</w:t>
            </w:r>
          </w:p>
        </w:tc>
        <w:tc>
          <w:tcPr>
            <w:tcW w:w="1320" w:type="dxa"/>
            <w:tcBorders>
              <w:top w:val="nil"/>
              <w:left w:val="nil"/>
              <w:bottom w:val="nil"/>
              <w:right w:val="nil"/>
            </w:tcBorders>
            <w:shd w:val="clear" w:color="000000" w:fill="FFFFFF"/>
            <w:vAlign w:val="center"/>
            <w:hideMark/>
          </w:tcPr>
          <w:p w14:paraId="49CC4B3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0.87</w:t>
            </w:r>
          </w:p>
        </w:tc>
        <w:tc>
          <w:tcPr>
            <w:tcW w:w="1620" w:type="dxa"/>
            <w:tcBorders>
              <w:top w:val="nil"/>
              <w:left w:val="nil"/>
              <w:bottom w:val="nil"/>
              <w:right w:val="nil"/>
            </w:tcBorders>
            <w:shd w:val="clear" w:color="000000" w:fill="FFFFFF"/>
            <w:vAlign w:val="center"/>
            <w:hideMark/>
          </w:tcPr>
          <w:p w14:paraId="3D6D9EA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0.49</w:t>
            </w:r>
          </w:p>
        </w:tc>
        <w:tc>
          <w:tcPr>
            <w:tcW w:w="900" w:type="dxa"/>
            <w:tcBorders>
              <w:top w:val="nil"/>
              <w:left w:val="nil"/>
              <w:bottom w:val="nil"/>
              <w:right w:val="nil"/>
            </w:tcBorders>
            <w:shd w:val="clear" w:color="000000" w:fill="FFFFFF"/>
            <w:vAlign w:val="center"/>
            <w:hideMark/>
          </w:tcPr>
          <w:p w14:paraId="316C05D8"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w:t>
            </w:r>
          </w:p>
        </w:tc>
        <w:tc>
          <w:tcPr>
            <w:tcW w:w="1060" w:type="dxa"/>
            <w:tcBorders>
              <w:top w:val="nil"/>
              <w:left w:val="nil"/>
              <w:bottom w:val="nil"/>
              <w:right w:val="nil"/>
            </w:tcBorders>
            <w:shd w:val="clear" w:color="000000" w:fill="FFFFFF"/>
            <w:vAlign w:val="center"/>
            <w:hideMark/>
          </w:tcPr>
          <w:p w14:paraId="18290A8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0.59</w:t>
            </w:r>
          </w:p>
        </w:tc>
      </w:tr>
      <w:tr w:rsidR="007F1199" w:rsidRPr="00877E75" w14:paraId="6760D66D" w14:textId="77777777" w:rsidTr="00600787">
        <w:trPr>
          <w:trHeight w:val="300"/>
        </w:trPr>
        <w:tc>
          <w:tcPr>
            <w:tcW w:w="960" w:type="dxa"/>
            <w:tcBorders>
              <w:top w:val="nil"/>
              <w:left w:val="nil"/>
              <w:bottom w:val="nil"/>
              <w:right w:val="nil"/>
            </w:tcBorders>
            <w:shd w:val="clear" w:color="000000" w:fill="FFFFFF"/>
            <w:vAlign w:val="center"/>
            <w:hideMark/>
          </w:tcPr>
          <w:p w14:paraId="7B43CD26"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recall</w:t>
            </w:r>
          </w:p>
        </w:tc>
        <w:tc>
          <w:tcPr>
            <w:tcW w:w="1240" w:type="dxa"/>
            <w:tcBorders>
              <w:top w:val="nil"/>
              <w:left w:val="nil"/>
              <w:bottom w:val="nil"/>
              <w:right w:val="nil"/>
            </w:tcBorders>
            <w:shd w:val="clear" w:color="000000" w:fill="FFFFFF"/>
            <w:vAlign w:val="center"/>
            <w:hideMark/>
          </w:tcPr>
          <w:p w14:paraId="7322257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0.59</w:t>
            </w:r>
          </w:p>
        </w:tc>
        <w:tc>
          <w:tcPr>
            <w:tcW w:w="1320" w:type="dxa"/>
            <w:tcBorders>
              <w:top w:val="nil"/>
              <w:left w:val="nil"/>
              <w:bottom w:val="nil"/>
              <w:right w:val="nil"/>
            </w:tcBorders>
            <w:shd w:val="clear" w:color="000000" w:fill="FFFFFF"/>
            <w:vAlign w:val="center"/>
            <w:hideMark/>
          </w:tcPr>
          <w:p w14:paraId="0004070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0.64</w:t>
            </w:r>
          </w:p>
        </w:tc>
        <w:tc>
          <w:tcPr>
            <w:tcW w:w="1620" w:type="dxa"/>
            <w:tcBorders>
              <w:top w:val="nil"/>
              <w:left w:val="nil"/>
              <w:bottom w:val="nil"/>
              <w:right w:val="nil"/>
            </w:tcBorders>
            <w:shd w:val="clear" w:color="000000" w:fill="FFFFFF"/>
            <w:vAlign w:val="center"/>
            <w:hideMark/>
          </w:tcPr>
          <w:p w14:paraId="358F0F7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0.78</w:t>
            </w:r>
          </w:p>
        </w:tc>
        <w:tc>
          <w:tcPr>
            <w:tcW w:w="900" w:type="dxa"/>
            <w:tcBorders>
              <w:top w:val="nil"/>
              <w:left w:val="nil"/>
              <w:bottom w:val="nil"/>
              <w:right w:val="nil"/>
            </w:tcBorders>
            <w:shd w:val="clear" w:color="000000" w:fill="FFFFFF"/>
            <w:vAlign w:val="center"/>
            <w:hideMark/>
          </w:tcPr>
          <w:p w14:paraId="4C51BD6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w:t>
            </w:r>
          </w:p>
        </w:tc>
        <w:tc>
          <w:tcPr>
            <w:tcW w:w="1060" w:type="dxa"/>
            <w:tcBorders>
              <w:top w:val="nil"/>
              <w:left w:val="nil"/>
              <w:bottom w:val="nil"/>
              <w:right w:val="nil"/>
            </w:tcBorders>
            <w:shd w:val="clear" w:color="000000" w:fill="FFFFFF"/>
            <w:vAlign w:val="center"/>
            <w:hideMark/>
          </w:tcPr>
          <w:p w14:paraId="76DBBFF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0.67</w:t>
            </w:r>
          </w:p>
        </w:tc>
      </w:tr>
      <w:tr w:rsidR="007F1199" w:rsidRPr="00877E75" w14:paraId="194E3DBF" w14:textId="77777777" w:rsidTr="00600787">
        <w:trPr>
          <w:trHeight w:val="300"/>
        </w:trPr>
        <w:tc>
          <w:tcPr>
            <w:tcW w:w="960" w:type="dxa"/>
            <w:tcBorders>
              <w:top w:val="nil"/>
              <w:left w:val="nil"/>
              <w:bottom w:val="single" w:sz="4" w:space="0" w:color="auto"/>
              <w:right w:val="nil"/>
            </w:tcBorders>
            <w:shd w:val="clear" w:color="000000" w:fill="FFFFFF"/>
            <w:vAlign w:val="center"/>
            <w:hideMark/>
          </w:tcPr>
          <w:p w14:paraId="090EF023"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w:t>
            </w:r>
          </w:p>
        </w:tc>
        <w:tc>
          <w:tcPr>
            <w:tcW w:w="1240" w:type="dxa"/>
            <w:tcBorders>
              <w:top w:val="nil"/>
              <w:left w:val="nil"/>
              <w:bottom w:val="single" w:sz="4" w:space="0" w:color="auto"/>
              <w:right w:val="nil"/>
            </w:tcBorders>
            <w:shd w:val="clear" w:color="000000" w:fill="FFFFFF"/>
            <w:vAlign w:val="center"/>
            <w:hideMark/>
          </w:tcPr>
          <w:p w14:paraId="1D1F2EB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w:t>
            </w:r>
          </w:p>
        </w:tc>
        <w:tc>
          <w:tcPr>
            <w:tcW w:w="1320" w:type="dxa"/>
            <w:tcBorders>
              <w:top w:val="nil"/>
              <w:left w:val="nil"/>
              <w:bottom w:val="single" w:sz="4" w:space="0" w:color="auto"/>
              <w:right w:val="nil"/>
            </w:tcBorders>
            <w:shd w:val="clear" w:color="000000" w:fill="FFFFFF"/>
            <w:vAlign w:val="center"/>
            <w:hideMark/>
          </w:tcPr>
          <w:p w14:paraId="504F8DE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w:t>
            </w:r>
          </w:p>
        </w:tc>
        <w:tc>
          <w:tcPr>
            <w:tcW w:w="1620" w:type="dxa"/>
            <w:tcBorders>
              <w:top w:val="nil"/>
              <w:left w:val="nil"/>
              <w:bottom w:val="single" w:sz="4" w:space="0" w:color="auto"/>
              <w:right w:val="nil"/>
            </w:tcBorders>
            <w:shd w:val="clear" w:color="000000" w:fill="FFFFFF"/>
            <w:vAlign w:val="center"/>
            <w:hideMark/>
          </w:tcPr>
          <w:p w14:paraId="1702A617"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w:t>
            </w:r>
          </w:p>
        </w:tc>
        <w:tc>
          <w:tcPr>
            <w:tcW w:w="900" w:type="dxa"/>
            <w:tcBorders>
              <w:top w:val="nil"/>
              <w:left w:val="nil"/>
              <w:bottom w:val="single" w:sz="4" w:space="0" w:color="auto"/>
              <w:right w:val="nil"/>
            </w:tcBorders>
            <w:shd w:val="clear" w:color="000000" w:fill="FFFFFF"/>
            <w:vAlign w:val="center"/>
            <w:hideMark/>
          </w:tcPr>
          <w:p w14:paraId="5BAA806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0.66</w:t>
            </w:r>
          </w:p>
        </w:tc>
        <w:tc>
          <w:tcPr>
            <w:tcW w:w="1060" w:type="dxa"/>
            <w:tcBorders>
              <w:top w:val="nil"/>
              <w:left w:val="nil"/>
              <w:bottom w:val="single" w:sz="4" w:space="0" w:color="auto"/>
              <w:right w:val="nil"/>
            </w:tcBorders>
            <w:shd w:val="clear" w:color="000000" w:fill="FFFFFF"/>
            <w:vAlign w:val="center"/>
            <w:hideMark/>
          </w:tcPr>
          <w:p w14:paraId="370D6E53"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w:t>
            </w:r>
          </w:p>
        </w:tc>
      </w:tr>
    </w:tbl>
    <w:p w14:paraId="69A388D3" w14:textId="77777777" w:rsidR="007F1199" w:rsidRPr="00075B71" w:rsidRDefault="007F1199" w:rsidP="007F1199">
      <w:pPr>
        <w:widowControl w:val="0"/>
        <w:pBdr>
          <w:top w:val="nil"/>
          <w:left w:val="nil"/>
          <w:bottom w:val="nil"/>
          <w:right w:val="nil"/>
          <w:between w:val="nil"/>
        </w:pBdr>
        <w:spacing w:after="0" w:line="480" w:lineRule="auto"/>
        <w:jc w:val="both"/>
        <w:rPr>
          <w:rFonts w:ascii="Times New Roman" w:eastAsia="Times New Roman" w:hAnsi="Times New Roman" w:cs="Times New Roman"/>
          <w:i/>
          <w:iCs/>
          <w:lang w:val="en-GB"/>
        </w:rPr>
      </w:pPr>
    </w:p>
    <w:p w14:paraId="41C4E895" w14:textId="77777777" w:rsidR="007F1199" w:rsidRPr="00160F91" w:rsidRDefault="007F1199" w:rsidP="007F1199">
      <w:pPr>
        <w:spacing w:after="0" w:line="480" w:lineRule="auto"/>
        <w:jc w:val="both"/>
        <w:rPr>
          <w:rFonts w:ascii="Times New Roman" w:eastAsia="Times New Roman" w:hAnsi="Times New Roman" w:cs="Times New Roman"/>
          <w:lang w:val="en-GB"/>
        </w:rPr>
      </w:pPr>
      <w:r w:rsidRPr="57C85B2A">
        <w:rPr>
          <w:rFonts w:ascii="Times New Roman" w:eastAsia="Times New Roman" w:hAnsi="Times New Roman" w:cs="Times New Roman"/>
          <w:lang w:val="en-GB"/>
        </w:rPr>
        <w:t xml:space="preserve">Table A.6 Classification report over the n 100 runs for the </w:t>
      </w:r>
      <w:r w:rsidRPr="57C85B2A" w:rsidDel="57C85B2A">
        <w:rPr>
          <w:rFonts w:ascii="Times New Roman" w:eastAsia="Times New Roman" w:hAnsi="Times New Roman" w:cs="Times New Roman"/>
          <w:lang w:val="en-GB"/>
        </w:rPr>
        <w:t>3</w:t>
      </w:r>
      <w:r w:rsidRPr="57C85B2A">
        <w:rPr>
          <w:rFonts w:ascii="Times New Roman" w:eastAsia="Times New Roman" w:hAnsi="Times New Roman" w:cs="Times New Roman"/>
          <w:lang w:val="en-GB"/>
        </w:rPr>
        <w:t>-month interval.</w:t>
      </w:r>
    </w:p>
    <w:tbl>
      <w:tblPr>
        <w:tblW w:w="6370" w:type="dxa"/>
        <w:tblLook w:val="04A0" w:firstRow="1" w:lastRow="0" w:firstColumn="1" w:lastColumn="0" w:noHBand="0" w:noVBand="1"/>
      </w:tblPr>
      <w:tblGrid>
        <w:gridCol w:w="960"/>
        <w:gridCol w:w="1256"/>
        <w:gridCol w:w="960"/>
        <w:gridCol w:w="1266"/>
        <w:gridCol w:w="960"/>
        <w:gridCol w:w="1140"/>
      </w:tblGrid>
      <w:tr w:rsidR="007F1199" w:rsidRPr="00877E75" w14:paraId="18002D42" w14:textId="77777777" w:rsidTr="00600787">
        <w:trPr>
          <w:trHeight w:val="300"/>
        </w:trPr>
        <w:tc>
          <w:tcPr>
            <w:tcW w:w="960" w:type="dxa"/>
            <w:tcBorders>
              <w:top w:val="nil"/>
              <w:left w:val="nil"/>
              <w:bottom w:val="nil"/>
              <w:right w:val="nil"/>
            </w:tcBorders>
            <w:shd w:val="clear" w:color="000000" w:fill="FFFFFF"/>
            <w:noWrap/>
            <w:vAlign w:val="bottom"/>
            <w:hideMark/>
          </w:tcPr>
          <w:p w14:paraId="3A1B857B"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c>
          <w:tcPr>
            <w:tcW w:w="1168" w:type="dxa"/>
            <w:tcBorders>
              <w:top w:val="nil"/>
              <w:left w:val="nil"/>
              <w:bottom w:val="nil"/>
              <w:right w:val="nil"/>
            </w:tcBorders>
            <w:shd w:val="clear" w:color="000000" w:fill="FFFFFF"/>
            <w:noWrap/>
            <w:vAlign w:val="bottom"/>
            <w:hideMark/>
          </w:tcPr>
          <w:p w14:paraId="4CDC81FF"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c>
          <w:tcPr>
            <w:tcW w:w="960" w:type="dxa"/>
            <w:tcBorders>
              <w:top w:val="nil"/>
              <w:left w:val="nil"/>
              <w:bottom w:val="nil"/>
              <w:right w:val="nil"/>
            </w:tcBorders>
            <w:shd w:val="clear" w:color="000000" w:fill="FFFFFF"/>
            <w:noWrap/>
            <w:vAlign w:val="bottom"/>
            <w:hideMark/>
          </w:tcPr>
          <w:p w14:paraId="4273E3F6"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c>
          <w:tcPr>
            <w:tcW w:w="1182" w:type="dxa"/>
            <w:tcBorders>
              <w:top w:val="nil"/>
              <w:left w:val="nil"/>
              <w:bottom w:val="nil"/>
              <w:right w:val="nil"/>
            </w:tcBorders>
            <w:shd w:val="clear" w:color="000000" w:fill="FFFFFF"/>
            <w:noWrap/>
            <w:vAlign w:val="bottom"/>
            <w:hideMark/>
          </w:tcPr>
          <w:p w14:paraId="72FD236A"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c>
          <w:tcPr>
            <w:tcW w:w="960" w:type="dxa"/>
            <w:tcBorders>
              <w:top w:val="nil"/>
              <w:left w:val="nil"/>
              <w:bottom w:val="nil"/>
              <w:right w:val="nil"/>
            </w:tcBorders>
            <w:shd w:val="clear" w:color="000000" w:fill="FFFFFF"/>
            <w:noWrap/>
            <w:vAlign w:val="bottom"/>
            <w:hideMark/>
          </w:tcPr>
          <w:p w14:paraId="74448B8C"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c>
          <w:tcPr>
            <w:tcW w:w="1140" w:type="dxa"/>
            <w:tcBorders>
              <w:top w:val="nil"/>
              <w:left w:val="nil"/>
              <w:bottom w:val="nil"/>
              <w:right w:val="nil"/>
            </w:tcBorders>
            <w:shd w:val="clear" w:color="000000" w:fill="FFFFFF"/>
            <w:noWrap/>
            <w:vAlign w:val="bottom"/>
            <w:hideMark/>
          </w:tcPr>
          <w:p w14:paraId="04AA6563"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r>
      <w:tr w:rsidR="007F1199" w:rsidRPr="00877E75" w14:paraId="1AB6F536" w14:textId="77777777" w:rsidTr="00600787">
        <w:trPr>
          <w:trHeight w:val="480"/>
        </w:trPr>
        <w:tc>
          <w:tcPr>
            <w:tcW w:w="960" w:type="dxa"/>
            <w:tcBorders>
              <w:top w:val="single" w:sz="4" w:space="0" w:color="auto"/>
              <w:left w:val="nil"/>
              <w:bottom w:val="single" w:sz="4" w:space="0" w:color="auto"/>
              <w:right w:val="nil"/>
            </w:tcBorders>
            <w:shd w:val="clear" w:color="000000" w:fill="FFFFFF"/>
            <w:noWrap/>
            <w:vAlign w:val="bottom"/>
            <w:hideMark/>
          </w:tcPr>
          <w:p w14:paraId="59D4E97C"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c>
          <w:tcPr>
            <w:tcW w:w="1168" w:type="dxa"/>
            <w:tcBorders>
              <w:top w:val="single" w:sz="4" w:space="0" w:color="auto"/>
              <w:left w:val="nil"/>
              <w:bottom w:val="single" w:sz="4" w:space="0" w:color="auto"/>
              <w:right w:val="nil"/>
            </w:tcBorders>
            <w:shd w:val="clear" w:color="000000" w:fill="FFFFFF"/>
            <w:vAlign w:val="center"/>
            <w:hideMark/>
          </w:tcPr>
          <w:p w14:paraId="580E0FD7"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Deterioration</w:t>
            </w:r>
          </w:p>
        </w:tc>
        <w:tc>
          <w:tcPr>
            <w:tcW w:w="960" w:type="dxa"/>
            <w:tcBorders>
              <w:top w:val="single" w:sz="4" w:space="0" w:color="auto"/>
              <w:left w:val="nil"/>
              <w:bottom w:val="single" w:sz="4" w:space="0" w:color="auto"/>
              <w:right w:val="nil"/>
            </w:tcBorders>
            <w:shd w:val="clear" w:color="000000" w:fill="FFFFFF"/>
            <w:vAlign w:val="center"/>
            <w:hideMark/>
          </w:tcPr>
          <w:p w14:paraId="2E82841F"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No Change</w:t>
            </w:r>
          </w:p>
        </w:tc>
        <w:tc>
          <w:tcPr>
            <w:tcW w:w="1182" w:type="dxa"/>
            <w:tcBorders>
              <w:top w:val="single" w:sz="4" w:space="0" w:color="auto"/>
              <w:left w:val="nil"/>
              <w:bottom w:val="single" w:sz="4" w:space="0" w:color="auto"/>
              <w:right w:val="nil"/>
            </w:tcBorders>
            <w:shd w:val="clear" w:color="000000" w:fill="FFFFFF"/>
            <w:vAlign w:val="center"/>
            <w:hideMark/>
          </w:tcPr>
          <w:p w14:paraId="60136B02"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Improvement</w:t>
            </w:r>
          </w:p>
        </w:tc>
        <w:tc>
          <w:tcPr>
            <w:tcW w:w="960" w:type="dxa"/>
            <w:tcBorders>
              <w:top w:val="single" w:sz="4" w:space="0" w:color="auto"/>
              <w:left w:val="nil"/>
              <w:bottom w:val="single" w:sz="4" w:space="0" w:color="auto"/>
              <w:right w:val="nil"/>
            </w:tcBorders>
            <w:shd w:val="clear" w:color="000000" w:fill="FFFFFF"/>
            <w:vAlign w:val="center"/>
            <w:hideMark/>
          </w:tcPr>
          <w:p w14:paraId="63FD0C15"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 xml:space="preserve"> Overall Accuracy</w:t>
            </w:r>
          </w:p>
        </w:tc>
        <w:tc>
          <w:tcPr>
            <w:tcW w:w="1140" w:type="dxa"/>
            <w:tcBorders>
              <w:top w:val="single" w:sz="4" w:space="0" w:color="auto"/>
              <w:left w:val="nil"/>
              <w:bottom w:val="single" w:sz="4" w:space="0" w:color="auto"/>
              <w:right w:val="nil"/>
            </w:tcBorders>
            <w:shd w:val="clear" w:color="000000" w:fill="FFFFFF"/>
            <w:vAlign w:val="center"/>
            <w:hideMark/>
          </w:tcPr>
          <w:p w14:paraId="7DC57218"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Macro Average</w:t>
            </w:r>
          </w:p>
        </w:tc>
      </w:tr>
      <w:tr w:rsidR="007F1199" w:rsidRPr="00877E75" w14:paraId="0874245D" w14:textId="77777777" w:rsidTr="00600787">
        <w:trPr>
          <w:trHeight w:val="300"/>
        </w:trPr>
        <w:tc>
          <w:tcPr>
            <w:tcW w:w="960" w:type="dxa"/>
            <w:tcBorders>
              <w:top w:val="nil"/>
              <w:left w:val="nil"/>
              <w:bottom w:val="nil"/>
              <w:right w:val="nil"/>
            </w:tcBorders>
            <w:shd w:val="clear" w:color="000000" w:fill="FFFFFF"/>
            <w:vAlign w:val="center"/>
            <w:hideMark/>
          </w:tcPr>
          <w:p w14:paraId="77E9E112"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f1-score</w:t>
            </w:r>
          </w:p>
        </w:tc>
        <w:tc>
          <w:tcPr>
            <w:tcW w:w="1168" w:type="dxa"/>
            <w:tcBorders>
              <w:top w:val="nil"/>
              <w:left w:val="nil"/>
              <w:bottom w:val="nil"/>
              <w:right w:val="nil"/>
            </w:tcBorders>
            <w:shd w:val="clear" w:color="000000" w:fill="FFFFFF"/>
            <w:vAlign w:val="center"/>
            <w:hideMark/>
          </w:tcPr>
          <w:p w14:paraId="626C622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0.32</w:t>
            </w:r>
          </w:p>
        </w:tc>
        <w:tc>
          <w:tcPr>
            <w:tcW w:w="960" w:type="dxa"/>
            <w:tcBorders>
              <w:top w:val="nil"/>
              <w:left w:val="nil"/>
              <w:bottom w:val="nil"/>
              <w:right w:val="nil"/>
            </w:tcBorders>
            <w:shd w:val="clear" w:color="000000" w:fill="FFFFFF"/>
            <w:vAlign w:val="center"/>
            <w:hideMark/>
          </w:tcPr>
          <w:p w14:paraId="72FF5540"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0.75</w:t>
            </w:r>
          </w:p>
        </w:tc>
        <w:tc>
          <w:tcPr>
            <w:tcW w:w="1182" w:type="dxa"/>
            <w:tcBorders>
              <w:top w:val="nil"/>
              <w:left w:val="nil"/>
              <w:bottom w:val="nil"/>
              <w:right w:val="nil"/>
            </w:tcBorders>
            <w:shd w:val="clear" w:color="000000" w:fill="FFFFFF"/>
            <w:vAlign w:val="center"/>
            <w:hideMark/>
          </w:tcPr>
          <w:p w14:paraId="4876709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0.47</w:t>
            </w:r>
          </w:p>
        </w:tc>
        <w:tc>
          <w:tcPr>
            <w:tcW w:w="960" w:type="dxa"/>
            <w:tcBorders>
              <w:top w:val="nil"/>
              <w:left w:val="nil"/>
              <w:bottom w:val="nil"/>
              <w:right w:val="nil"/>
            </w:tcBorders>
            <w:shd w:val="clear" w:color="000000" w:fill="FFFFFF"/>
            <w:vAlign w:val="center"/>
            <w:hideMark/>
          </w:tcPr>
          <w:p w14:paraId="02C9F98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w:t>
            </w:r>
          </w:p>
        </w:tc>
        <w:tc>
          <w:tcPr>
            <w:tcW w:w="1140" w:type="dxa"/>
            <w:tcBorders>
              <w:top w:val="nil"/>
              <w:left w:val="nil"/>
              <w:bottom w:val="nil"/>
              <w:right w:val="nil"/>
            </w:tcBorders>
            <w:shd w:val="clear" w:color="000000" w:fill="FFFFFF"/>
            <w:vAlign w:val="center"/>
            <w:hideMark/>
          </w:tcPr>
          <w:p w14:paraId="1977152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0.51</w:t>
            </w:r>
          </w:p>
        </w:tc>
      </w:tr>
      <w:tr w:rsidR="007F1199" w:rsidRPr="00877E75" w14:paraId="47FB554A" w14:textId="77777777" w:rsidTr="00600787">
        <w:trPr>
          <w:trHeight w:val="300"/>
        </w:trPr>
        <w:tc>
          <w:tcPr>
            <w:tcW w:w="960" w:type="dxa"/>
            <w:tcBorders>
              <w:top w:val="nil"/>
              <w:left w:val="nil"/>
              <w:bottom w:val="nil"/>
              <w:right w:val="nil"/>
            </w:tcBorders>
            <w:shd w:val="clear" w:color="000000" w:fill="FFFFFF"/>
            <w:vAlign w:val="center"/>
            <w:hideMark/>
          </w:tcPr>
          <w:p w14:paraId="6AA3B310"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precision</w:t>
            </w:r>
          </w:p>
        </w:tc>
        <w:tc>
          <w:tcPr>
            <w:tcW w:w="1168" w:type="dxa"/>
            <w:tcBorders>
              <w:top w:val="nil"/>
              <w:left w:val="nil"/>
              <w:bottom w:val="nil"/>
              <w:right w:val="nil"/>
            </w:tcBorders>
            <w:shd w:val="clear" w:color="000000" w:fill="FFFFFF"/>
            <w:vAlign w:val="center"/>
            <w:hideMark/>
          </w:tcPr>
          <w:p w14:paraId="25195E42"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0.23</w:t>
            </w:r>
          </w:p>
        </w:tc>
        <w:tc>
          <w:tcPr>
            <w:tcW w:w="960" w:type="dxa"/>
            <w:tcBorders>
              <w:top w:val="nil"/>
              <w:left w:val="nil"/>
              <w:bottom w:val="nil"/>
              <w:right w:val="nil"/>
            </w:tcBorders>
            <w:shd w:val="clear" w:color="000000" w:fill="FFFFFF"/>
            <w:vAlign w:val="center"/>
            <w:hideMark/>
          </w:tcPr>
          <w:p w14:paraId="5941BD9A"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0.91</w:t>
            </w:r>
          </w:p>
        </w:tc>
        <w:tc>
          <w:tcPr>
            <w:tcW w:w="1182" w:type="dxa"/>
            <w:tcBorders>
              <w:top w:val="nil"/>
              <w:left w:val="nil"/>
              <w:bottom w:val="nil"/>
              <w:right w:val="nil"/>
            </w:tcBorders>
            <w:shd w:val="clear" w:color="000000" w:fill="FFFFFF"/>
            <w:vAlign w:val="center"/>
            <w:hideMark/>
          </w:tcPr>
          <w:p w14:paraId="4A139C8E"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0.35</w:t>
            </w:r>
          </w:p>
        </w:tc>
        <w:tc>
          <w:tcPr>
            <w:tcW w:w="960" w:type="dxa"/>
            <w:tcBorders>
              <w:top w:val="nil"/>
              <w:left w:val="nil"/>
              <w:bottom w:val="nil"/>
              <w:right w:val="nil"/>
            </w:tcBorders>
            <w:shd w:val="clear" w:color="000000" w:fill="FFFFFF"/>
            <w:vAlign w:val="center"/>
            <w:hideMark/>
          </w:tcPr>
          <w:p w14:paraId="6D69C4BB"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w:t>
            </w:r>
          </w:p>
        </w:tc>
        <w:tc>
          <w:tcPr>
            <w:tcW w:w="1140" w:type="dxa"/>
            <w:tcBorders>
              <w:top w:val="nil"/>
              <w:left w:val="nil"/>
              <w:bottom w:val="nil"/>
              <w:right w:val="nil"/>
            </w:tcBorders>
            <w:shd w:val="clear" w:color="000000" w:fill="FFFFFF"/>
            <w:vAlign w:val="center"/>
            <w:hideMark/>
          </w:tcPr>
          <w:p w14:paraId="0DAD2F4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0.49</w:t>
            </w:r>
          </w:p>
        </w:tc>
      </w:tr>
      <w:tr w:rsidR="007F1199" w:rsidRPr="00877E75" w14:paraId="6DB60D98" w14:textId="77777777" w:rsidTr="00600787">
        <w:trPr>
          <w:trHeight w:val="300"/>
        </w:trPr>
        <w:tc>
          <w:tcPr>
            <w:tcW w:w="960" w:type="dxa"/>
            <w:tcBorders>
              <w:top w:val="nil"/>
              <w:left w:val="nil"/>
              <w:bottom w:val="nil"/>
              <w:right w:val="nil"/>
            </w:tcBorders>
            <w:shd w:val="clear" w:color="000000" w:fill="FFFFFF"/>
            <w:vAlign w:val="center"/>
            <w:hideMark/>
          </w:tcPr>
          <w:p w14:paraId="1003CEF4" w14:textId="77777777" w:rsidR="007F1199" w:rsidRPr="00075B71" w:rsidRDefault="007F1199" w:rsidP="00600787">
            <w:pPr>
              <w:spacing w:after="0" w:line="240" w:lineRule="auto"/>
              <w:jc w:val="both"/>
              <w:rPr>
                <w:rFonts w:ascii="Times New Roman" w:eastAsia="Times New Roman" w:hAnsi="Times New Roman" w:cs="Times New Roman"/>
                <w:b/>
                <w:sz w:val="18"/>
                <w:szCs w:val="18"/>
                <w:lang w:val="en-GB"/>
              </w:rPr>
            </w:pPr>
            <w:r w:rsidRPr="00075B71">
              <w:rPr>
                <w:rFonts w:ascii="Times New Roman" w:eastAsia="Times New Roman" w:hAnsi="Times New Roman" w:cs="Times New Roman"/>
                <w:b/>
                <w:sz w:val="18"/>
                <w:szCs w:val="18"/>
                <w:lang w:val="en-GB"/>
              </w:rPr>
              <w:t>recall</w:t>
            </w:r>
          </w:p>
        </w:tc>
        <w:tc>
          <w:tcPr>
            <w:tcW w:w="1168" w:type="dxa"/>
            <w:tcBorders>
              <w:top w:val="nil"/>
              <w:left w:val="nil"/>
              <w:bottom w:val="nil"/>
              <w:right w:val="nil"/>
            </w:tcBorders>
            <w:shd w:val="clear" w:color="000000" w:fill="FFFFFF"/>
            <w:vAlign w:val="center"/>
            <w:hideMark/>
          </w:tcPr>
          <w:p w14:paraId="7D271CA9"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0.56</w:t>
            </w:r>
          </w:p>
        </w:tc>
        <w:tc>
          <w:tcPr>
            <w:tcW w:w="960" w:type="dxa"/>
            <w:tcBorders>
              <w:top w:val="nil"/>
              <w:left w:val="nil"/>
              <w:bottom w:val="nil"/>
              <w:right w:val="nil"/>
            </w:tcBorders>
            <w:shd w:val="clear" w:color="000000" w:fill="FFFFFF"/>
            <w:vAlign w:val="center"/>
            <w:hideMark/>
          </w:tcPr>
          <w:p w14:paraId="60837E2C"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0.63</w:t>
            </w:r>
          </w:p>
        </w:tc>
        <w:tc>
          <w:tcPr>
            <w:tcW w:w="1182" w:type="dxa"/>
            <w:tcBorders>
              <w:top w:val="nil"/>
              <w:left w:val="nil"/>
              <w:bottom w:val="nil"/>
              <w:right w:val="nil"/>
            </w:tcBorders>
            <w:shd w:val="clear" w:color="000000" w:fill="FFFFFF"/>
            <w:vAlign w:val="center"/>
            <w:hideMark/>
          </w:tcPr>
          <w:p w14:paraId="2F8C44B6"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0.75</w:t>
            </w:r>
          </w:p>
        </w:tc>
        <w:tc>
          <w:tcPr>
            <w:tcW w:w="960" w:type="dxa"/>
            <w:tcBorders>
              <w:top w:val="nil"/>
              <w:left w:val="nil"/>
              <w:bottom w:val="nil"/>
              <w:right w:val="nil"/>
            </w:tcBorders>
            <w:shd w:val="clear" w:color="000000" w:fill="FFFFFF"/>
            <w:vAlign w:val="center"/>
            <w:hideMark/>
          </w:tcPr>
          <w:p w14:paraId="3334D515"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 </w:t>
            </w:r>
          </w:p>
        </w:tc>
        <w:tc>
          <w:tcPr>
            <w:tcW w:w="1140" w:type="dxa"/>
            <w:tcBorders>
              <w:top w:val="nil"/>
              <w:left w:val="nil"/>
              <w:bottom w:val="nil"/>
              <w:right w:val="nil"/>
            </w:tcBorders>
            <w:shd w:val="clear" w:color="000000" w:fill="FFFFFF"/>
            <w:vAlign w:val="center"/>
            <w:hideMark/>
          </w:tcPr>
          <w:p w14:paraId="0CDF4DBD"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0.65</w:t>
            </w:r>
          </w:p>
        </w:tc>
      </w:tr>
      <w:tr w:rsidR="007F1199" w:rsidRPr="00877E75" w14:paraId="15F260B7" w14:textId="77777777" w:rsidTr="00600787">
        <w:trPr>
          <w:trHeight w:val="300"/>
        </w:trPr>
        <w:tc>
          <w:tcPr>
            <w:tcW w:w="960" w:type="dxa"/>
            <w:tcBorders>
              <w:top w:val="nil"/>
              <w:left w:val="nil"/>
              <w:bottom w:val="single" w:sz="4" w:space="0" w:color="auto"/>
              <w:right w:val="nil"/>
            </w:tcBorders>
            <w:shd w:val="clear" w:color="auto" w:fill="auto"/>
            <w:noWrap/>
            <w:vAlign w:val="bottom"/>
            <w:hideMark/>
          </w:tcPr>
          <w:p w14:paraId="7C347A6C"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c>
          <w:tcPr>
            <w:tcW w:w="1168" w:type="dxa"/>
            <w:tcBorders>
              <w:top w:val="nil"/>
              <w:left w:val="nil"/>
              <w:bottom w:val="single" w:sz="4" w:space="0" w:color="auto"/>
              <w:right w:val="nil"/>
            </w:tcBorders>
            <w:shd w:val="clear" w:color="auto" w:fill="auto"/>
            <w:noWrap/>
            <w:vAlign w:val="bottom"/>
            <w:hideMark/>
          </w:tcPr>
          <w:p w14:paraId="04498B55"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c>
          <w:tcPr>
            <w:tcW w:w="960" w:type="dxa"/>
            <w:tcBorders>
              <w:top w:val="nil"/>
              <w:left w:val="nil"/>
              <w:bottom w:val="single" w:sz="4" w:space="0" w:color="auto"/>
              <w:right w:val="nil"/>
            </w:tcBorders>
            <w:shd w:val="clear" w:color="auto" w:fill="auto"/>
            <w:noWrap/>
            <w:vAlign w:val="bottom"/>
            <w:hideMark/>
          </w:tcPr>
          <w:p w14:paraId="1472E65E"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c>
          <w:tcPr>
            <w:tcW w:w="1182" w:type="dxa"/>
            <w:tcBorders>
              <w:top w:val="nil"/>
              <w:left w:val="nil"/>
              <w:bottom w:val="single" w:sz="4" w:space="0" w:color="auto"/>
              <w:right w:val="nil"/>
            </w:tcBorders>
            <w:shd w:val="clear" w:color="auto" w:fill="auto"/>
            <w:noWrap/>
            <w:vAlign w:val="bottom"/>
            <w:hideMark/>
          </w:tcPr>
          <w:p w14:paraId="16FC5741"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c>
          <w:tcPr>
            <w:tcW w:w="960" w:type="dxa"/>
            <w:tcBorders>
              <w:top w:val="nil"/>
              <w:left w:val="nil"/>
              <w:bottom w:val="single" w:sz="4" w:space="0" w:color="auto"/>
              <w:right w:val="nil"/>
            </w:tcBorders>
            <w:shd w:val="clear" w:color="000000" w:fill="FFFFFF"/>
            <w:vAlign w:val="center"/>
            <w:hideMark/>
          </w:tcPr>
          <w:p w14:paraId="69AC0771" w14:textId="77777777" w:rsidR="007F1199" w:rsidRPr="00075B71" w:rsidRDefault="007F1199" w:rsidP="00600787">
            <w:pPr>
              <w:spacing w:after="0" w:line="240" w:lineRule="auto"/>
              <w:jc w:val="both"/>
              <w:rPr>
                <w:rFonts w:ascii="Times New Roman" w:eastAsia="Times New Roman" w:hAnsi="Times New Roman" w:cs="Times New Roman"/>
                <w:sz w:val="18"/>
                <w:szCs w:val="18"/>
                <w:lang w:val="en-GB"/>
              </w:rPr>
            </w:pPr>
            <w:r w:rsidRPr="00075B71">
              <w:rPr>
                <w:rFonts w:ascii="Times New Roman" w:eastAsia="Times New Roman" w:hAnsi="Times New Roman" w:cs="Times New Roman"/>
                <w:sz w:val="18"/>
                <w:szCs w:val="18"/>
                <w:lang w:val="en-GB"/>
              </w:rPr>
              <w:t>0.64</w:t>
            </w:r>
          </w:p>
        </w:tc>
        <w:tc>
          <w:tcPr>
            <w:tcW w:w="1140" w:type="dxa"/>
            <w:tcBorders>
              <w:top w:val="nil"/>
              <w:left w:val="nil"/>
              <w:bottom w:val="single" w:sz="4" w:space="0" w:color="auto"/>
              <w:right w:val="nil"/>
            </w:tcBorders>
            <w:shd w:val="clear" w:color="auto" w:fill="auto"/>
            <w:noWrap/>
            <w:vAlign w:val="bottom"/>
            <w:hideMark/>
          </w:tcPr>
          <w:p w14:paraId="07A6680D" w14:textId="77777777" w:rsidR="007F1199" w:rsidRPr="00075B71" w:rsidRDefault="007F1199" w:rsidP="00600787">
            <w:pPr>
              <w:spacing w:after="0" w:line="240" w:lineRule="auto"/>
              <w:jc w:val="both"/>
              <w:rPr>
                <w:rFonts w:ascii="Times New Roman" w:eastAsia="Times New Roman" w:hAnsi="Times New Roman" w:cs="Times New Roman"/>
                <w:lang w:val="en-GB"/>
              </w:rPr>
            </w:pPr>
            <w:r w:rsidRPr="00075B71">
              <w:rPr>
                <w:rFonts w:ascii="Times New Roman" w:eastAsia="Times New Roman" w:hAnsi="Times New Roman" w:cs="Times New Roman"/>
                <w:lang w:val="en-GB"/>
              </w:rPr>
              <w:t> </w:t>
            </w:r>
          </w:p>
        </w:tc>
      </w:tr>
    </w:tbl>
    <w:p w14:paraId="0E75037B" w14:textId="77777777" w:rsidR="007F1199" w:rsidRDefault="007F1199" w:rsidP="007F1199">
      <w:pPr>
        <w:widowControl w:val="0"/>
        <w:spacing w:after="0" w:line="480" w:lineRule="auto"/>
        <w:jc w:val="both"/>
        <w:rPr>
          <w:rStyle w:val="CommentReference"/>
          <w:lang w:val="en-GB"/>
        </w:rPr>
      </w:pPr>
    </w:p>
    <w:p w14:paraId="52BDF1DB" w14:textId="77777777" w:rsidR="00DA1E92" w:rsidRDefault="00DA1E92" w:rsidP="007F1199">
      <w:pPr>
        <w:widowControl w:val="0"/>
        <w:spacing w:after="0" w:line="480" w:lineRule="auto"/>
        <w:jc w:val="both"/>
        <w:rPr>
          <w:rStyle w:val="CommentReference"/>
          <w:lang w:val="en-GB"/>
        </w:rPr>
      </w:pPr>
    </w:p>
    <w:p w14:paraId="5BF43C84" w14:textId="77777777" w:rsidR="00DA1E92" w:rsidRDefault="00DA1E92" w:rsidP="007F1199">
      <w:pPr>
        <w:widowControl w:val="0"/>
        <w:spacing w:after="0" w:line="480" w:lineRule="auto"/>
        <w:jc w:val="both"/>
        <w:rPr>
          <w:rStyle w:val="CommentReference"/>
          <w:lang w:val="en-GB"/>
        </w:rPr>
      </w:pPr>
    </w:p>
    <w:p w14:paraId="43C28B9D" w14:textId="77777777" w:rsidR="00DA1E92" w:rsidRDefault="00DA1E92" w:rsidP="007F1199">
      <w:pPr>
        <w:widowControl w:val="0"/>
        <w:spacing w:after="0" w:line="480" w:lineRule="auto"/>
        <w:jc w:val="both"/>
        <w:rPr>
          <w:rStyle w:val="CommentReference"/>
          <w:lang w:val="en-GB"/>
        </w:rPr>
      </w:pPr>
    </w:p>
    <w:p w14:paraId="37EF5E03" w14:textId="77777777" w:rsidR="00DA1E92" w:rsidRDefault="00DA1E92" w:rsidP="00DA1E92">
      <w:pPr>
        <w:pStyle w:val="Heading2"/>
        <w:shd w:val="clear" w:color="auto" w:fill="FFFFFF"/>
        <w:rPr>
          <w:color w:val="222222"/>
        </w:rPr>
      </w:pPr>
      <w:r>
        <w:rPr>
          <w:color w:val="222222"/>
        </w:rPr>
        <w:lastRenderedPageBreak/>
        <w:t>References</w:t>
      </w:r>
    </w:p>
    <w:p w14:paraId="2B7BFEF7" w14:textId="77777777" w:rsidR="00DA1E92" w:rsidRDefault="00DA1E92" w:rsidP="00DA1E92"/>
    <w:p w14:paraId="4EF114BC" w14:textId="61C13CD5" w:rsidR="00DA1E92" w:rsidRDefault="00DA1E92" w:rsidP="00DA1E92">
      <w:r w:rsidRPr="00DA1E92">
        <w:t xml:space="preserve">Adler, R.F., Huffman, G.J., Chang, A., Ferraro, R., </w:t>
      </w:r>
      <w:proofErr w:type="spellStart"/>
      <w:r w:rsidRPr="00DA1E92">
        <w:t>Xie</w:t>
      </w:r>
      <w:proofErr w:type="spellEnd"/>
      <w:r w:rsidRPr="00DA1E92">
        <w:t xml:space="preserve">, P.-P., </w:t>
      </w:r>
      <w:proofErr w:type="spellStart"/>
      <w:r w:rsidRPr="00DA1E92">
        <w:t>Janowiak</w:t>
      </w:r>
      <w:proofErr w:type="spellEnd"/>
      <w:r w:rsidRPr="00DA1E92">
        <w:t xml:space="preserve">, J., Rudolf, B., Schneider, U., Curtis, S., </w:t>
      </w:r>
      <w:proofErr w:type="spellStart"/>
      <w:r w:rsidRPr="00DA1E92">
        <w:t>Bolvin</w:t>
      </w:r>
      <w:proofErr w:type="spellEnd"/>
      <w:r w:rsidRPr="00DA1E92">
        <w:t xml:space="preserve">, D., Gruber, A., Susskind, J., Arkin, P., </w:t>
      </w:r>
      <w:proofErr w:type="spellStart"/>
      <w:r w:rsidRPr="00DA1E92">
        <w:t>Nelkin</w:t>
      </w:r>
      <w:proofErr w:type="spellEnd"/>
      <w:r w:rsidRPr="00DA1E92">
        <w:t xml:space="preserve">, E., 2003. The Version-2 Global Precipitation Climatology Project (GPCP) Monthly Precipitation Analysis (1979–Present). J. </w:t>
      </w:r>
      <w:proofErr w:type="spellStart"/>
      <w:r w:rsidRPr="00DA1E92">
        <w:t>Hydrometeorol</w:t>
      </w:r>
      <w:proofErr w:type="spellEnd"/>
      <w:r w:rsidRPr="00DA1E92">
        <w:t>. 4, 1147–1167. doi:10.1175/1525-7541(2003)004</w:t>
      </w:r>
      <w:r>
        <w:t>&lt;</w:t>
      </w:r>
      <w:r w:rsidRPr="00DA1E92">
        <w:t>1147:TVGPCP</w:t>
      </w:r>
      <w:r>
        <w:t>&gt;</w:t>
      </w:r>
      <w:r w:rsidRPr="00DA1E92">
        <w:t>2.0.CO;2</w:t>
      </w:r>
      <w:r>
        <w:t>.</w:t>
      </w:r>
    </w:p>
    <w:p w14:paraId="3D9D9746" w14:textId="14CFD6C4" w:rsidR="00DA1E92" w:rsidRDefault="00DA1E92" w:rsidP="00DA1E92">
      <w:proofErr w:type="spellStart"/>
      <w:r w:rsidRPr="00DA1E92">
        <w:t>Bolten</w:t>
      </w:r>
      <w:proofErr w:type="spellEnd"/>
      <w:r w:rsidRPr="00DA1E92">
        <w:t xml:space="preserve">, J.D., Crow, W.T., 2012. Improved prediction of quasi-global vegetation conditions using remotely-sensed surface soil moisture. </w:t>
      </w:r>
      <w:proofErr w:type="spellStart"/>
      <w:r w:rsidRPr="00DA1E92">
        <w:t>Geophys</w:t>
      </w:r>
      <w:proofErr w:type="spellEnd"/>
      <w:r w:rsidRPr="00DA1E92">
        <w:t>. Res. Lett. 39. doi:10.1029/2012GL053470</w:t>
      </w:r>
      <w:r>
        <w:t>.</w:t>
      </w:r>
    </w:p>
    <w:p w14:paraId="4E5B04B1" w14:textId="4B06452B" w:rsidR="00DA1E92" w:rsidRDefault="00DA1E92" w:rsidP="00DA1E92">
      <w:proofErr w:type="spellStart"/>
      <w:r w:rsidRPr="00DA1E92">
        <w:t>Bolten</w:t>
      </w:r>
      <w:proofErr w:type="spellEnd"/>
      <w:r w:rsidRPr="00DA1E92">
        <w:t>, J.D., Crow, W.T., Zhan, X., Jackson, T.J., Reynolds, C.A., 2010. Evaluating the Utility of Remotely Sensed Soil Moisture Retrievals for Operational Agricultural Drought Monitoring. IEEE J. Sel. Top. Appl. Earth Obs. Remote Sens. 3, 57–66. doi:10.1109/JSTARS.2009.2037163</w:t>
      </w:r>
      <w:r>
        <w:t>.</w:t>
      </w:r>
    </w:p>
    <w:p w14:paraId="7C00F00E" w14:textId="3448D31E" w:rsidR="00DA1E92" w:rsidRDefault="002639A4" w:rsidP="00DA1E92">
      <w:proofErr w:type="spellStart"/>
      <w:r w:rsidRPr="002639A4">
        <w:t>CatBoost</w:t>
      </w:r>
      <w:proofErr w:type="spellEnd"/>
      <w:r w:rsidRPr="002639A4">
        <w:t xml:space="preserve"> developers, 2021. </w:t>
      </w:r>
      <w:proofErr w:type="spellStart"/>
      <w:r w:rsidRPr="002639A4">
        <w:t>Catboost</w:t>
      </w:r>
      <w:proofErr w:type="spellEnd"/>
      <w:r w:rsidRPr="002639A4">
        <w:t xml:space="preserve"> Parameter-Tuning [WWW Document]. URL https://catboost.ai/docs/concepts/parameter-tuning.html (accessed 3.13.21).</w:t>
      </w:r>
    </w:p>
    <w:p w14:paraId="40BD0FDE" w14:textId="79399CA4" w:rsidR="002639A4" w:rsidRDefault="002639A4" w:rsidP="00DA1E92">
      <w:r w:rsidRPr="002639A4">
        <w:t>Center for International Earth Science Information Network, 2018. Gridded Population of the World, Version 4 (GPWv4): Population Density Adjusted to Match 2015 Revision UN WPP Country Totals, Revision 11.</w:t>
      </w:r>
    </w:p>
    <w:p w14:paraId="323B433A" w14:textId="4A8FDC28" w:rsidR="002639A4" w:rsidRDefault="002639A4" w:rsidP="00DA1E92">
      <w:r w:rsidRPr="002639A4">
        <w:t xml:space="preserve">Danielson, J.J., </w:t>
      </w:r>
      <w:proofErr w:type="spellStart"/>
      <w:r w:rsidRPr="002639A4">
        <w:t>Gesch</w:t>
      </w:r>
      <w:proofErr w:type="spellEnd"/>
      <w:r w:rsidRPr="002639A4">
        <w:t>, D.B., 2011. Global multi-resolution terrain elevation data 2010 (GMTED2010), Open-File Report. doi:10.3133/ofr20111073</w:t>
      </w:r>
      <w:r>
        <w:t>.</w:t>
      </w:r>
    </w:p>
    <w:p w14:paraId="0BFDBE3B" w14:textId="136798D5" w:rsidR="002639A4" w:rsidRDefault="002639A4" w:rsidP="00DA1E92">
      <w:r w:rsidRPr="002639A4">
        <w:t>Huffman, G., 2014. Algorithm Theoretical Basis Document (ATBD) version 4.4 for the NASA Global Precipitation Measurement (GPM) Integrated Multi-</w:t>
      </w:r>
      <w:proofErr w:type="spellStart"/>
      <w:r w:rsidRPr="002639A4">
        <w:t>satellitE</w:t>
      </w:r>
      <w:proofErr w:type="spellEnd"/>
      <w:r w:rsidRPr="002639A4">
        <w:t xml:space="preserve"> Retrievals for GPM (I-MERG). NASA 1–30.</w:t>
      </w:r>
    </w:p>
    <w:p w14:paraId="3A5116A0" w14:textId="5767512D" w:rsidR="002639A4" w:rsidRDefault="002639A4" w:rsidP="00DA1E92">
      <w:r w:rsidRPr="002639A4">
        <w:t xml:space="preserve">Huffman, G., Adler, R., Arkin, P., Chang, A., Ferraro, R., Gruber, A., </w:t>
      </w:r>
      <w:proofErr w:type="spellStart"/>
      <w:r w:rsidRPr="002639A4">
        <w:t>Janowiak</w:t>
      </w:r>
      <w:proofErr w:type="spellEnd"/>
      <w:r w:rsidRPr="002639A4">
        <w:t xml:space="preserve">, J., McNab, A., Rudolf, B., Schneider, U., 1997. The Global Precipitation Climatology Project (GPCP) Combined Precipitation Data Set. Bull. Am. </w:t>
      </w:r>
      <w:proofErr w:type="spellStart"/>
      <w:r w:rsidRPr="002639A4">
        <w:t>Meteorol</w:t>
      </w:r>
      <w:proofErr w:type="spellEnd"/>
      <w:r w:rsidRPr="002639A4">
        <w:t>. Soc. 78. doi:10.1175/1520-0477(1997)078</w:t>
      </w:r>
      <w:r>
        <w:t>&lt;</w:t>
      </w:r>
      <w:r w:rsidRPr="002639A4">
        <w:t>0005:TGPCPG</w:t>
      </w:r>
      <w:r>
        <w:t>&gt;</w:t>
      </w:r>
      <w:r w:rsidRPr="002639A4">
        <w:t>2.0.CO;2</w:t>
      </w:r>
      <w:r>
        <w:t>.</w:t>
      </w:r>
    </w:p>
    <w:p w14:paraId="31A21A78" w14:textId="6E1FC7AD" w:rsidR="002639A4" w:rsidRDefault="002639A4" w:rsidP="00DA1E92">
      <w:r w:rsidRPr="002639A4">
        <w:t xml:space="preserve">Huffman, G., </w:t>
      </w:r>
      <w:proofErr w:type="spellStart"/>
      <w:r w:rsidRPr="002639A4">
        <w:t>Bolvin</w:t>
      </w:r>
      <w:proofErr w:type="spellEnd"/>
      <w:r w:rsidRPr="002639A4">
        <w:t xml:space="preserve">, D., </w:t>
      </w:r>
      <w:proofErr w:type="spellStart"/>
      <w:r w:rsidRPr="002639A4">
        <w:t>Nelkin</w:t>
      </w:r>
      <w:proofErr w:type="spellEnd"/>
      <w:r w:rsidRPr="002639A4">
        <w:t xml:space="preserve">, E., Wolff, D., Adler, R., Gu, G., Hong, Y., Bowman, K.P., Stocker, E., 2007. The TRMM </w:t>
      </w:r>
      <w:proofErr w:type="spellStart"/>
      <w:r w:rsidRPr="002639A4">
        <w:t>Multisatellite</w:t>
      </w:r>
      <w:proofErr w:type="spellEnd"/>
      <w:r w:rsidRPr="002639A4">
        <w:t xml:space="preserve"> Precipitation Analysis (TMPA): Quasi-Global, Multiyear, Combined-Sensor Precipitation Estimates at Fine Scales. J. </w:t>
      </w:r>
      <w:proofErr w:type="spellStart"/>
      <w:r w:rsidRPr="002639A4">
        <w:t>Hydrometeorol</w:t>
      </w:r>
      <w:proofErr w:type="spellEnd"/>
      <w:r w:rsidRPr="002639A4">
        <w:t>. 8, 38–55.</w:t>
      </w:r>
    </w:p>
    <w:p w14:paraId="543C3BDF" w14:textId="2B28EBDD" w:rsidR="002639A4" w:rsidRDefault="002639A4" w:rsidP="00DA1E92">
      <w:r w:rsidRPr="002639A4">
        <w:t xml:space="preserve">Huffman, G.J., 1997. Estimates of Root-Mean-Square Random Error for Finite Samples of Estimated Precipitation. J. Appl. </w:t>
      </w:r>
      <w:proofErr w:type="spellStart"/>
      <w:r w:rsidRPr="002639A4">
        <w:t>Meteorol</w:t>
      </w:r>
      <w:proofErr w:type="spellEnd"/>
      <w:r w:rsidRPr="002639A4">
        <w:t>. 36, 1191–1201. doi:10.1175/1520-0450(1997)036</w:t>
      </w:r>
      <w:r>
        <w:t>&lt;</w:t>
      </w:r>
      <w:r w:rsidRPr="002639A4">
        <w:t>1191:EORMSR</w:t>
      </w:r>
      <w:r>
        <w:t>&gt;</w:t>
      </w:r>
      <w:r w:rsidRPr="002639A4">
        <w:t>2.0.CO;2</w:t>
      </w:r>
      <w:r>
        <w:t>.</w:t>
      </w:r>
    </w:p>
    <w:p w14:paraId="5BED418B" w14:textId="2766B4D5" w:rsidR="002639A4" w:rsidRDefault="002639A4" w:rsidP="00DA1E92">
      <w:r w:rsidRPr="002639A4">
        <w:t xml:space="preserve">Huffman, G.J., Adler, R.F., Rudolf, B., Schneider, U., Keehn, P.R., 1995. Global Precipitation Estimates Based on a Technique for Combining Satellite-Based Estimates, Rain Gauge Analysis, and NWP Model Precipitation Information. J. </w:t>
      </w:r>
      <w:proofErr w:type="spellStart"/>
      <w:r w:rsidRPr="002639A4">
        <w:t>Clim</w:t>
      </w:r>
      <w:proofErr w:type="spellEnd"/>
      <w:r w:rsidRPr="002639A4">
        <w:t>. 8, 1284–1295.</w:t>
      </w:r>
    </w:p>
    <w:p w14:paraId="2A34058E" w14:textId="4CF1BBC1" w:rsidR="002639A4" w:rsidRDefault="002639A4" w:rsidP="00DA1E92">
      <w:r w:rsidRPr="002639A4">
        <w:t xml:space="preserve">Huffman, G.J., Adler, R.F., Morrissey, M.M., </w:t>
      </w:r>
      <w:proofErr w:type="spellStart"/>
      <w:r w:rsidRPr="002639A4">
        <w:t>Bolvin</w:t>
      </w:r>
      <w:proofErr w:type="spellEnd"/>
      <w:r w:rsidRPr="002639A4">
        <w:t xml:space="preserve">, D.T., Curtis, S., Joyce, R., McGavock, B., Susskind, J., 2001. Global Precipitation at One-Degree Daily Resolution from </w:t>
      </w:r>
      <w:proofErr w:type="spellStart"/>
      <w:r w:rsidRPr="002639A4">
        <w:t>Multisatellite</w:t>
      </w:r>
      <w:proofErr w:type="spellEnd"/>
      <w:r w:rsidRPr="002639A4">
        <w:t xml:space="preserve"> Observations. J. </w:t>
      </w:r>
      <w:proofErr w:type="spellStart"/>
      <w:r w:rsidRPr="002639A4">
        <w:t>Hydrometeorol</w:t>
      </w:r>
      <w:proofErr w:type="spellEnd"/>
      <w:r w:rsidRPr="002639A4">
        <w:t>. 2, 36–50. doi:10.1175/1525-7541(2001)002</w:t>
      </w:r>
      <w:r>
        <w:t>&lt;</w:t>
      </w:r>
      <w:r w:rsidRPr="002639A4">
        <w:t>0036:GPAODD</w:t>
      </w:r>
      <w:r>
        <w:t>&gt;</w:t>
      </w:r>
      <w:r w:rsidRPr="002639A4">
        <w:t>2.0.CO;2</w:t>
      </w:r>
      <w:r>
        <w:t>.</w:t>
      </w:r>
    </w:p>
    <w:p w14:paraId="70BCA750" w14:textId="4A1719EC" w:rsidR="002639A4" w:rsidRDefault="002639A4" w:rsidP="00DA1E92">
      <w:r w:rsidRPr="002639A4">
        <w:t xml:space="preserve">Kerr, Y., Levine, D., 2008. Foreword to the Special Issue on the Soil Moisture and Ocean Salinity (SMOS) Mission. </w:t>
      </w:r>
      <w:proofErr w:type="spellStart"/>
      <w:r w:rsidRPr="002639A4">
        <w:t>Geosci</w:t>
      </w:r>
      <w:proofErr w:type="spellEnd"/>
      <w:r w:rsidRPr="002639A4">
        <w:t>. Remote Sensing, IEEE Trans. 46, 583–585. doi:10.1109/TGRS.2008.917807</w:t>
      </w:r>
      <w:r>
        <w:t>.</w:t>
      </w:r>
    </w:p>
    <w:p w14:paraId="595918BE" w14:textId="18EC314B" w:rsidR="002639A4" w:rsidRDefault="002639A4" w:rsidP="00DA1E92">
      <w:proofErr w:type="spellStart"/>
      <w:r w:rsidRPr="002639A4">
        <w:lastRenderedPageBreak/>
        <w:t>Mladenova</w:t>
      </w:r>
      <w:proofErr w:type="spellEnd"/>
      <w:r w:rsidRPr="002639A4">
        <w:t xml:space="preserve">, I.E., </w:t>
      </w:r>
      <w:proofErr w:type="spellStart"/>
      <w:r w:rsidRPr="002639A4">
        <w:t>Bolten</w:t>
      </w:r>
      <w:proofErr w:type="spellEnd"/>
      <w:r w:rsidRPr="002639A4">
        <w:t>, J.D., Crow, W.T., Anderson, M.C., Hain, C.R., Johnson, D.M., Mueller, R., 2017. Intercomparison of Soil Moisture, Evaporative Stress, and Vegetation Indices for Estimating Corn and Soybean Yields Over the U.S. IEEE J. Sel. Top. Appl. Earth Obs. Remote Sens. 10, 1328–1343.</w:t>
      </w:r>
    </w:p>
    <w:p w14:paraId="382BD7CC" w14:textId="54EF68B7" w:rsidR="002639A4" w:rsidRDefault="002639A4" w:rsidP="00DA1E92">
      <w:proofErr w:type="spellStart"/>
      <w:r w:rsidRPr="002639A4">
        <w:t>Sazib</w:t>
      </w:r>
      <w:proofErr w:type="spellEnd"/>
      <w:r w:rsidRPr="002639A4">
        <w:t xml:space="preserve">, N., </w:t>
      </w:r>
      <w:proofErr w:type="spellStart"/>
      <w:r w:rsidRPr="002639A4">
        <w:t>Mladenova</w:t>
      </w:r>
      <w:proofErr w:type="spellEnd"/>
      <w:r w:rsidRPr="002639A4">
        <w:t xml:space="preserve">, I., </w:t>
      </w:r>
      <w:proofErr w:type="spellStart"/>
      <w:r w:rsidRPr="002639A4">
        <w:t>Bolten</w:t>
      </w:r>
      <w:proofErr w:type="spellEnd"/>
      <w:r w:rsidRPr="002639A4">
        <w:t>, J., 2018. Leveraging Google Earth Engine for Drought Assessment using Global Soil Moisture Data. Remote Sens. 10. doi:10.3390/rs10081265</w:t>
      </w:r>
      <w:r>
        <w:t>.</w:t>
      </w:r>
    </w:p>
    <w:p w14:paraId="7F91150F" w14:textId="309C344B" w:rsidR="002639A4" w:rsidRDefault="002639A4" w:rsidP="00DA1E92">
      <w:proofErr w:type="spellStart"/>
      <w:r w:rsidRPr="002639A4">
        <w:t>Xgboost</w:t>
      </w:r>
      <w:proofErr w:type="spellEnd"/>
      <w:r w:rsidRPr="002639A4">
        <w:t xml:space="preserve"> developers, 2019. Python API reference [WWW Document]. URL </w:t>
      </w:r>
      <w:hyperlink r:id="rId5" w:history="1">
        <w:r w:rsidRPr="00EA4BD3">
          <w:rPr>
            <w:rStyle w:val="Hyperlink"/>
          </w:rPr>
          <w:t>https://xgboost.readthedocs.io/en/latest/python/python</w:t>
        </w:r>
      </w:hyperlink>
      <w:r>
        <w:t xml:space="preserve"> </w:t>
      </w:r>
      <w:r w:rsidRPr="002639A4">
        <w:t>api.html</w:t>
      </w:r>
      <w:r>
        <w:t>.</w:t>
      </w:r>
    </w:p>
    <w:p w14:paraId="03A46626" w14:textId="77777777" w:rsidR="002639A4" w:rsidRDefault="002639A4" w:rsidP="00DA1E92"/>
    <w:p w14:paraId="1C148BCD" w14:textId="77777777" w:rsidR="002639A4" w:rsidRDefault="002639A4" w:rsidP="00DA1E92"/>
    <w:p w14:paraId="68D7FACA" w14:textId="77777777" w:rsidR="002639A4" w:rsidRPr="002639A4" w:rsidRDefault="002639A4" w:rsidP="00DA1E92"/>
    <w:p w14:paraId="4D47A081" w14:textId="77777777" w:rsidR="00DA1E92" w:rsidRPr="00DA1E92" w:rsidRDefault="00DA1E92" w:rsidP="00DA1E92"/>
    <w:p w14:paraId="1972E2F3" w14:textId="77777777" w:rsidR="00DA1E92" w:rsidRDefault="00DA1E92" w:rsidP="007F1199">
      <w:pPr>
        <w:widowControl w:val="0"/>
        <w:spacing w:after="0" w:line="480" w:lineRule="auto"/>
        <w:jc w:val="both"/>
        <w:rPr>
          <w:rStyle w:val="CommentReference"/>
          <w:lang w:val="en-GB"/>
        </w:rPr>
      </w:pPr>
    </w:p>
    <w:p w14:paraId="74F6648A" w14:textId="77777777" w:rsidR="00DA1E92" w:rsidRPr="00075B71" w:rsidRDefault="00DA1E92" w:rsidP="007F1199">
      <w:pPr>
        <w:widowControl w:val="0"/>
        <w:spacing w:after="0" w:line="480" w:lineRule="auto"/>
        <w:jc w:val="both"/>
        <w:rPr>
          <w:rStyle w:val="CommentReference"/>
          <w:lang w:val="en-GB"/>
        </w:rPr>
      </w:pPr>
    </w:p>
    <w:p w14:paraId="0365A41B" w14:textId="77777777" w:rsidR="002C38BD" w:rsidRDefault="002C38BD"/>
    <w:sectPr w:rsidR="002C3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AAD"/>
    <w:multiLevelType w:val="hybridMultilevel"/>
    <w:tmpl w:val="077C597C"/>
    <w:lvl w:ilvl="0" w:tplc="4DE0DA1C">
      <w:start w:val="1"/>
      <w:numFmt w:val="decimal"/>
      <w:lvlText w:val="%1."/>
      <w:lvlJc w:val="left"/>
      <w:pPr>
        <w:ind w:left="1080" w:hanging="360"/>
      </w:pPr>
    </w:lvl>
    <w:lvl w:ilvl="1" w:tplc="F34E834E">
      <w:start w:val="1"/>
      <w:numFmt w:val="lowerLetter"/>
      <w:lvlText w:val="%2."/>
      <w:lvlJc w:val="left"/>
      <w:pPr>
        <w:ind w:left="1800" w:hanging="360"/>
      </w:pPr>
    </w:lvl>
    <w:lvl w:ilvl="2" w:tplc="E61450E0">
      <w:start w:val="1"/>
      <w:numFmt w:val="lowerRoman"/>
      <w:lvlText w:val="%3."/>
      <w:lvlJc w:val="right"/>
      <w:pPr>
        <w:ind w:left="2520" w:hanging="180"/>
      </w:pPr>
    </w:lvl>
    <w:lvl w:ilvl="3" w:tplc="203A9294">
      <w:start w:val="1"/>
      <w:numFmt w:val="decimal"/>
      <w:lvlText w:val="%4."/>
      <w:lvlJc w:val="left"/>
      <w:pPr>
        <w:ind w:left="3240" w:hanging="360"/>
      </w:pPr>
    </w:lvl>
    <w:lvl w:ilvl="4" w:tplc="B1FA33A6">
      <w:start w:val="1"/>
      <w:numFmt w:val="lowerLetter"/>
      <w:lvlText w:val="%5."/>
      <w:lvlJc w:val="left"/>
      <w:pPr>
        <w:ind w:left="3960" w:hanging="360"/>
      </w:pPr>
    </w:lvl>
    <w:lvl w:ilvl="5" w:tplc="DD9E85CA">
      <w:start w:val="1"/>
      <w:numFmt w:val="lowerRoman"/>
      <w:lvlText w:val="%6."/>
      <w:lvlJc w:val="right"/>
      <w:pPr>
        <w:ind w:left="4680" w:hanging="180"/>
      </w:pPr>
    </w:lvl>
    <w:lvl w:ilvl="6" w:tplc="249CC60A">
      <w:start w:val="1"/>
      <w:numFmt w:val="decimal"/>
      <w:lvlText w:val="%7."/>
      <w:lvlJc w:val="left"/>
      <w:pPr>
        <w:ind w:left="5400" w:hanging="360"/>
      </w:pPr>
    </w:lvl>
    <w:lvl w:ilvl="7" w:tplc="2BB2A4B8">
      <w:start w:val="1"/>
      <w:numFmt w:val="lowerLetter"/>
      <w:lvlText w:val="%8."/>
      <w:lvlJc w:val="left"/>
      <w:pPr>
        <w:ind w:left="6120" w:hanging="360"/>
      </w:pPr>
    </w:lvl>
    <w:lvl w:ilvl="8" w:tplc="AFCCA988">
      <w:start w:val="1"/>
      <w:numFmt w:val="lowerRoman"/>
      <w:lvlText w:val="%9."/>
      <w:lvlJc w:val="right"/>
      <w:pPr>
        <w:ind w:left="6840" w:hanging="180"/>
      </w:pPr>
    </w:lvl>
  </w:abstractNum>
  <w:abstractNum w:abstractNumId="1" w15:restartNumberingAfterBreak="0">
    <w:nsid w:val="0B28367E"/>
    <w:multiLevelType w:val="hybridMultilevel"/>
    <w:tmpl w:val="8DF68A3A"/>
    <w:lvl w:ilvl="0" w:tplc="4844E14E">
      <w:start w:val="1"/>
      <w:numFmt w:val="decimal"/>
      <w:lvlText w:val="%1."/>
      <w:lvlJc w:val="left"/>
      <w:pPr>
        <w:ind w:left="720" w:hanging="360"/>
      </w:pPr>
    </w:lvl>
    <w:lvl w:ilvl="1" w:tplc="1F9E6E22">
      <w:start w:val="1"/>
      <w:numFmt w:val="lowerLetter"/>
      <w:lvlText w:val="%2."/>
      <w:lvlJc w:val="left"/>
      <w:pPr>
        <w:ind w:left="1440" w:hanging="360"/>
      </w:pPr>
    </w:lvl>
    <w:lvl w:ilvl="2" w:tplc="9578BD44">
      <w:start w:val="1"/>
      <w:numFmt w:val="lowerRoman"/>
      <w:lvlText w:val="%3."/>
      <w:lvlJc w:val="right"/>
      <w:pPr>
        <w:ind w:left="2160" w:hanging="180"/>
      </w:pPr>
    </w:lvl>
    <w:lvl w:ilvl="3" w:tplc="84564238">
      <w:start w:val="1"/>
      <w:numFmt w:val="decimal"/>
      <w:lvlText w:val="%4."/>
      <w:lvlJc w:val="left"/>
      <w:pPr>
        <w:ind w:left="2880" w:hanging="360"/>
      </w:pPr>
    </w:lvl>
    <w:lvl w:ilvl="4" w:tplc="E9002204">
      <w:start w:val="1"/>
      <w:numFmt w:val="lowerLetter"/>
      <w:lvlText w:val="%5."/>
      <w:lvlJc w:val="left"/>
      <w:pPr>
        <w:ind w:left="3600" w:hanging="360"/>
      </w:pPr>
    </w:lvl>
    <w:lvl w:ilvl="5" w:tplc="72128262">
      <w:start w:val="1"/>
      <w:numFmt w:val="lowerRoman"/>
      <w:lvlText w:val="%6."/>
      <w:lvlJc w:val="right"/>
      <w:pPr>
        <w:ind w:left="4320" w:hanging="180"/>
      </w:pPr>
    </w:lvl>
    <w:lvl w:ilvl="6" w:tplc="60EE1DA0">
      <w:start w:val="1"/>
      <w:numFmt w:val="decimal"/>
      <w:lvlText w:val="%7."/>
      <w:lvlJc w:val="left"/>
      <w:pPr>
        <w:ind w:left="5040" w:hanging="360"/>
      </w:pPr>
    </w:lvl>
    <w:lvl w:ilvl="7" w:tplc="00EA5F94">
      <w:start w:val="1"/>
      <w:numFmt w:val="lowerLetter"/>
      <w:lvlText w:val="%8."/>
      <w:lvlJc w:val="left"/>
      <w:pPr>
        <w:ind w:left="5760" w:hanging="360"/>
      </w:pPr>
    </w:lvl>
    <w:lvl w:ilvl="8" w:tplc="267E0B68">
      <w:start w:val="1"/>
      <w:numFmt w:val="lowerRoman"/>
      <w:lvlText w:val="%9."/>
      <w:lvlJc w:val="right"/>
      <w:pPr>
        <w:ind w:left="6480" w:hanging="180"/>
      </w:pPr>
    </w:lvl>
  </w:abstractNum>
  <w:abstractNum w:abstractNumId="2" w15:restartNumberingAfterBreak="0">
    <w:nsid w:val="161E3F8D"/>
    <w:multiLevelType w:val="hybridMultilevel"/>
    <w:tmpl w:val="6D70DE2A"/>
    <w:lvl w:ilvl="0" w:tplc="AC221FA0">
      <w:start w:val="1"/>
      <w:numFmt w:val="bullet"/>
      <w:lvlText w:val=""/>
      <w:lvlJc w:val="left"/>
      <w:pPr>
        <w:ind w:left="720" w:hanging="360"/>
      </w:pPr>
      <w:rPr>
        <w:rFonts w:ascii="Symbol" w:hAnsi="Symbol" w:hint="default"/>
      </w:rPr>
    </w:lvl>
    <w:lvl w:ilvl="1" w:tplc="88D02F68">
      <w:start w:val="1"/>
      <w:numFmt w:val="bullet"/>
      <w:lvlText w:val="o"/>
      <w:lvlJc w:val="left"/>
      <w:pPr>
        <w:ind w:left="1440" w:hanging="360"/>
      </w:pPr>
      <w:rPr>
        <w:rFonts w:ascii="Courier New" w:hAnsi="Courier New" w:hint="default"/>
      </w:rPr>
    </w:lvl>
    <w:lvl w:ilvl="2" w:tplc="2D70A154">
      <w:start w:val="1"/>
      <w:numFmt w:val="bullet"/>
      <w:lvlText w:val=""/>
      <w:lvlJc w:val="left"/>
      <w:pPr>
        <w:ind w:left="2160" w:hanging="360"/>
      </w:pPr>
      <w:rPr>
        <w:rFonts w:ascii="Wingdings" w:hAnsi="Wingdings" w:hint="default"/>
      </w:rPr>
    </w:lvl>
    <w:lvl w:ilvl="3" w:tplc="B8E6C438">
      <w:start w:val="1"/>
      <w:numFmt w:val="bullet"/>
      <w:lvlText w:val=""/>
      <w:lvlJc w:val="left"/>
      <w:pPr>
        <w:ind w:left="2880" w:hanging="360"/>
      </w:pPr>
      <w:rPr>
        <w:rFonts w:ascii="Symbol" w:hAnsi="Symbol" w:hint="default"/>
      </w:rPr>
    </w:lvl>
    <w:lvl w:ilvl="4" w:tplc="2E946132">
      <w:start w:val="1"/>
      <w:numFmt w:val="bullet"/>
      <w:lvlText w:val="o"/>
      <w:lvlJc w:val="left"/>
      <w:pPr>
        <w:ind w:left="3600" w:hanging="360"/>
      </w:pPr>
      <w:rPr>
        <w:rFonts w:ascii="Courier New" w:hAnsi="Courier New" w:hint="default"/>
      </w:rPr>
    </w:lvl>
    <w:lvl w:ilvl="5" w:tplc="1876BB2E">
      <w:start w:val="1"/>
      <w:numFmt w:val="bullet"/>
      <w:lvlText w:val=""/>
      <w:lvlJc w:val="left"/>
      <w:pPr>
        <w:ind w:left="4320" w:hanging="360"/>
      </w:pPr>
      <w:rPr>
        <w:rFonts w:ascii="Wingdings" w:hAnsi="Wingdings" w:hint="default"/>
      </w:rPr>
    </w:lvl>
    <w:lvl w:ilvl="6" w:tplc="68EA4C72">
      <w:start w:val="1"/>
      <w:numFmt w:val="bullet"/>
      <w:lvlText w:val=""/>
      <w:lvlJc w:val="left"/>
      <w:pPr>
        <w:ind w:left="5040" w:hanging="360"/>
      </w:pPr>
      <w:rPr>
        <w:rFonts w:ascii="Symbol" w:hAnsi="Symbol" w:hint="default"/>
      </w:rPr>
    </w:lvl>
    <w:lvl w:ilvl="7" w:tplc="396072F6">
      <w:start w:val="1"/>
      <w:numFmt w:val="bullet"/>
      <w:lvlText w:val="o"/>
      <w:lvlJc w:val="left"/>
      <w:pPr>
        <w:ind w:left="5760" w:hanging="360"/>
      </w:pPr>
      <w:rPr>
        <w:rFonts w:ascii="Courier New" w:hAnsi="Courier New" w:hint="default"/>
      </w:rPr>
    </w:lvl>
    <w:lvl w:ilvl="8" w:tplc="C492B6A8">
      <w:start w:val="1"/>
      <w:numFmt w:val="bullet"/>
      <w:lvlText w:val=""/>
      <w:lvlJc w:val="left"/>
      <w:pPr>
        <w:ind w:left="6480" w:hanging="360"/>
      </w:pPr>
      <w:rPr>
        <w:rFonts w:ascii="Wingdings" w:hAnsi="Wingdings" w:hint="default"/>
      </w:rPr>
    </w:lvl>
  </w:abstractNum>
  <w:abstractNum w:abstractNumId="3" w15:restartNumberingAfterBreak="0">
    <w:nsid w:val="163D46F1"/>
    <w:multiLevelType w:val="hybridMultilevel"/>
    <w:tmpl w:val="B44C6474"/>
    <w:lvl w:ilvl="0" w:tplc="47B6A666">
      <w:start w:val="1"/>
      <w:numFmt w:val="bullet"/>
      <w:lvlText w:val=""/>
      <w:lvlJc w:val="left"/>
      <w:pPr>
        <w:ind w:left="720" w:hanging="360"/>
      </w:pPr>
      <w:rPr>
        <w:rFonts w:ascii="Symbol" w:hAnsi="Symbol" w:hint="default"/>
      </w:rPr>
    </w:lvl>
    <w:lvl w:ilvl="1" w:tplc="38101322">
      <w:start w:val="1"/>
      <w:numFmt w:val="bullet"/>
      <w:lvlText w:val="o"/>
      <w:lvlJc w:val="left"/>
      <w:pPr>
        <w:ind w:left="1440" w:hanging="360"/>
      </w:pPr>
      <w:rPr>
        <w:rFonts w:ascii="Courier New" w:hAnsi="Courier New" w:hint="default"/>
      </w:rPr>
    </w:lvl>
    <w:lvl w:ilvl="2" w:tplc="835E0C20">
      <w:start w:val="1"/>
      <w:numFmt w:val="bullet"/>
      <w:lvlText w:val=""/>
      <w:lvlJc w:val="left"/>
      <w:pPr>
        <w:ind w:left="2160" w:hanging="360"/>
      </w:pPr>
      <w:rPr>
        <w:rFonts w:ascii="Wingdings" w:hAnsi="Wingdings" w:hint="default"/>
      </w:rPr>
    </w:lvl>
    <w:lvl w:ilvl="3" w:tplc="94BA4A4A">
      <w:start w:val="1"/>
      <w:numFmt w:val="bullet"/>
      <w:lvlText w:val=""/>
      <w:lvlJc w:val="left"/>
      <w:pPr>
        <w:ind w:left="2880" w:hanging="360"/>
      </w:pPr>
      <w:rPr>
        <w:rFonts w:ascii="Symbol" w:hAnsi="Symbol" w:hint="default"/>
      </w:rPr>
    </w:lvl>
    <w:lvl w:ilvl="4" w:tplc="8AD8E298">
      <w:start w:val="1"/>
      <w:numFmt w:val="bullet"/>
      <w:lvlText w:val="o"/>
      <w:lvlJc w:val="left"/>
      <w:pPr>
        <w:ind w:left="3600" w:hanging="360"/>
      </w:pPr>
      <w:rPr>
        <w:rFonts w:ascii="Courier New" w:hAnsi="Courier New" w:hint="default"/>
      </w:rPr>
    </w:lvl>
    <w:lvl w:ilvl="5" w:tplc="76CCCB24">
      <w:start w:val="1"/>
      <w:numFmt w:val="bullet"/>
      <w:lvlText w:val=""/>
      <w:lvlJc w:val="left"/>
      <w:pPr>
        <w:ind w:left="4320" w:hanging="360"/>
      </w:pPr>
      <w:rPr>
        <w:rFonts w:ascii="Wingdings" w:hAnsi="Wingdings" w:hint="default"/>
      </w:rPr>
    </w:lvl>
    <w:lvl w:ilvl="6" w:tplc="A8569A26">
      <w:start w:val="1"/>
      <w:numFmt w:val="bullet"/>
      <w:lvlText w:val=""/>
      <w:lvlJc w:val="left"/>
      <w:pPr>
        <w:ind w:left="5040" w:hanging="360"/>
      </w:pPr>
      <w:rPr>
        <w:rFonts w:ascii="Symbol" w:hAnsi="Symbol" w:hint="default"/>
      </w:rPr>
    </w:lvl>
    <w:lvl w:ilvl="7" w:tplc="33221210">
      <w:start w:val="1"/>
      <w:numFmt w:val="bullet"/>
      <w:lvlText w:val="o"/>
      <w:lvlJc w:val="left"/>
      <w:pPr>
        <w:ind w:left="5760" w:hanging="360"/>
      </w:pPr>
      <w:rPr>
        <w:rFonts w:ascii="Courier New" w:hAnsi="Courier New" w:hint="default"/>
      </w:rPr>
    </w:lvl>
    <w:lvl w:ilvl="8" w:tplc="4EB83F6A">
      <w:start w:val="1"/>
      <w:numFmt w:val="bullet"/>
      <w:lvlText w:val=""/>
      <w:lvlJc w:val="left"/>
      <w:pPr>
        <w:ind w:left="6480" w:hanging="360"/>
      </w:pPr>
      <w:rPr>
        <w:rFonts w:ascii="Wingdings" w:hAnsi="Wingdings" w:hint="default"/>
      </w:rPr>
    </w:lvl>
  </w:abstractNum>
  <w:abstractNum w:abstractNumId="4" w15:restartNumberingAfterBreak="0">
    <w:nsid w:val="289E6FA2"/>
    <w:multiLevelType w:val="hybridMultilevel"/>
    <w:tmpl w:val="B5D08EA0"/>
    <w:lvl w:ilvl="0" w:tplc="24484B52">
      <w:start w:val="1"/>
      <w:numFmt w:val="bullet"/>
      <w:lvlText w:val=""/>
      <w:lvlJc w:val="left"/>
      <w:pPr>
        <w:ind w:left="720" w:hanging="360"/>
      </w:pPr>
      <w:rPr>
        <w:rFonts w:ascii="Symbol" w:hAnsi="Symbol" w:hint="default"/>
      </w:rPr>
    </w:lvl>
    <w:lvl w:ilvl="1" w:tplc="E4984088">
      <w:start w:val="1"/>
      <w:numFmt w:val="bullet"/>
      <w:lvlText w:val="o"/>
      <w:lvlJc w:val="left"/>
      <w:pPr>
        <w:ind w:left="1440" w:hanging="360"/>
      </w:pPr>
      <w:rPr>
        <w:rFonts w:ascii="Courier New" w:hAnsi="Courier New" w:hint="default"/>
      </w:rPr>
    </w:lvl>
    <w:lvl w:ilvl="2" w:tplc="0436D9D0">
      <w:start w:val="1"/>
      <w:numFmt w:val="bullet"/>
      <w:lvlText w:val=""/>
      <w:lvlJc w:val="left"/>
      <w:pPr>
        <w:ind w:left="2160" w:hanging="360"/>
      </w:pPr>
      <w:rPr>
        <w:rFonts w:ascii="Wingdings" w:hAnsi="Wingdings" w:hint="default"/>
      </w:rPr>
    </w:lvl>
    <w:lvl w:ilvl="3" w:tplc="B734D26C">
      <w:start w:val="1"/>
      <w:numFmt w:val="bullet"/>
      <w:lvlText w:val=""/>
      <w:lvlJc w:val="left"/>
      <w:pPr>
        <w:ind w:left="2880" w:hanging="360"/>
      </w:pPr>
      <w:rPr>
        <w:rFonts w:ascii="Symbol" w:hAnsi="Symbol" w:hint="default"/>
      </w:rPr>
    </w:lvl>
    <w:lvl w:ilvl="4" w:tplc="1F26374A">
      <w:start w:val="1"/>
      <w:numFmt w:val="bullet"/>
      <w:lvlText w:val="o"/>
      <w:lvlJc w:val="left"/>
      <w:pPr>
        <w:ind w:left="3600" w:hanging="360"/>
      </w:pPr>
      <w:rPr>
        <w:rFonts w:ascii="Courier New" w:hAnsi="Courier New" w:hint="default"/>
      </w:rPr>
    </w:lvl>
    <w:lvl w:ilvl="5" w:tplc="5C42CF46">
      <w:start w:val="1"/>
      <w:numFmt w:val="bullet"/>
      <w:lvlText w:val=""/>
      <w:lvlJc w:val="left"/>
      <w:pPr>
        <w:ind w:left="4320" w:hanging="360"/>
      </w:pPr>
      <w:rPr>
        <w:rFonts w:ascii="Wingdings" w:hAnsi="Wingdings" w:hint="default"/>
      </w:rPr>
    </w:lvl>
    <w:lvl w:ilvl="6" w:tplc="3D7AF87E">
      <w:start w:val="1"/>
      <w:numFmt w:val="bullet"/>
      <w:lvlText w:val=""/>
      <w:lvlJc w:val="left"/>
      <w:pPr>
        <w:ind w:left="5040" w:hanging="360"/>
      </w:pPr>
      <w:rPr>
        <w:rFonts w:ascii="Symbol" w:hAnsi="Symbol" w:hint="default"/>
      </w:rPr>
    </w:lvl>
    <w:lvl w:ilvl="7" w:tplc="815C32EE">
      <w:start w:val="1"/>
      <w:numFmt w:val="bullet"/>
      <w:lvlText w:val="o"/>
      <w:lvlJc w:val="left"/>
      <w:pPr>
        <w:ind w:left="5760" w:hanging="360"/>
      </w:pPr>
      <w:rPr>
        <w:rFonts w:ascii="Courier New" w:hAnsi="Courier New" w:hint="default"/>
      </w:rPr>
    </w:lvl>
    <w:lvl w:ilvl="8" w:tplc="63D2D32A">
      <w:start w:val="1"/>
      <w:numFmt w:val="bullet"/>
      <w:lvlText w:val=""/>
      <w:lvlJc w:val="left"/>
      <w:pPr>
        <w:ind w:left="6480" w:hanging="360"/>
      </w:pPr>
      <w:rPr>
        <w:rFonts w:ascii="Wingdings" w:hAnsi="Wingdings" w:hint="default"/>
      </w:rPr>
    </w:lvl>
  </w:abstractNum>
  <w:abstractNum w:abstractNumId="5" w15:restartNumberingAfterBreak="0">
    <w:nsid w:val="2D4749DC"/>
    <w:multiLevelType w:val="hybridMultilevel"/>
    <w:tmpl w:val="64AA3FEA"/>
    <w:lvl w:ilvl="0" w:tplc="6CE2A740">
      <w:start w:val="1"/>
      <w:numFmt w:val="bullet"/>
      <w:lvlText w:val=""/>
      <w:lvlJc w:val="left"/>
      <w:pPr>
        <w:ind w:left="720" w:hanging="360"/>
      </w:pPr>
      <w:rPr>
        <w:rFonts w:ascii="Symbol" w:hAnsi="Symbol" w:hint="default"/>
      </w:rPr>
    </w:lvl>
    <w:lvl w:ilvl="1" w:tplc="C10C8DC0">
      <w:start w:val="1"/>
      <w:numFmt w:val="bullet"/>
      <w:lvlText w:val="o"/>
      <w:lvlJc w:val="left"/>
      <w:pPr>
        <w:ind w:left="1440" w:hanging="360"/>
      </w:pPr>
      <w:rPr>
        <w:rFonts w:ascii="Courier New" w:hAnsi="Courier New" w:hint="default"/>
      </w:rPr>
    </w:lvl>
    <w:lvl w:ilvl="2" w:tplc="77A0906C">
      <w:start w:val="1"/>
      <w:numFmt w:val="bullet"/>
      <w:lvlText w:val=""/>
      <w:lvlJc w:val="left"/>
      <w:pPr>
        <w:ind w:left="2160" w:hanging="360"/>
      </w:pPr>
      <w:rPr>
        <w:rFonts w:ascii="Wingdings" w:hAnsi="Wingdings" w:hint="default"/>
      </w:rPr>
    </w:lvl>
    <w:lvl w:ilvl="3" w:tplc="E0FEFFE6">
      <w:start w:val="1"/>
      <w:numFmt w:val="bullet"/>
      <w:lvlText w:val=""/>
      <w:lvlJc w:val="left"/>
      <w:pPr>
        <w:ind w:left="2880" w:hanging="360"/>
      </w:pPr>
      <w:rPr>
        <w:rFonts w:ascii="Symbol" w:hAnsi="Symbol" w:hint="default"/>
      </w:rPr>
    </w:lvl>
    <w:lvl w:ilvl="4" w:tplc="B9265CBE">
      <w:start w:val="1"/>
      <w:numFmt w:val="bullet"/>
      <w:lvlText w:val="o"/>
      <w:lvlJc w:val="left"/>
      <w:pPr>
        <w:ind w:left="3600" w:hanging="360"/>
      </w:pPr>
      <w:rPr>
        <w:rFonts w:ascii="Courier New" w:hAnsi="Courier New" w:hint="default"/>
      </w:rPr>
    </w:lvl>
    <w:lvl w:ilvl="5" w:tplc="7A3A8EC2">
      <w:start w:val="1"/>
      <w:numFmt w:val="bullet"/>
      <w:lvlText w:val=""/>
      <w:lvlJc w:val="left"/>
      <w:pPr>
        <w:ind w:left="4320" w:hanging="360"/>
      </w:pPr>
      <w:rPr>
        <w:rFonts w:ascii="Wingdings" w:hAnsi="Wingdings" w:hint="default"/>
      </w:rPr>
    </w:lvl>
    <w:lvl w:ilvl="6" w:tplc="534C1D6C">
      <w:start w:val="1"/>
      <w:numFmt w:val="bullet"/>
      <w:lvlText w:val=""/>
      <w:lvlJc w:val="left"/>
      <w:pPr>
        <w:ind w:left="5040" w:hanging="360"/>
      </w:pPr>
      <w:rPr>
        <w:rFonts w:ascii="Symbol" w:hAnsi="Symbol" w:hint="default"/>
      </w:rPr>
    </w:lvl>
    <w:lvl w:ilvl="7" w:tplc="03FC5C8C">
      <w:start w:val="1"/>
      <w:numFmt w:val="bullet"/>
      <w:lvlText w:val="o"/>
      <w:lvlJc w:val="left"/>
      <w:pPr>
        <w:ind w:left="5760" w:hanging="360"/>
      </w:pPr>
      <w:rPr>
        <w:rFonts w:ascii="Courier New" w:hAnsi="Courier New" w:hint="default"/>
      </w:rPr>
    </w:lvl>
    <w:lvl w:ilvl="8" w:tplc="ED4E8686">
      <w:start w:val="1"/>
      <w:numFmt w:val="bullet"/>
      <w:lvlText w:val=""/>
      <w:lvlJc w:val="left"/>
      <w:pPr>
        <w:ind w:left="6480" w:hanging="360"/>
      </w:pPr>
      <w:rPr>
        <w:rFonts w:ascii="Wingdings" w:hAnsi="Wingdings" w:hint="default"/>
      </w:rPr>
    </w:lvl>
  </w:abstractNum>
  <w:abstractNum w:abstractNumId="6" w15:restartNumberingAfterBreak="0">
    <w:nsid w:val="2F2C61EC"/>
    <w:multiLevelType w:val="hybridMultilevel"/>
    <w:tmpl w:val="DCDEB5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D67624E"/>
    <w:multiLevelType w:val="hybridMultilevel"/>
    <w:tmpl w:val="0B3667E8"/>
    <w:lvl w:ilvl="0" w:tplc="B178D034">
      <w:start w:val="1"/>
      <w:numFmt w:val="bullet"/>
      <w:lvlText w:val=""/>
      <w:lvlJc w:val="left"/>
      <w:pPr>
        <w:ind w:left="720" w:hanging="360"/>
      </w:pPr>
      <w:rPr>
        <w:rFonts w:ascii="Symbol" w:hAnsi="Symbol" w:hint="default"/>
      </w:rPr>
    </w:lvl>
    <w:lvl w:ilvl="1" w:tplc="E25EF406">
      <w:start w:val="1"/>
      <w:numFmt w:val="bullet"/>
      <w:lvlText w:val="o"/>
      <w:lvlJc w:val="left"/>
      <w:pPr>
        <w:ind w:left="1440" w:hanging="360"/>
      </w:pPr>
      <w:rPr>
        <w:rFonts w:ascii="Courier New" w:hAnsi="Courier New" w:hint="default"/>
      </w:rPr>
    </w:lvl>
    <w:lvl w:ilvl="2" w:tplc="09A67E00">
      <w:start w:val="1"/>
      <w:numFmt w:val="bullet"/>
      <w:lvlText w:val=""/>
      <w:lvlJc w:val="left"/>
      <w:pPr>
        <w:ind w:left="2160" w:hanging="360"/>
      </w:pPr>
      <w:rPr>
        <w:rFonts w:ascii="Wingdings" w:hAnsi="Wingdings" w:hint="default"/>
      </w:rPr>
    </w:lvl>
    <w:lvl w:ilvl="3" w:tplc="49CECC62">
      <w:start w:val="1"/>
      <w:numFmt w:val="bullet"/>
      <w:lvlText w:val=""/>
      <w:lvlJc w:val="left"/>
      <w:pPr>
        <w:ind w:left="2880" w:hanging="360"/>
      </w:pPr>
      <w:rPr>
        <w:rFonts w:ascii="Symbol" w:hAnsi="Symbol" w:hint="default"/>
      </w:rPr>
    </w:lvl>
    <w:lvl w:ilvl="4" w:tplc="4330EF7A">
      <w:start w:val="1"/>
      <w:numFmt w:val="bullet"/>
      <w:lvlText w:val="o"/>
      <w:lvlJc w:val="left"/>
      <w:pPr>
        <w:ind w:left="3600" w:hanging="360"/>
      </w:pPr>
      <w:rPr>
        <w:rFonts w:ascii="Courier New" w:hAnsi="Courier New" w:hint="default"/>
      </w:rPr>
    </w:lvl>
    <w:lvl w:ilvl="5" w:tplc="A55C4422">
      <w:start w:val="1"/>
      <w:numFmt w:val="bullet"/>
      <w:lvlText w:val=""/>
      <w:lvlJc w:val="left"/>
      <w:pPr>
        <w:ind w:left="4320" w:hanging="360"/>
      </w:pPr>
      <w:rPr>
        <w:rFonts w:ascii="Wingdings" w:hAnsi="Wingdings" w:hint="default"/>
      </w:rPr>
    </w:lvl>
    <w:lvl w:ilvl="6" w:tplc="636828E8">
      <w:start w:val="1"/>
      <w:numFmt w:val="bullet"/>
      <w:lvlText w:val=""/>
      <w:lvlJc w:val="left"/>
      <w:pPr>
        <w:ind w:left="5040" w:hanging="360"/>
      </w:pPr>
      <w:rPr>
        <w:rFonts w:ascii="Symbol" w:hAnsi="Symbol" w:hint="default"/>
      </w:rPr>
    </w:lvl>
    <w:lvl w:ilvl="7" w:tplc="C2E20BF0">
      <w:start w:val="1"/>
      <w:numFmt w:val="bullet"/>
      <w:lvlText w:val="o"/>
      <w:lvlJc w:val="left"/>
      <w:pPr>
        <w:ind w:left="5760" w:hanging="360"/>
      </w:pPr>
      <w:rPr>
        <w:rFonts w:ascii="Courier New" w:hAnsi="Courier New" w:hint="default"/>
      </w:rPr>
    </w:lvl>
    <w:lvl w:ilvl="8" w:tplc="6CE29C3C">
      <w:start w:val="1"/>
      <w:numFmt w:val="bullet"/>
      <w:lvlText w:val=""/>
      <w:lvlJc w:val="left"/>
      <w:pPr>
        <w:ind w:left="6480" w:hanging="360"/>
      </w:pPr>
      <w:rPr>
        <w:rFonts w:ascii="Wingdings" w:hAnsi="Wingdings" w:hint="default"/>
      </w:rPr>
    </w:lvl>
  </w:abstractNum>
  <w:abstractNum w:abstractNumId="8" w15:restartNumberingAfterBreak="0">
    <w:nsid w:val="42A7486B"/>
    <w:multiLevelType w:val="hybridMultilevel"/>
    <w:tmpl w:val="FC5E6158"/>
    <w:lvl w:ilvl="0" w:tplc="DE4CA0C0">
      <w:start w:val="1"/>
      <w:numFmt w:val="bullet"/>
      <w:lvlText w:val=""/>
      <w:lvlJc w:val="left"/>
      <w:pPr>
        <w:ind w:left="720" w:hanging="360"/>
      </w:pPr>
      <w:rPr>
        <w:rFonts w:ascii="Symbol" w:hAnsi="Symbol" w:hint="default"/>
      </w:rPr>
    </w:lvl>
    <w:lvl w:ilvl="1" w:tplc="619C39DC">
      <w:start w:val="1"/>
      <w:numFmt w:val="bullet"/>
      <w:lvlText w:val="o"/>
      <w:lvlJc w:val="left"/>
      <w:pPr>
        <w:ind w:left="1440" w:hanging="360"/>
      </w:pPr>
      <w:rPr>
        <w:rFonts w:ascii="Courier New" w:hAnsi="Courier New" w:hint="default"/>
      </w:rPr>
    </w:lvl>
    <w:lvl w:ilvl="2" w:tplc="2862C1D6">
      <w:start w:val="1"/>
      <w:numFmt w:val="bullet"/>
      <w:lvlText w:val=""/>
      <w:lvlJc w:val="left"/>
      <w:pPr>
        <w:ind w:left="2160" w:hanging="360"/>
      </w:pPr>
      <w:rPr>
        <w:rFonts w:ascii="Wingdings" w:hAnsi="Wingdings" w:hint="default"/>
      </w:rPr>
    </w:lvl>
    <w:lvl w:ilvl="3" w:tplc="B7FCB7B0">
      <w:start w:val="1"/>
      <w:numFmt w:val="bullet"/>
      <w:lvlText w:val=""/>
      <w:lvlJc w:val="left"/>
      <w:pPr>
        <w:ind w:left="2880" w:hanging="360"/>
      </w:pPr>
      <w:rPr>
        <w:rFonts w:ascii="Symbol" w:hAnsi="Symbol" w:hint="default"/>
      </w:rPr>
    </w:lvl>
    <w:lvl w:ilvl="4" w:tplc="88E8C43A">
      <w:start w:val="1"/>
      <w:numFmt w:val="bullet"/>
      <w:lvlText w:val="o"/>
      <w:lvlJc w:val="left"/>
      <w:pPr>
        <w:ind w:left="3600" w:hanging="360"/>
      </w:pPr>
      <w:rPr>
        <w:rFonts w:ascii="Courier New" w:hAnsi="Courier New" w:hint="default"/>
      </w:rPr>
    </w:lvl>
    <w:lvl w:ilvl="5" w:tplc="9EC8EDE2">
      <w:start w:val="1"/>
      <w:numFmt w:val="bullet"/>
      <w:lvlText w:val=""/>
      <w:lvlJc w:val="left"/>
      <w:pPr>
        <w:ind w:left="4320" w:hanging="360"/>
      </w:pPr>
      <w:rPr>
        <w:rFonts w:ascii="Wingdings" w:hAnsi="Wingdings" w:hint="default"/>
      </w:rPr>
    </w:lvl>
    <w:lvl w:ilvl="6" w:tplc="9F90014E">
      <w:start w:val="1"/>
      <w:numFmt w:val="bullet"/>
      <w:lvlText w:val=""/>
      <w:lvlJc w:val="left"/>
      <w:pPr>
        <w:ind w:left="5040" w:hanging="360"/>
      </w:pPr>
      <w:rPr>
        <w:rFonts w:ascii="Symbol" w:hAnsi="Symbol" w:hint="default"/>
      </w:rPr>
    </w:lvl>
    <w:lvl w:ilvl="7" w:tplc="74463F12">
      <w:start w:val="1"/>
      <w:numFmt w:val="bullet"/>
      <w:lvlText w:val="o"/>
      <w:lvlJc w:val="left"/>
      <w:pPr>
        <w:ind w:left="5760" w:hanging="360"/>
      </w:pPr>
      <w:rPr>
        <w:rFonts w:ascii="Courier New" w:hAnsi="Courier New" w:hint="default"/>
      </w:rPr>
    </w:lvl>
    <w:lvl w:ilvl="8" w:tplc="1570BD0E">
      <w:start w:val="1"/>
      <w:numFmt w:val="bullet"/>
      <w:lvlText w:val=""/>
      <w:lvlJc w:val="left"/>
      <w:pPr>
        <w:ind w:left="6480" w:hanging="360"/>
      </w:pPr>
      <w:rPr>
        <w:rFonts w:ascii="Wingdings" w:hAnsi="Wingdings" w:hint="default"/>
      </w:rPr>
    </w:lvl>
  </w:abstractNum>
  <w:abstractNum w:abstractNumId="9" w15:restartNumberingAfterBreak="0">
    <w:nsid w:val="52624BBA"/>
    <w:multiLevelType w:val="hybridMultilevel"/>
    <w:tmpl w:val="3B78CB9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2875517"/>
    <w:multiLevelType w:val="hybridMultilevel"/>
    <w:tmpl w:val="1C10006A"/>
    <w:lvl w:ilvl="0" w:tplc="603E8550">
      <w:start w:val="1"/>
      <w:numFmt w:val="decimal"/>
      <w:lvlText w:val="%1."/>
      <w:lvlJc w:val="left"/>
      <w:pPr>
        <w:ind w:left="720" w:hanging="360"/>
      </w:pPr>
    </w:lvl>
    <w:lvl w:ilvl="1" w:tplc="DB58464C">
      <w:start w:val="1"/>
      <w:numFmt w:val="lowerLetter"/>
      <w:lvlText w:val="%2."/>
      <w:lvlJc w:val="left"/>
      <w:pPr>
        <w:ind w:left="1440" w:hanging="360"/>
      </w:pPr>
    </w:lvl>
    <w:lvl w:ilvl="2" w:tplc="603A0656">
      <w:start w:val="1"/>
      <w:numFmt w:val="lowerRoman"/>
      <w:lvlText w:val="%3."/>
      <w:lvlJc w:val="right"/>
      <w:pPr>
        <w:ind w:left="2160" w:hanging="180"/>
      </w:pPr>
    </w:lvl>
    <w:lvl w:ilvl="3" w:tplc="5400F602">
      <w:start w:val="1"/>
      <w:numFmt w:val="decimal"/>
      <w:lvlText w:val="%4."/>
      <w:lvlJc w:val="left"/>
      <w:pPr>
        <w:ind w:left="2880" w:hanging="360"/>
      </w:pPr>
    </w:lvl>
    <w:lvl w:ilvl="4" w:tplc="4C70F8C0">
      <w:start w:val="1"/>
      <w:numFmt w:val="lowerLetter"/>
      <w:lvlText w:val="%5."/>
      <w:lvlJc w:val="left"/>
      <w:pPr>
        <w:ind w:left="3600" w:hanging="360"/>
      </w:pPr>
    </w:lvl>
    <w:lvl w:ilvl="5" w:tplc="74E8888A">
      <w:start w:val="1"/>
      <w:numFmt w:val="lowerRoman"/>
      <w:lvlText w:val="%6."/>
      <w:lvlJc w:val="right"/>
      <w:pPr>
        <w:ind w:left="4320" w:hanging="180"/>
      </w:pPr>
    </w:lvl>
    <w:lvl w:ilvl="6" w:tplc="B0C4FA70">
      <w:start w:val="1"/>
      <w:numFmt w:val="decimal"/>
      <w:lvlText w:val="%7."/>
      <w:lvlJc w:val="left"/>
      <w:pPr>
        <w:ind w:left="5040" w:hanging="360"/>
      </w:pPr>
    </w:lvl>
    <w:lvl w:ilvl="7" w:tplc="437C69DE">
      <w:start w:val="1"/>
      <w:numFmt w:val="lowerLetter"/>
      <w:lvlText w:val="%8."/>
      <w:lvlJc w:val="left"/>
      <w:pPr>
        <w:ind w:left="5760" w:hanging="360"/>
      </w:pPr>
    </w:lvl>
    <w:lvl w:ilvl="8" w:tplc="EF508780">
      <w:start w:val="1"/>
      <w:numFmt w:val="lowerRoman"/>
      <w:lvlText w:val="%9."/>
      <w:lvlJc w:val="right"/>
      <w:pPr>
        <w:ind w:left="6480" w:hanging="180"/>
      </w:pPr>
    </w:lvl>
  </w:abstractNum>
  <w:abstractNum w:abstractNumId="11" w15:restartNumberingAfterBreak="0">
    <w:nsid w:val="5EB50B5A"/>
    <w:multiLevelType w:val="hybridMultilevel"/>
    <w:tmpl w:val="5734DFC4"/>
    <w:lvl w:ilvl="0" w:tplc="01BAAAD2">
      <w:start w:val="1"/>
      <w:numFmt w:val="bullet"/>
      <w:lvlText w:val=""/>
      <w:lvlJc w:val="left"/>
      <w:pPr>
        <w:ind w:left="720" w:hanging="360"/>
      </w:pPr>
      <w:rPr>
        <w:rFonts w:ascii="Symbol" w:hAnsi="Symbol" w:hint="default"/>
      </w:rPr>
    </w:lvl>
    <w:lvl w:ilvl="1" w:tplc="B502AAB0">
      <w:start w:val="1"/>
      <w:numFmt w:val="bullet"/>
      <w:lvlText w:val="o"/>
      <w:lvlJc w:val="left"/>
      <w:pPr>
        <w:ind w:left="1440" w:hanging="360"/>
      </w:pPr>
      <w:rPr>
        <w:rFonts w:ascii="Courier New" w:hAnsi="Courier New" w:hint="default"/>
      </w:rPr>
    </w:lvl>
    <w:lvl w:ilvl="2" w:tplc="CF1609E6">
      <w:start w:val="1"/>
      <w:numFmt w:val="bullet"/>
      <w:lvlText w:val=""/>
      <w:lvlJc w:val="left"/>
      <w:pPr>
        <w:ind w:left="2160" w:hanging="360"/>
      </w:pPr>
      <w:rPr>
        <w:rFonts w:ascii="Wingdings" w:hAnsi="Wingdings" w:hint="default"/>
      </w:rPr>
    </w:lvl>
    <w:lvl w:ilvl="3" w:tplc="2B4ED4C8">
      <w:start w:val="1"/>
      <w:numFmt w:val="bullet"/>
      <w:lvlText w:val=""/>
      <w:lvlJc w:val="left"/>
      <w:pPr>
        <w:ind w:left="2880" w:hanging="360"/>
      </w:pPr>
      <w:rPr>
        <w:rFonts w:ascii="Symbol" w:hAnsi="Symbol" w:hint="default"/>
      </w:rPr>
    </w:lvl>
    <w:lvl w:ilvl="4" w:tplc="89E69E50">
      <w:start w:val="1"/>
      <w:numFmt w:val="bullet"/>
      <w:lvlText w:val="o"/>
      <w:lvlJc w:val="left"/>
      <w:pPr>
        <w:ind w:left="3600" w:hanging="360"/>
      </w:pPr>
      <w:rPr>
        <w:rFonts w:ascii="Courier New" w:hAnsi="Courier New" w:hint="default"/>
      </w:rPr>
    </w:lvl>
    <w:lvl w:ilvl="5" w:tplc="EFC4E904">
      <w:start w:val="1"/>
      <w:numFmt w:val="bullet"/>
      <w:lvlText w:val=""/>
      <w:lvlJc w:val="left"/>
      <w:pPr>
        <w:ind w:left="4320" w:hanging="360"/>
      </w:pPr>
      <w:rPr>
        <w:rFonts w:ascii="Wingdings" w:hAnsi="Wingdings" w:hint="default"/>
      </w:rPr>
    </w:lvl>
    <w:lvl w:ilvl="6" w:tplc="C5D0704A">
      <w:start w:val="1"/>
      <w:numFmt w:val="bullet"/>
      <w:lvlText w:val=""/>
      <w:lvlJc w:val="left"/>
      <w:pPr>
        <w:ind w:left="5040" w:hanging="360"/>
      </w:pPr>
      <w:rPr>
        <w:rFonts w:ascii="Symbol" w:hAnsi="Symbol" w:hint="default"/>
      </w:rPr>
    </w:lvl>
    <w:lvl w:ilvl="7" w:tplc="59CC4520">
      <w:start w:val="1"/>
      <w:numFmt w:val="bullet"/>
      <w:lvlText w:val="o"/>
      <w:lvlJc w:val="left"/>
      <w:pPr>
        <w:ind w:left="5760" w:hanging="360"/>
      </w:pPr>
      <w:rPr>
        <w:rFonts w:ascii="Courier New" w:hAnsi="Courier New" w:hint="default"/>
      </w:rPr>
    </w:lvl>
    <w:lvl w:ilvl="8" w:tplc="3A482E1A">
      <w:start w:val="1"/>
      <w:numFmt w:val="bullet"/>
      <w:lvlText w:val=""/>
      <w:lvlJc w:val="left"/>
      <w:pPr>
        <w:ind w:left="6480" w:hanging="360"/>
      </w:pPr>
      <w:rPr>
        <w:rFonts w:ascii="Wingdings" w:hAnsi="Wingdings" w:hint="default"/>
      </w:rPr>
    </w:lvl>
  </w:abstractNum>
  <w:abstractNum w:abstractNumId="12" w15:restartNumberingAfterBreak="0">
    <w:nsid w:val="612A5E40"/>
    <w:multiLevelType w:val="hybridMultilevel"/>
    <w:tmpl w:val="219A6F84"/>
    <w:lvl w:ilvl="0" w:tplc="79CE4692">
      <w:start w:val="1"/>
      <w:numFmt w:val="decimal"/>
      <w:lvlText w:val="%1."/>
      <w:lvlJc w:val="left"/>
      <w:pPr>
        <w:ind w:left="720" w:hanging="360"/>
      </w:pPr>
    </w:lvl>
    <w:lvl w:ilvl="1" w:tplc="C4FC8BC6">
      <w:start w:val="1"/>
      <w:numFmt w:val="lowerLetter"/>
      <w:lvlText w:val="%2."/>
      <w:lvlJc w:val="left"/>
      <w:pPr>
        <w:ind w:left="1440" w:hanging="360"/>
      </w:pPr>
    </w:lvl>
    <w:lvl w:ilvl="2" w:tplc="9D622572">
      <w:start w:val="1"/>
      <w:numFmt w:val="lowerRoman"/>
      <w:lvlText w:val="%3."/>
      <w:lvlJc w:val="right"/>
      <w:pPr>
        <w:ind w:left="2160" w:hanging="180"/>
      </w:pPr>
    </w:lvl>
    <w:lvl w:ilvl="3" w:tplc="04D26A48">
      <w:start w:val="1"/>
      <w:numFmt w:val="decimal"/>
      <w:lvlText w:val="%4."/>
      <w:lvlJc w:val="left"/>
      <w:pPr>
        <w:ind w:left="2880" w:hanging="360"/>
      </w:pPr>
    </w:lvl>
    <w:lvl w:ilvl="4" w:tplc="AB38F94E">
      <w:start w:val="1"/>
      <w:numFmt w:val="lowerLetter"/>
      <w:lvlText w:val="%5."/>
      <w:lvlJc w:val="left"/>
      <w:pPr>
        <w:ind w:left="3600" w:hanging="360"/>
      </w:pPr>
    </w:lvl>
    <w:lvl w:ilvl="5" w:tplc="BB263A90">
      <w:start w:val="1"/>
      <w:numFmt w:val="lowerRoman"/>
      <w:lvlText w:val="%6."/>
      <w:lvlJc w:val="right"/>
      <w:pPr>
        <w:ind w:left="4320" w:hanging="180"/>
      </w:pPr>
    </w:lvl>
    <w:lvl w:ilvl="6" w:tplc="FF227A6E">
      <w:start w:val="1"/>
      <w:numFmt w:val="decimal"/>
      <w:lvlText w:val="%7."/>
      <w:lvlJc w:val="left"/>
      <w:pPr>
        <w:ind w:left="5040" w:hanging="360"/>
      </w:pPr>
    </w:lvl>
    <w:lvl w:ilvl="7" w:tplc="30D0E358">
      <w:start w:val="1"/>
      <w:numFmt w:val="lowerLetter"/>
      <w:lvlText w:val="%8."/>
      <w:lvlJc w:val="left"/>
      <w:pPr>
        <w:ind w:left="5760" w:hanging="360"/>
      </w:pPr>
    </w:lvl>
    <w:lvl w:ilvl="8" w:tplc="608C78BC">
      <w:start w:val="1"/>
      <w:numFmt w:val="lowerRoman"/>
      <w:lvlText w:val="%9."/>
      <w:lvlJc w:val="right"/>
      <w:pPr>
        <w:ind w:left="6480" w:hanging="180"/>
      </w:pPr>
    </w:lvl>
  </w:abstractNum>
  <w:abstractNum w:abstractNumId="13" w15:restartNumberingAfterBreak="0">
    <w:nsid w:val="627C7929"/>
    <w:multiLevelType w:val="hybridMultilevel"/>
    <w:tmpl w:val="C60AF0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72E1A0A"/>
    <w:multiLevelType w:val="multilevel"/>
    <w:tmpl w:val="51687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142423"/>
    <w:multiLevelType w:val="hybridMultilevel"/>
    <w:tmpl w:val="23B2EDA4"/>
    <w:lvl w:ilvl="0" w:tplc="2C1EDB32">
      <w:start w:val="1"/>
      <w:numFmt w:val="decimal"/>
      <w:lvlText w:val="%1."/>
      <w:lvlJc w:val="left"/>
      <w:pPr>
        <w:ind w:left="720" w:hanging="360"/>
      </w:pPr>
    </w:lvl>
    <w:lvl w:ilvl="1" w:tplc="A79A2EF8">
      <w:start w:val="1"/>
      <w:numFmt w:val="lowerLetter"/>
      <w:lvlText w:val="%2."/>
      <w:lvlJc w:val="left"/>
      <w:pPr>
        <w:ind w:left="1440" w:hanging="360"/>
      </w:pPr>
    </w:lvl>
    <w:lvl w:ilvl="2" w:tplc="3AD66DBC">
      <w:start w:val="1"/>
      <w:numFmt w:val="lowerRoman"/>
      <w:lvlText w:val="%3."/>
      <w:lvlJc w:val="right"/>
      <w:pPr>
        <w:ind w:left="2160" w:hanging="180"/>
      </w:pPr>
    </w:lvl>
    <w:lvl w:ilvl="3" w:tplc="3E522A34">
      <w:start w:val="1"/>
      <w:numFmt w:val="decimal"/>
      <w:lvlText w:val="%4."/>
      <w:lvlJc w:val="left"/>
      <w:pPr>
        <w:ind w:left="2880" w:hanging="360"/>
      </w:pPr>
    </w:lvl>
    <w:lvl w:ilvl="4" w:tplc="59A0DF8C">
      <w:start w:val="1"/>
      <w:numFmt w:val="lowerLetter"/>
      <w:lvlText w:val="%5."/>
      <w:lvlJc w:val="left"/>
      <w:pPr>
        <w:ind w:left="3600" w:hanging="360"/>
      </w:pPr>
    </w:lvl>
    <w:lvl w:ilvl="5" w:tplc="A6D832DC">
      <w:start w:val="1"/>
      <w:numFmt w:val="lowerRoman"/>
      <w:lvlText w:val="%6."/>
      <w:lvlJc w:val="right"/>
      <w:pPr>
        <w:ind w:left="4320" w:hanging="180"/>
      </w:pPr>
    </w:lvl>
    <w:lvl w:ilvl="6" w:tplc="9EA47A1E">
      <w:start w:val="1"/>
      <w:numFmt w:val="decimal"/>
      <w:lvlText w:val="%7."/>
      <w:lvlJc w:val="left"/>
      <w:pPr>
        <w:ind w:left="5040" w:hanging="360"/>
      </w:pPr>
    </w:lvl>
    <w:lvl w:ilvl="7" w:tplc="6A164556">
      <w:start w:val="1"/>
      <w:numFmt w:val="lowerLetter"/>
      <w:lvlText w:val="%8."/>
      <w:lvlJc w:val="left"/>
      <w:pPr>
        <w:ind w:left="5760" w:hanging="360"/>
      </w:pPr>
    </w:lvl>
    <w:lvl w:ilvl="8" w:tplc="61B272AC">
      <w:start w:val="1"/>
      <w:numFmt w:val="lowerRoman"/>
      <w:lvlText w:val="%9."/>
      <w:lvlJc w:val="right"/>
      <w:pPr>
        <w:ind w:left="6480" w:hanging="180"/>
      </w:pPr>
    </w:lvl>
  </w:abstractNum>
  <w:abstractNum w:abstractNumId="16" w15:restartNumberingAfterBreak="0">
    <w:nsid w:val="7562772A"/>
    <w:multiLevelType w:val="hybridMultilevel"/>
    <w:tmpl w:val="BB08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E9A1E45"/>
    <w:multiLevelType w:val="hybridMultilevel"/>
    <w:tmpl w:val="696239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47230887">
    <w:abstractNumId w:val="15"/>
  </w:num>
  <w:num w:numId="2" w16cid:durableId="1928419515">
    <w:abstractNumId w:val="12"/>
  </w:num>
  <w:num w:numId="3" w16cid:durableId="699819340">
    <w:abstractNumId w:val="5"/>
  </w:num>
  <w:num w:numId="4" w16cid:durableId="1942377273">
    <w:abstractNumId w:val="4"/>
  </w:num>
  <w:num w:numId="5" w16cid:durableId="1086222109">
    <w:abstractNumId w:val="8"/>
  </w:num>
  <w:num w:numId="6" w16cid:durableId="1832284458">
    <w:abstractNumId w:val="7"/>
  </w:num>
  <w:num w:numId="7" w16cid:durableId="1438868010">
    <w:abstractNumId w:val="3"/>
  </w:num>
  <w:num w:numId="8" w16cid:durableId="932129581">
    <w:abstractNumId w:val="2"/>
  </w:num>
  <w:num w:numId="9" w16cid:durableId="386028141">
    <w:abstractNumId w:val="11"/>
  </w:num>
  <w:num w:numId="10" w16cid:durableId="742721916">
    <w:abstractNumId w:val="0"/>
  </w:num>
  <w:num w:numId="11" w16cid:durableId="1178036054">
    <w:abstractNumId w:val="14"/>
  </w:num>
  <w:num w:numId="12" w16cid:durableId="1822111852">
    <w:abstractNumId w:val="13"/>
  </w:num>
  <w:num w:numId="13" w16cid:durableId="1497840582">
    <w:abstractNumId w:val="6"/>
  </w:num>
  <w:num w:numId="14" w16cid:durableId="2088843718">
    <w:abstractNumId w:val="16"/>
  </w:num>
  <w:num w:numId="15" w16cid:durableId="896017600">
    <w:abstractNumId w:val="17"/>
  </w:num>
  <w:num w:numId="16" w16cid:durableId="1919897474">
    <w:abstractNumId w:val="9"/>
  </w:num>
  <w:num w:numId="17" w16cid:durableId="638922835">
    <w:abstractNumId w:val="10"/>
  </w:num>
  <w:num w:numId="18" w16cid:durableId="452746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0MLMwNTO3MDG0tDBU0lEKTi0uzszPAykwqgUAiKg9WSwAAAA="/>
  </w:docVars>
  <w:rsids>
    <w:rsidRoot w:val="00FD1719"/>
    <w:rsid w:val="00204193"/>
    <w:rsid w:val="002639A4"/>
    <w:rsid w:val="002C38BD"/>
    <w:rsid w:val="007F1199"/>
    <w:rsid w:val="00A84E20"/>
    <w:rsid w:val="00DA1E92"/>
    <w:rsid w:val="00F67C4E"/>
    <w:rsid w:val="00F860AA"/>
    <w:rsid w:val="00FD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EF74"/>
  <w15:docId w15:val="{74391195-D739-4988-9A03-807CAE61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199"/>
    <w:rPr>
      <w:rFonts w:ascii="Calibri" w:eastAsia="Calibri" w:hAnsi="Calibri" w:cs="Calibri"/>
      <w:lang w:eastAsia="en-GB"/>
    </w:rPr>
  </w:style>
  <w:style w:type="paragraph" w:styleId="Heading1">
    <w:name w:val="heading 1"/>
    <w:basedOn w:val="Normal"/>
    <w:next w:val="Normal"/>
    <w:link w:val="Heading1Char"/>
    <w:uiPriority w:val="9"/>
    <w:qFormat/>
    <w:rsid w:val="007F1199"/>
    <w:pPr>
      <w:keepNext/>
      <w:keepLines/>
      <w:spacing w:before="240" w:after="0"/>
      <w:outlineLvl w:val="0"/>
    </w:pPr>
    <w:rPr>
      <w:color w:val="2F5496"/>
      <w:sz w:val="32"/>
      <w:szCs w:val="32"/>
    </w:rPr>
  </w:style>
  <w:style w:type="paragraph" w:styleId="Heading2">
    <w:name w:val="heading 2"/>
    <w:basedOn w:val="Normal"/>
    <w:next w:val="Normal"/>
    <w:link w:val="Heading2Char"/>
    <w:uiPriority w:val="9"/>
    <w:semiHidden/>
    <w:unhideWhenUsed/>
    <w:qFormat/>
    <w:rsid w:val="007F1199"/>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7F1199"/>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F1199"/>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7F1199"/>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7F11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1199"/>
    <w:pPr>
      <w:spacing w:after="0" w:line="240" w:lineRule="auto"/>
    </w:pPr>
    <w:rPr>
      <w:rFonts w:ascii="Calibri" w:eastAsia="Calibri" w:hAnsi="Calibri" w:cs="Calibri"/>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7F119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F1199"/>
    <w:rPr>
      <w:rFonts w:ascii="Calibri" w:eastAsia="Calibri" w:hAnsi="Calibri" w:cs="Calibri"/>
      <w:color w:val="2F5496"/>
      <w:sz w:val="32"/>
      <w:szCs w:val="32"/>
      <w:lang w:val="en-US" w:eastAsia="en-GB"/>
    </w:rPr>
  </w:style>
  <w:style w:type="character" w:customStyle="1" w:styleId="Heading2Char">
    <w:name w:val="Heading 2 Char"/>
    <w:basedOn w:val="DefaultParagraphFont"/>
    <w:link w:val="Heading2"/>
    <w:uiPriority w:val="9"/>
    <w:semiHidden/>
    <w:rsid w:val="007F1199"/>
    <w:rPr>
      <w:rFonts w:ascii="Calibri" w:eastAsia="Calibri" w:hAnsi="Calibri" w:cs="Calibri"/>
      <w:b/>
      <w:sz w:val="36"/>
      <w:szCs w:val="36"/>
      <w:lang w:val="en-US" w:eastAsia="en-GB"/>
    </w:rPr>
  </w:style>
  <w:style w:type="character" w:customStyle="1" w:styleId="Heading3Char">
    <w:name w:val="Heading 3 Char"/>
    <w:basedOn w:val="DefaultParagraphFont"/>
    <w:link w:val="Heading3"/>
    <w:uiPriority w:val="9"/>
    <w:semiHidden/>
    <w:rsid w:val="007F1199"/>
    <w:rPr>
      <w:rFonts w:ascii="Calibri" w:eastAsia="Calibri" w:hAnsi="Calibri" w:cs="Calibri"/>
      <w:b/>
      <w:sz w:val="28"/>
      <w:szCs w:val="28"/>
      <w:lang w:val="en-US" w:eastAsia="en-GB"/>
    </w:rPr>
  </w:style>
  <w:style w:type="character" w:customStyle="1" w:styleId="Heading4Char">
    <w:name w:val="Heading 4 Char"/>
    <w:basedOn w:val="DefaultParagraphFont"/>
    <w:link w:val="Heading4"/>
    <w:uiPriority w:val="9"/>
    <w:semiHidden/>
    <w:rsid w:val="007F1199"/>
    <w:rPr>
      <w:rFonts w:ascii="Calibri" w:eastAsia="Calibri" w:hAnsi="Calibri" w:cs="Calibri"/>
      <w:b/>
      <w:sz w:val="24"/>
      <w:szCs w:val="24"/>
      <w:lang w:val="en-US" w:eastAsia="en-GB"/>
    </w:rPr>
  </w:style>
  <w:style w:type="character" w:customStyle="1" w:styleId="Heading5Char">
    <w:name w:val="Heading 5 Char"/>
    <w:basedOn w:val="DefaultParagraphFont"/>
    <w:link w:val="Heading5"/>
    <w:uiPriority w:val="9"/>
    <w:semiHidden/>
    <w:rsid w:val="007F1199"/>
    <w:rPr>
      <w:rFonts w:ascii="Calibri" w:eastAsia="Calibri" w:hAnsi="Calibri" w:cs="Calibri"/>
      <w:b/>
      <w:lang w:val="en-US" w:eastAsia="en-GB"/>
    </w:rPr>
  </w:style>
  <w:style w:type="character" w:customStyle="1" w:styleId="Heading6Char">
    <w:name w:val="Heading 6 Char"/>
    <w:basedOn w:val="DefaultParagraphFont"/>
    <w:link w:val="Heading6"/>
    <w:uiPriority w:val="9"/>
    <w:semiHidden/>
    <w:rsid w:val="007F1199"/>
    <w:rPr>
      <w:rFonts w:ascii="Calibri" w:eastAsia="Calibri" w:hAnsi="Calibri" w:cs="Calibri"/>
      <w:b/>
      <w:sz w:val="20"/>
      <w:szCs w:val="20"/>
      <w:lang w:val="en-US" w:eastAsia="en-GB"/>
    </w:rPr>
  </w:style>
  <w:style w:type="table" w:customStyle="1" w:styleId="TableNormal1">
    <w:name w:val="Table Normal1"/>
    <w:rsid w:val="007F1199"/>
    <w:rPr>
      <w:rFonts w:ascii="Calibri" w:eastAsia="Calibri" w:hAnsi="Calibri" w:cs="Calibri"/>
      <w:lang w:eastAsia="en-GB"/>
    </w:rPr>
    <w:tblPr>
      <w:tblCellMar>
        <w:top w:w="0" w:type="dxa"/>
        <w:left w:w="0" w:type="dxa"/>
        <w:bottom w:w="0" w:type="dxa"/>
        <w:right w:w="0" w:type="dxa"/>
      </w:tblCellMar>
    </w:tblPr>
  </w:style>
  <w:style w:type="paragraph" w:styleId="Title">
    <w:name w:val="Title"/>
    <w:basedOn w:val="Normal"/>
    <w:next w:val="Normal"/>
    <w:link w:val="TitleChar"/>
    <w:uiPriority w:val="10"/>
    <w:qFormat/>
    <w:rsid w:val="007F1199"/>
    <w:pPr>
      <w:keepNext/>
      <w:keepLines/>
      <w:spacing w:before="480" w:after="120"/>
    </w:pPr>
    <w:rPr>
      <w:b/>
      <w:sz w:val="72"/>
      <w:szCs w:val="72"/>
    </w:rPr>
  </w:style>
  <w:style w:type="character" w:customStyle="1" w:styleId="TitleChar">
    <w:name w:val="Title Char"/>
    <w:basedOn w:val="DefaultParagraphFont"/>
    <w:link w:val="Title"/>
    <w:uiPriority w:val="10"/>
    <w:rsid w:val="007F1199"/>
    <w:rPr>
      <w:rFonts w:ascii="Calibri" w:eastAsia="Calibri" w:hAnsi="Calibri" w:cs="Calibri"/>
      <w:b/>
      <w:sz w:val="72"/>
      <w:szCs w:val="72"/>
      <w:lang w:val="en-US" w:eastAsia="en-GB"/>
    </w:rPr>
  </w:style>
  <w:style w:type="paragraph" w:styleId="Subtitle">
    <w:name w:val="Subtitle"/>
    <w:basedOn w:val="Normal"/>
    <w:next w:val="Normal"/>
    <w:link w:val="SubtitleChar"/>
    <w:uiPriority w:val="11"/>
    <w:qFormat/>
    <w:rsid w:val="007F1199"/>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F1199"/>
    <w:rPr>
      <w:rFonts w:ascii="Georgia" w:eastAsia="Georgia" w:hAnsi="Georgia" w:cs="Georgia"/>
      <w:i/>
      <w:color w:val="666666"/>
      <w:sz w:val="48"/>
      <w:szCs w:val="48"/>
      <w:lang w:val="en-US" w:eastAsia="en-GB"/>
    </w:rPr>
  </w:style>
  <w:style w:type="paragraph" w:styleId="CommentText">
    <w:name w:val="annotation text"/>
    <w:basedOn w:val="Normal"/>
    <w:link w:val="CommentTextChar"/>
    <w:uiPriority w:val="99"/>
    <w:unhideWhenUsed/>
    <w:rsid w:val="007F1199"/>
    <w:pPr>
      <w:spacing w:line="240" w:lineRule="auto"/>
    </w:pPr>
    <w:rPr>
      <w:sz w:val="20"/>
      <w:szCs w:val="20"/>
    </w:rPr>
  </w:style>
  <w:style w:type="character" w:customStyle="1" w:styleId="CommentTextChar">
    <w:name w:val="Comment Text Char"/>
    <w:basedOn w:val="DefaultParagraphFont"/>
    <w:link w:val="CommentText"/>
    <w:uiPriority w:val="99"/>
    <w:rsid w:val="007F1199"/>
    <w:rPr>
      <w:rFonts w:ascii="Calibri" w:eastAsia="Calibri" w:hAnsi="Calibri" w:cs="Calibri"/>
      <w:sz w:val="20"/>
      <w:szCs w:val="20"/>
      <w:lang w:val="en-US" w:eastAsia="en-GB"/>
    </w:rPr>
  </w:style>
  <w:style w:type="character" w:styleId="CommentReference">
    <w:name w:val="annotation reference"/>
    <w:basedOn w:val="DefaultParagraphFont"/>
    <w:uiPriority w:val="99"/>
    <w:semiHidden/>
    <w:unhideWhenUsed/>
    <w:rsid w:val="007F1199"/>
    <w:rPr>
      <w:sz w:val="16"/>
      <w:szCs w:val="16"/>
    </w:rPr>
  </w:style>
  <w:style w:type="paragraph" w:styleId="BalloonText">
    <w:name w:val="Balloon Text"/>
    <w:basedOn w:val="Normal"/>
    <w:link w:val="BalloonTextChar"/>
    <w:uiPriority w:val="99"/>
    <w:semiHidden/>
    <w:unhideWhenUsed/>
    <w:rsid w:val="007F1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199"/>
    <w:rPr>
      <w:rFonts w:ascii="Segoe UI" w:eastAsia="Calibri" w:hAnsi="Segoe UI" w:cs="Segoe UI"/>
      <w:sz w:val="18"/>
      <w:szCs w:val="18"/>
      <w:lang w:val="en-US" w:eastAsia="en-GB"/>
    </w:rPr>
  </w:style>
  <w:style w:type="character" w:styleId="Hyperlink">
    <w:name w:val="Hyperlink"/>
    <w:basedOn w:val="DefaultParagraphFont"/>
    <w:uiPriority w:val="99"/>
    <w:unhideWhenUsed/>
    <w:rsid w:val="007F1199"/>
    <w:rPr>
      <w:color w:val="0563C1" w:themeColor="hyperlink"/>
      <w:u w:val="single"/>
    </w:rPr>
  </w:style>
  <w:style w:type="character" w:customStyle="1" w:styleId="UnresolvedMention1">
    <w:name w:val="Unresolved Mention1"/>
    <w:basedOn w:val="DefaultParagraphFont"/>
    <w:uiPriority w:val="99"/>
    <w:semiHidden/>
    <w:unhideWhenUsed/>
    <w:rsid w:val="007F1199"/>
    <w:rPr>
      <w:color w:val="605E5C"/>
      <w:shd w:val="clear" w:color="auto" w:fill="E1DFDD"/>
    </w:rPr>
  </w:style>
  <w:style w:type="paragraph" w:styleId="ListParagraph">
    <w:name w:val="List Paragraph"/>
    <w:basedOn w:val="Normal"/>
    <w:uiPriority w:val="34"/>
    <w:qFormat/>
    <w:rsid w:val="007F1199"/>
    <w:pPr>
      <w:ind w:left="720"/>
      <w:contextualSpacing/>
    </w:pPr>
  </w:style>
  <w:style w:type="character" w:styleId="FollowedHyperlink">
    <w:name w:val="FollowedHyperlink"/>
    <w:basedOn w:val="DefaultParagraphFont"/>
    <w:uiPriority w:val="99"/>
    <w:semiHidden/>
    <w:unhideWhenUsed/>
    <w:rsid w:val="007F1199"/>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F1199"/>
    <w:rPr>
      <w:b/>
      <w:bCs/>
    </w:rPr>
  </w:style>
  <w:style w:type="character" w:customStyle="1" w:styleId="CommentSubjectChar">
    <w:name w:val="Comment Subject Char"/>
    <w:basedOn w:val="CommentTextChar"/>
    <w:link w:val="CommentSubject"/>
    <w:uiPriority w:val="99"/>
    <w:semiHidden/>
    <w:rsid w:val="007F1199"/>
    <w:rPr>
      <w:rFonts w:ascii="Calibri" w:eastAsia="Calibri" w:hAnsi="Calibri" w:cs="Calibri"/>
      <w:b/>
      <w:bCs/>
      <w:sz w:val="20"/>
      <w:szCs w:val="20"/>
      <w:lang w:val="en-US" w:eastAsia="en-GB"/>
    </w:rPr>
  </w:style>
  <w:style w:type="character" w:styleId="Emphasis">
    <w:name w:val="Emphasis"/>
    <w:basedOn w:val="DefaultParagraphFont"/>
    <w:uiPriority w:val="20"/>
    <w:qFormat/>
    <w:rsid w:val="007F1199"/>
    <w:rPr>
      <w:i/>
      <w:iCs/>
    </w:rPr>
  </w:style>
  <w:style w:type="paragraph" w:styleId="Header">
    <w:name w:val="header"/>
    <w:basedOn w:val="Normal"/>
    <w:link w:val="HeaderChar"/>
    <w:uiPriority w:val="99"/>
    <w:unhideWhenUsed/>
    <w:rsid w:val="007F1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199"/>
    <w:rPr>
      <w:rFonts w:ascii="Calibri" w:eastAsia="Calibri" w:hAnsi="Calibri" w:cs="Calibri"/>
      <w:lang w:val="en-US" w:eastAsia="en-GB"/>
    </w:rPr>
  </w:style>
  <w:style w:type="paragraph" w:styleId="Footer">
    <w:name w:val="footer"/>
    <w:basedOn w:val="Normal"/>
    <w:link w:val="FooterChar"/>
    <w:uiPriority w:val="99"/>
    <w:unhideWhenUsed/>
    <w:rsid w:val="007F1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199"/>
    <w:rPr>
      <w:rFonts w:ascii="Calibri" w:eastAsia="Calibri" w:hAnsi="Calibri" w:cs="Calibri"/>
      <w:lang w:val="en-US" w:eastAsia="en-GB"/>
    </w:rPr>
  </w:style>
  <w:style w:type="character" w:styleId="LineNumber">
    <w:name w:val="line number"/>
    <w:basedOn w:val="DefaultParagraphFont"/>
    <w:uiPriority w:val="99"/>
    <w:semiHidden/>
    <w:unhideWhenUsed/>
    <w:rsid w:val="007F1199"/>
  </w:style>
  <w:style w:type="paragraph" w:styleId="Revision">
    <w:name w:val="Revision"/>
    <w:hidden/>
    <w:uiPriority w:val="99"/>
    <w:semiHidden/>
    <w:rsid w:val="007F1199"/>
    <w:pPr>
      <w:spacing w:after="0" w:line="240" w:lineRule="auto"/>
    </w:pPr>
    <w:rPr>
      <w:rFonts w:ascii="Calibri" w:eastAsia="Calibri" w:hAnsi="Calibri" w:cs="Calibri"/>
      <w:lang w:eastAsia="en-GB"/>
    </w:rPr>
  </w:style>
  <w:style w:type="character" w:customStyle="1" w:styleId="normaltextrun">
    <w:name w:val="normaltextrun"/>
    <w:basedOn w:val="DefaultParagraphFont"/>
    <w:rsid w:val="007F1199"/>
  </w:style>
  <w:style w:type="character" w:customStyle="1" w:styleId="spellingerror">
    <w:name w:val="spellingerror"/>
    <w:basedOn w:val="DefaultParagraphFont"/>
    <w:rsid w:val="007F1199"/>
  </w:style>
  <w:style w:type="character" w:customStyle="1" w:styleId="eop">
    <w:name w:val="eop"/>
    <w:basedOn w:val="DefaultParagraphFont"/>
    <w:rsid w:val="007F1199"/>
  </w:style>
  <w:style w:type="paragraph" w:customStyle="1" w:styleId="paragraph">
    <w:name w:val="paragraph"/>
    <w:basedOn w:val="Normal"/>
    <w:rsid w:val="007F11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4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gboost.readthedocs.io/en/latest/python/pytho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16861</Words>
  <Characters>92739</Characters>
  <Application>Microsoft Office Word</Application>
  <DocSecurity>0</DocSecurity>
  <Lines>772</Lines>
  <Paragraphs>218</Paragraphs>
  <ScaleCrop>false</ScaleCrop>
  <Company/>
  <LinksUpToDate>false</LinksUpToDate>
  <CharactersWithSpaces>109382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Westerveld</dc:creator>
  <cp:keywords/>
  <dc:description/>
  <cp:lastModifiedBy>Busker, T.S. (Tim)</cp:lastModifiedBy>
  <cp:revision>2</cp:revision>
  <dcterms:created xsi:type="dcterms:W3CDTF">2023-01-31T15:09:00Z</dcterms:created>
  <dcterms:modified xsi:type="dcterms:W3CDTF">2023-01-31T15:09:00Z</dcterms:modified>
</cp:coreProperties>
</file>