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pPr>
      <w:r>
        <w:rPr>
          <w:rFonts w:ascii="맑은 고딕" w:hAnsi="맑은 고딕" w:eastAsia="맑은 고딕"/>
          <w:b/>
          <w:sz w:val="28"/>
        </w:rPr>
        <w:t>1. 연구개발과제의 필요성</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46"/>
      </w:tblGrid>
      <w:tr>
        <w:tc>
          <w:tcPr>
            <w:tcW w:type="dxa" w:w="9411"/>
            <w:shd w:val="clear" w:color="auto" w:fill="F2F2F2"/>
          </w:tcPr>
          <w:p>
            <w:pPr>
              <w:spacing w:after="0" w:line="300" w:lineRule="auto"/>
            </w:pPr>
            <w:r/>
            <w:r>
              <w:rPr>
                <w:rFonts w:ascii="맑은 고딕" w:hAnsi="맑은 고딕" w:eastAsia="맑은 고딕"/>
                <w:b w:val="0"/>
                <w:sz w:val="17"/>
              </w:rPr>
              <w:t>【작성방법】해당 연구개발과제의 기술적, 경제적, 산업적, 지역적 수요 및 여건, 기존 연구 및 개발기술과의 차별성 등 총체적인 필요성을 분석하여 기술</w:t>
            </w:r>
          </w:p>
        </w:tc>
      </w:tr>
    </w:tbl>
    <w:p>
      <w:pPr>
        <w:spacing w:before="0" w:after="80" w:line="348" w:lineRule="auto"/>
      </w:pPr>
    </w:p>
    <w:p>
      <w:pPr>
        <w:spacing w:before="240" w:after="100"/>
      </w:pPr>
      <w:r>
        <w:rPr>
          <w:rFonts w:ascii="맑은 고딕" w:hAnsi="맑은 고딕" w:eastAsia="맑은 고딕"/>
          <w:b/>
          <w:sz w:val="23"/>
        </w:rPr>
        <w:t>가. 기술적 수요 및 여건 — 전공·수준에 맞는 외국어 학습 자원이 없다</w:t>
      </w:r>
    </w:p>
    <w:p>
      <w:pPr>
        <w:spacing w:before="0" w:after="60" w:line="348" w:lineRule="auto"/>
      </w:pPr>
      <w:r>
        <w:rPr>
          <w:rFonts w:ascii="맑은 고딕" w:hAnsi="맑은 고딕" w:eastAsia="맑은 고딕"/>
          <w:b w:val="0"/>
          <w:sz w:val="20"/>
        </w:rPr>
        <w:t>대학에는 수십 개 전공이 있으나, 전공과 수준에 동시에 맞는 외국어 교재를 찾기는 매우 어렵다. 일반 영어교재는 호텔 프런트·기내 서비스·구강 검진실의 실제 직무 상황을 담지 못하고, 해외 원서는 학생 수준과 맞지 않는다. 제2외국어는 공백이 더 심하다. 호텔·관광 계열은 중국·일본 관광객 응대로 중국어·일본어 실무 회화 수요가 크지만, "호텔 중국어"·"관광 일본어"처럼 전공과 언어가 교차하는 특화 교재는 영어보다도 찾기 어렵다.</w:t>
      </w:r>
    </w:p>
    <w:p>
      <w:pPr>
        <w:spacing w:before="0" w:after="60" w:line="348" w:lineRule="auto"/>
      </w:pPr>
      <w:r>
        <w:rPr>
          <w:rFonts w:ascii="맑은 고딕" w:hAnsi="맑은 고딕" w:eastAsia="맑은 고딕"/>
          <w:b w:val="0"/>
          <w:sz w:val="20"/>
        </w:rPr>
        <w:t>교수는 매 학기 자료를 직접 제작해 사용하지만, 그 자료는 개인 파일로 흩어지고 축적되지 않는다. 전공 교수는 직무 지식은 있으나 외국어 콘텐츠를 체계적으로 제작할 시간과 도구가 없고, 어학 교수는 전공 직무 상황 지식이 부족하다. 즉 "전공 지식 × 외국어 콘텐츠 제작"의 결합 지점이 기술적으로 비어 있다.</w:t>
      </w:r>
    </w:p>
    <w:p>
      <w:pPr>
        <w:spacing w:before="0" w:after="60" w:line="348" w:lineRule="auto"/>
      </w:pPr>
      <w:r>
        <w:rPr>
          <w:rFonts w:ascii="맑은 고딕" w:hAnsi="맑은 고딕" w:eastAsia="맑은 고딕"/>
          <w:b w:val="0"/>
          <w:sz w:val="20"/>
        </w:rPr>
        <w:t>생성형 인공지능의 등장으로 콘텐츠 초안 생산 비용은 급격히 낮아졌으나, 교육 현장에 그대로 투입하기에는 두 가지 기술 과제가 남아 있다. 첫째는 정확성으로, 잘못된 직무 용어나 부정확한 응대 표현은 교육 상품으로 치명적이다. 둘째는 수준 정합으로, 생성된 지문이 학습자 수준에 맞는지를 판정할 자동화된 척도가 필요하다. 본 과제는 이 두 과제를 전문가 검수 게이트와 난이도 자동 추정 모듈로 해결하고자 한다.</w:t>
      </w:r>
    </w:p>
    <w:p>
      <w:pPr>
        <w:spacing w:before="240" w:after="100"/>
      </w:pPr>
      <w:r>
        <w:rPr>
          <w:rFonts w:ascii="맑은 고딕" w:hAnsi="맑은 고딕" w:eastAsia="맑은 고딕"/>
          <w:b/>
          <w:sz w:val="23"/>
        </w:rPr>
        <w:t>나. 경제적 수요 및 여건 — 소량·다품종 교재의 출판 경제가 성립하지 않는다</w:t>
      </w:r>
    </w:p>
    <w:p>
      <w:pPr>
        <w:spacing w:before="0" w:after="60" w:line="348" w:lineRule="auto"/>
      </w:pPr>
      <w:r>
        <w:rPr>
          <w:rFonts w:ascii="맑은 고딕" w:hAnsi="맑은 고딕" w:eastAsia="맑은 고딕"/>
          <w:b w:val="0"/>
          <w:sz w:val="20"/>
        </w:rPr>
        <w:t>전공 직무 외국어 교재는 본질적으로 소량·다품종 시장이다. 한 학과의 한 학기 수요는 수십 부에서 수백 부에 그치는데, 기존 출판 방식은 초판 인쇄 물량과 재고 부담 때문에 이 규모에서 손익분기를 넘기기 어렵다. 그 결과 수요가 분명히 존재함에도 상업 출판이 진입하지 않고, 공백이 그대로 유지된다.</w:t>
      </w:r>
    </w:p>
    <w:p>
      <w:pPr>
        <w:spacing w:before="0" w:after="60" w:line="348" w:lineRule="auto"/>
      </w:pPr>
      <w:r>
        <w:rPr>
          <w:rFonts w:ascii="맑은 고딕" w:hAnsi="맑은 고딕" w:eastAsia="맑은 고딕"/>
          <w:b w:val="0"/>
          <w:sz w:val="20"/>
        </w:rPr>
        <w:t>또한 교재 한 종을 개발하는 데 드는 집필·편집·조판 인건비와 기간은 개별 교수가 감당할 수 있는 수준을 넘어선다. 수요는 작고 개발 원가는 높은 구조가 이 시장의 근본적인 경제 문제다.</w:t>
      </w:r>
    </w:p>
    <w:p>
      <w:pPr>
        <w:spacing w:before="0" w:after="60" w:line="348" w:lineRule="auto"/>
      </w:pPr>
      <w:r>
        <w:rPr>
          <w:rFonts w:ascii="맑은 고딕" w:hAnsi="맑은 고딕" w:eastAsia="맑은 고딕"/>
          <w:b w:val="0"/>
          <w:sz w:val="20"/>
        </w:rPr>
        <w:t>본 과제는 이 문제를 두 축에서 해소한다. 저작 자동화로 개발 원가를 낮추고, 주문형 인쇄 방식으로 재고 부담 없이 필요한 만큼만 생산해 소량 출판의 손익분기를 낮춘다. 나아가 한 번 저작한 콘텐츠가 학과 교육에 쓰이는 동시에 동일 전공을 둔 타 대학에 공급 가능한 자산이 되므로, 개발비 회수 경로가 교내로 한정되지 않는다.</w:t>
      </w:r>
    </w:p>
    <w:p>
      <w:pPr>
        <w:spacing w:before="240" w:after="100"/>
      </w:pPr>
      <w:r>
        <w:rPr>
          <w:rFonts w:ascii="맑은 고딕" w:hAnsi="맑은 고딕" w:eastAsia="맑은 고딕"/>
          <w:b/>
          <w:sz w:val="23"/>
        </w:rPr>
        <w:t>다. 산업적 수요 및 여건 — 말하기 실습과 역량 증명의 이중 공백</w:t>
      </w:r>
    </w:p>
    <w:p>
      <w:pPr>
        <w:spacing w:before="0" w:after="60" w:line="348" w:lineRule="auto"/>
      </w:pPr>
      <w:r>
        <w:rPr>
          <w:rFonts w:ascii="맑은 고딕" w:hAnsi="맑은 고딕" w:eastAsia="맑은 고딕"/>
          <w:b w:val="0"/>
          <w:sz w:val="20"/>
        </w:rPr>
        <w:t>직무 외국어의 핵심은 말하기다. 고객을 응대하고, 불만을 처리하고, 안내하는 상황이 곧 직무 역량이다. 그러나 교실에서 학생 한 명 한 명이 이 상황을 반복 실습하기란 물리적으로 어렵다. 학생 수만큼의 회화 실습 시간이 존재하지 않기 때문이며, 이는 교원 확충으로도 해결되지 않는 구조적 병목이다.</w:t>
      </w:r>
    </w:p>
    <w:p>
      <w:pPr>
        <w:spacing w:before="0" w:after="60" w:line="348" w:lineRule="auto"/>
      </w:pPr>
      <w:r>
        <w:rPr>
          <w:rFonts w:ascii="맑은 고딕" w:hAnsi="맑은 고딕" w:eastAsia="맑은 고딕"/>
          <w:b w:val="0"/>
          <w:sz w:val="20"/>
        </w:rPr>
        <w:t>또한 학생의 직무 외국어 실력은 곧 취업 경쟁력이지만, "무엇을 얼마나 할 수 있는지"를 증명할 데이터가 없다. 성적표 한 줄이나 일반 어학 점수로는 호텔·항공·관광 채용 현장에서 직무 수행 능력을 변별하지 못한다. 채용하는 기업 입장에서도 지원자의 실제 응대 역량을 사전에 확인할 방법이 없어, 채용 후 재교육 비용을 부담한다.</w:t>
      </w:r>
    </w:p>
    <w:p>
      <w:pPr>
        <w:spacing w:before="0" w:after="60" w:line="348" w:lineRule="auto"/>
      </w:pPr>
      <w:r>
        <w:rPr>
          <w:rFonts w:ascii="맑은 고딕" w:hAnsi="맑은 고딕" w:eastAsia="맑은 고딕"/>
          <w:b w:val="0"/>
          <w:sz w:val="20"/>
        </w:rPr>
        <w:t>산업 현장은 "말할 수 있는 인재"를 요구하는데, 교육 현장은 "말해 본 적 있는 학생"을 배출하지 못하고, 그 격차를 확인할 지표조차 없다. 본 과제는 인공지능 롤플레이로 실습 병목을 해소하고, 학습 과정 데이터로 역량을 증명해 이 격차를 좁힌다.</w:t>
      </w:r>
    </w:p>
    <w:p>
      <w:pPr>
        <w:spacing w:before="240" w:after="100"/>
      </w:pPr>
      <w:r>
        <w:rPr>
          <w:rFonts w:ascii="맑은 고딕" w:hAnsi="맑은 고딕" w:eastAsia="맑은 고딕"/>
          <w:b/>
          <w:sz w:val="23"/>
        </w:rPr>
        <w:t>라. 지역적 수요 및 여건 — 서울 서비스 산업의 다국어 응대 인력</w:t>
      </w:r>
    </w:p>
    <w:p>
      <w:pPr>
        <w:spacing w:before="0" w:after="60" w:line="348" w:lineRule="auto"/>
      </w:pPr>
      <w:r>
        <w:rPr>
          <w:rFonts w:ascii="맑은 고딕" w:hAnsi="맑은 고딕" w:eastAsia="맑은 고딕"/>
          <w:b w:val="0"/>
          <w:sz w:val="20"/>
        </w:rPr>
        <w:t>서울은 국내 관광·호텔·항공 산업이 집중된 지역이며, 회복된 외국인 관광객 응대 수요는 영어를 넘어 중국어·일본어 다국어 응대 역량을 요구한다. 서울 소재 전문대학은 이 산업에 실무 인재를 직접 공급하는 위치에 있으나, 다국어 직무 회화를 반복 훈련시킬 교육 자원은 부족하다.</w:t>
      </w:r>
    </w:p>
    <w:p>
      <w:pPr>
        <w:spacing w:before="0" w:after="60" w:line="348" w:lineRule="auto"/>
      </w:pPr>
      <w:r>
        <w:rPr>
          <w:rFonts w:ascii="맑은 고딕" w:hAnsi="맑은 고딕" w:eastAsia="맑은 고딕"/>
          <w:b w:val="0"/>
          <w:sz w:val="20"/>
        </w:rPr>
        <w:t>한양여자대학교는 실무영어과·실무일본어과·실무중국어과와 호텔관광과·항공과·글로벌서비스경영과를 함께 보유해, 전공 직무 지식과 다국어 교육 역량이 한 대학 안에 공존하는 드문 여건을 갖추고 있다. 이는 "전공 × 언어"의 콘텐츠 격자를 구축하기에 최적의 조건이며, 타 대학이 단기간에 복제하기 어려운 구조적 강점이다.</w:t>
      </w:r>
    </w:p>
    <w:p>
      <w:pPr>
        <w:spacing w:before="0" w:after="60" w:line="348" w:lineRule="auto"/>
      </w:pPr>
      <w:r>
        <w:rPr>
          <w:rFonts w:ascii="맑은 고딕" w:hAnsi="맑은 고딕" w:eastAsia="맑은 고딕"/>
          <w:b w:val="0"/>
          <w:sz w:val="20"/>
        </w:rPr>
        <w:t>본 과제는 서울 서비스 산업의 인력 요구와 서울 소재 전문대학의 인재 공급 기능을 직무 외국어 콘텐츠·실습 인프라로 잇는다. 이는 서울시 지역혁신중심 대학지원체계의 목적 및 글로벌서비스 기업협업센터의 인재양성 방향에 직접 부합한다.</w:t>
      </w:r>
    </w:p>
    <w:p>
      <w:pPr>
        <w:spacing w:before="240" w:after="100"/>
      </w:pPr>
      <w:r>
        <w:rPr>
          <w:rFonts w:ascii="맑은 고딕" w:hAnsi="맑은 고딕" w:eastAsia="맑은 고딕"/>
          <w:b/>
          <w:sz w:val="23"/>
        </w:rPr>
        <w:t>마. 기존 연구 및 개발기술과의 차별성</w:t>
      </w:r>
    </w:p>
    <w:p>
      <w:pPr>
        <w:spacing w:before="0" w:after="60" w:line="348" w:lineRule="auto"/>
      </w:pPr>
      <w:r>
        <w:rPr>
          <w:rFonts w:ascii="맑은 고딕" w:hAnsi="맑은 고딕" w:eastAsia="맑은 고딕"/>
          <w:b w:val="0"/>
          <w:sz w:val="20"/>
        </w:rPr>
        <w:t>기존 어학 학습 기술은 범용 학습 도구, 전자 교재 뷰어, 인공지능 회화 서비스로 나뉘어 각각 발전해 왔으나, 이들은 서로 분리된 조각으로 존재한다. 교재는 종이로 따로, 온라인 학습은 별도 앱으로, 회화는 원어민 수업으로, 성취 증명은 부재한 상태다. 본 과제의 차별성은 이 조각들을 하나의 데이터 흐름으로 잇는 데 있다.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361"/>
            <w:shd w:val="clear" w:color="auto" w:fill="E8E8E8"/>
          </w:tcPr>
          <w:p>
            <w:pPr>
              <w:spacing w:after="0" w:line="312" w:lineRule="auto"/>
              <w:jc w:val="center"/>
            </w:pPr>
            <w:r/>
            <w:r>
              <w:rPr>
                <w:rFonts w:ascii="맑은 고딕" w:hAnsi="맑은 고딕" w:eastAsia="맑은 고딕"/>
                <w:b/>
                <w:sz w:val="18"/>
              </w:rPr>
              <w:t>비교 축</w:t>
            </w:r>
          </w:p>
        </w:tc>
        <w:tc>
          <w:tcPr>
            <w:tcW w:type="dxa" w:w="3742"/>
            <w:shd w:val="clear" w:color="auto" w:fill="E8E8E8"/>
          </w:tcPr>
          <w:p>
            <w:pPr>
              <w:spacing w:after="0" w:line="312" w:lineRule="auto"/>
              <w:jc w:val="center"/>
            </w:pPr>
            <w:r/>
            <w:r>
              <w:rPr>
                <w:rFonts w:ascii="맑은 고딕" w:hAnsi="맑은 고딕" w:eastAsia="맑은 고딕"/>
                <w:b/>
                <w:sz w:val="18"/>
              </w:rPr>
              <w:t>기존 연구 및 개발기술</w:t>
            </w:r>
          </w:p>
        </w:tc>
        <w:tc>
          <w:tcPr>
            <w:tcW w:type="dxa" w:w="4309"/>
            <w:shd w:val="clear" w:color="auto" w:fill="E8E8E8"/>
          </w:tcPr>
          <w:p>
            <w:pPr>
              <w:spacing w:after="0" w:line="312" w:lineRule="auto"/>
              <w:jc w:val="center"/>
            </w:pPr>
            <w:r/>
            <w:r>
              <w:rPr>
                <w:rFonts w:ascii="맑은 고딕" w:hAnsi="맑은 고딕" w:eastAsia="맑은 고딕"/>
                <w:b/>
                <w:sz w:val="18"/>
              </w:rPr>
              <w:t>본 연구개발과제</w:t>
            </w:r>
          </w:p>
        </w:tc>
      </w:tr>
      <w:tr>
        <w:tc>
          <w:tcPr>
            <w:tcW w:type="dxa" w:w="1361"/>
          </w:tcPr>
          <w:p>
            <w:pPr>
              <w:spacing w:after="0" w:line="312" w:lineRule="auto"/>
              <w:jc w:val="center"/>
            </w:pPr>
            <w:r/>
            <w:r>
              <w:rPr>
                <w:rFonts w:ascii="맑은 고딕" w:hAnsi="맑은 고딕" w:eastAsia="맑은 고딕"/>
                <w:b w:val="0"/>
                <w:sz w:val="18"/>
              </w:rPr>
              <w:t>콘텐츠 범위</w:t>
            </w:r>
          </w:p>
        </w:tc>
        <w:tc>
          <w:tcPr>
            <w:tcW w:type="dxa" w:w="3742"/>
          </w:tcPr>
          <w:p>
            <w:pPr>
              <w:spacing w:after="0" w:line="312" w:lineRule="auto"/>
            </w:pPr>
            <w:r/>
            <w:r>
              <w:rPr>
                <w:rFonts w:ascii="맑은 고딕" w:hAnsi="맑은 고딕" w:eastAsia="맑은 고딕"/>
                <w:b w:val="0"/>
                <w:sz w:val="18"/>
              </w:rPr>
              <w:t>범용 어학 학습 도구 — 일반 주제 위에서 작동하며 전공 직무 맥락이 없음</w:t>
            </w:r>
          </w:p>
        </w:tc>
        <w:tc>
          <w:tcPr>
            <w:tcW w:type="dxa" w:w="4309"/>
          </w:tcPr>
          <w:p>
            <w:pPr>
              <w:spacing w:after="0" w:line="312" w:lineRule="auto"/>
            </w:pPr>
            <w:r/>
            <w:r>
              <w:rPr>
                <w:rFonts w:ascii="맑은 고딕" w:hAnsi="맑은 고딕" w:eastAsia="맑은 고딕"/>
                <w:b w:val="0"/>
                <w:sz w:val="18"/>
              </w:rPr>
              <w:t>전공 직무 스코프 종속 — 해당 학과의 직무 상황·용어·시나리오 안에서만 콘텐츠가 생성됨</w:t>
            </w:r>
          </w:p>
        </w:tc>
      </w:tr>
      <w:tr>
        <w:tc>
          <w:tcPr>
            <w:tcW w:type="dxa" w:w="1361"/>
          </w:tcPr>
          <w:p>
            <w:pPr>
              <w:spacing w:after="0" w:line="312" w:lineRule="auto"/>
              <w:jc w:val="center"/>
            </w:pPr>
            <w:r/>
            <w:r>
              <w:rPr>
                <w:rFonts w:ascii="맑은 고딕" w:hAnsi="맑은 고딕" w:eastAsia="맑은 고딕"/>
                <w:b w:val="0"/>
                <w:sz w:val="18"/>
              </w:rPr>
              <w:t>산출 형태</w:t>
            </w:r>
          </w:p>
        </w:tc>
        <w:tc>
          <w:tcPr>
            <w:tcW w:type="dxa" w:w="3742"/>
          </w:tcPr>
          <w:p>
            <w:pPr>
              <w:spacing w:after="0" w:line="312" w:lineRule="auto"/>
            </w:pPr>
            <w:r/>
            <w:r>
              <w:rPr>
                <w:rFonts w:ascii="맑은 고딕" w:hAnsi="맑은 고딕" w:eastAsia="맑은 고딕"/>
                <w:b w:val="0"/>
                <w:sz w:val="18"/>
              </w:rPr>
              <w:t>온라인 학습 콘텐츠에서 종료하거나, 종이 교재와 디지털이 별개로 제작됨</w:t>
            </w:r>
          </w:p>
        </w:tc>
        <w:tc>
          <w:tcPr>
            <w:tcW w:type="dxa" w:w="4309"/>
          </w:tcPr>
          <w:p>
            <w:pPr>
              <w:spacing w:after="0" w:line="312" w:lineRule="auto"/>
            </w:pPr>
            <w:r/>
            <w:r>
              <w:rPr>
                <w:rFonts w:ascii="맑은 고딕" w:hAnsi="맑은 고딕" w:eastAsia="맑은 고딕"/>
                <w:b w:val="0"/>
                <w:sz w:val="18"/>
              </w:rPr>
              <w:t>단일 원본 다중 출력 — 앱 화면·전자책·인쇄 교재를 하나의 원본에서 동시 생성하고 개정 시 동기화</w:t>
            </w:r>
          </w:p>
        </w:tc>
      </w:tr>
      <w:tr>
        <w:tc>
          <w:tcPr>
            <w:tcW w:type="dxa" w:w="1361"/>
          </w:tcPr>
          <w:p>
            <w:pPr>
              <w:spacing w:after="0" w:line="312" w:lineRule="auto"/>
              <w:jc w:val="center"/>
            </w:pPr>
            <w:r/>
            <w:r>
              <w:rPr>
                <w:rFonts w:ascii="맑은 고딕" w:hAnsi="맑은 고딕" w:eastAsia="맑은 고딕"/>
                <w:b w:val="0"/>
                <w:sz w:val="18"/>
              </w:rPr>
              <w:t>전문가 통제</w:t>
            </w:r>
          </w:p>
        </w:tc>
        <w:tc>
          <w:tcPr>
            <w:tcW w:type="dxa" w:w="3742"/>
          </w:tcPr>
          <w:p>
            <w:pPr>
              <w:spacing w:after="0" w:line="312" w:lineRule="auto"/>
            </w:pPr>
            <w:r/>
            <w:r>
              <w:rPr>
                <w:rFonts w:ascii="맑은 고딕" w:hAnsi="맑은 고딕" w:eastAsia="맑은 고딕"/>
                <w:b w:val="0"/>
                <w:sz w:val="18"/>
              </w:rPr>
              <w:t>완제품을 제공하며 교수는 사용자에 머무름. 생성 결과의 교육적 타당성 검증 절차 부재</w:t>
            </w:r>
          </w:p>
        </w:tc>
        <w:tc>
          <w:tcPr>
            <w:tcW w:type="dxa" w:w="4309"/>
          </w:tcPr>
          <w:p>
            <w:pPr>
              <w:spacing w:after="0" w:line="312" w:lineRule="auto"/>
            </w:pPr>
            <w:r/>
            <w:r>
              <w:rPr>
                <w:rFonts w:ascii="맑은 고딕" w:hAnsi="맑은 고딕" w:eastAsia="맑은 고딕"/>
                <w:b w:val="0"/>
                <w:sz w:val="18"/>
              </w:rPr>
              <w:t>검수 게이트 필수 — 미승인 콘텐츠는 배포·발행이 차단되며, 교수가 사용자가 아닌 저자이자 감수자</w:t>
            </w:r>
          </w:p>
        </w:tc>
      </w:tr>
      <w:tr>
        <w:tc>
          <w:tcPr>
            <w:tcW w:type="dxa" w:w="1361"/>
          </w:tcPr>
          <w:p>
            <w:pPr>
              <w:spacing w:after="0" w:line="312" w:lineRule="auto"/>
              <w:jc w:val="center"/>
            </w:pPr>
            <w:r/>
            <w:r>
              <w:rPr>
                <w:rFonts w:ascii="맑은 고딕" w:hAnsi="맑은 고딕" w:eastAsia="맑은 고딕"/>
                <w:b w:val="0"/>
                <w:sz w:val="18"/>
              </w:rPr>
              <w:t>수준 정합</w:t>
            </w:r>
          </w:p>
        </w:tc>
        <w:tc>
          <w:tcPr>
            <w:tcW w:type="dxa" w:w="3742"/>
          </w:tcPr>
          <w:p>
            <w:pPr>
              <w:spacing w:after="0" w:line="312" w:lineRule="auto"/>
            </w:pPr>
            <w:r/>
            <w:r>
              <w:rPr>
                <w:rFonts w:ascii="맑은 고딕" w:hAnsi="맑은 고딕" w:eastAsia="맑은 고딕"/>
                <w:b w:val="0"/>
                <w:sz w:val="18"/>
              </w:rPr>
              <w:t>난이도 표기가 임의적이거나 수동 지정에 의존</w:t>
            </w:r>
          </w:p>
        </w:tc>
        <w:tc>
          <w:tcPr>
            <w:tcW w:type="dxa" w:w="4309"/>
          </w:tcPr>
          <w:p>
            <w:pPr>
              <w:spacing w:after="0" w:line="312" w:lineRule="auto"/>
            </w:pPr>
            <w:r/>
            <w:r>
              <w:rPr>
                <w:rFonts w:ascii="맑은 고딕" w:hAnsi="맑은 고딕" w:eastAsia="맑은 고딕"/>
                <w:b w:val="0"/>
                <w:sz w:val="18"/>
              </w:rPr>
              <w:t>정량 지표군과 언어모델 정성 분석을 결합한 하이브리드 등급 추정 및 신뢰도 동시 산출</w:t>
            </w:r>
          </w:p>
        </w:tc>
      </w:tr>
      <w:tr>
        <w:tc>
          <w:tcPr>
            <w:tcW w:type="dxa" w:w="1361"/>
          </w:tcPr>
          <w:p>
            <w:pPr>
              <w:spacing w:after="0" w:line="312" w:lineRule="auto"/>
              <w:jc w:val="center"/>
            </w:pPr>
            <w:r/>
            <w:r>
              <w:rPr>
                <w:rFonts w:ascii="맑은 고딕" w:hAnsi="맑은 고딕" w:eastAsia="맑은 고딕"/>
                <w:b w:val="0"/>
                <w:sz w:val="18"/>
              </w:rPr>
              <w:t>성취 증명</w:t>
            </w:r>
          </w:p>
        </w:tc>
        <w:tc>
          <w:tcPr>
            <w:tcW w:type="dxa" w:w="3742"/>
          </w:tcPr>
          <w:p>
            <w:pPr>
              <w:spacing w:after="0" w:line="312" w:lineRule="auto"/>
            </w:pPr>
            <w:r/>
            <w:r>
              <w:rPr>
                <w:rFonts w:ascii="맑은 고딕" w:hAnsi="맑은 고딕" w:eastAsia="맑은 고딕"/>
                <w:b w:val="0"/>
                <w:sz w:val="18"/>
              </w:rPr>
              <w:t>학습 완료 여부·정답률 등 단편 기록에 그침</w:t>
            </w:r>
          </w:p>
        </w:tc>
        <w:tc>
          <w:tcPr>
            <w:tcW w:type="dxa" w:w="4309"/>
          </w:tcPr>
          <w:p>
            <w:pPr>
              <w:spacing w:after="0" w:line="312" w:lineRule="auto"/>
            </w:pPr>
            <w:r/>
            <w:r>
              <w:rPr>
                <w:rFonts w:ascii="맑은 고딕" w:hAnsi="맑은 고딕" w:eastAsia="맑은 고딕"/>
                <w:b w:val="0"/>
                <w:sz w:val="18"/>
              </w:rPr>
              <w:t>과정 데이터 기반 역량 리포트 — 발화량·정확도·성장 델타를 절대 단위로 수집해 취업 증빙 수준으로 제시</w:t>
            </w:r>
          </w:p>
        </w:tc>
      </w:tr>
      <w:tr>
        <w:tc>
          <w:tcPr>
            <w:tcW w:type="dxa" w:w="1361"/>
          </w:tcPr>
          <w:p>
            <w:pPr>
              <w:spacing w:after="0" w:line="312" w:lineRule="auto"/>
              <w:jc w:val="center"/>
            </w:pPr>
            <w:r/>
            <w:r>
              <w:rPr>
                <w:rFonts w:ascii="맑은 고딕" w:hAnsi="맑은 고딕" w:eastAsia="맑은 고딕"/>
                <w:b w:val="0"/>
                <w:sz w:val="18"/>
              </w:rPr>
              <w:t>언어 확장</w:t>
            </w:r>
          </w:p>
        </w:tc>
        <w:tc>
          <w:tcPr>
            <w:tcW w:type="dxa" w:w="3742"/>
          </w:tcPr>
          <w:p>
            <w:pPr>
              <w:spacing w:after="0" w:line="312" w:lineRule="auto"/>
            </w:pPr>
            <w:r/>
            <w:r>
              <w:rPr>
                <w:rFonts w:ascii="맑은 고딕" w:hAnsi="맑은 고딕" w:eastAsia="맑은 고딕"/>
                <w:b w:val="0"/>
                <w:sz w:val="18"/>
              </w:rPr>
              <w:t>언어별로 별개 제품을 개발해야 하며 자산 재사용이 어려움</w:t>
            </w:r>
          </w:p>
        </w:tc>
        <w:tc>
          <w:tcPr>
            <w:tcW w:type="dxa" w:w="4309"/>
          </w:tcPr>
          <w:p>
            <w:pPr>
              <w:spacing w:after="0" w:line="312" w:lineRule="auto"/>
            </w:pPr>
            <w:r/>
            <w:r>
              <w:rPr>
                <w:rFonts w:ascii="맑은 고딕" w:hAnsi="맑은 고딕" w:eastAsia="맑은 고딕"/>
                <w:b w:val="0"/>
                <w:sz w:val="18"/>
              </w:rPr>
              <w:t>언어 비종속 아키텍처 — 동일한 롤플레이·측정 틀 위에서 전공 × 언어 격자로 자산이 확장</w:t>
            </w:r>
          </w:p>
        </w:tc>
      </w:tr>
    </w:tbl>
    <w:p>
      <w:pPr>
        <w:spacing w:before="120" w:after="60" w:line="348" w:lineRule="auto"/>
      </w:pPr>
      <w:r>
        <w:rPr>
          <w:rFonts w:ascii="맑은 고딕" w:hAnsi="맑은 고딕" w:eastAsia="맑은 고딕"/>
          <w:b w:val="0"/>
          <w:sz w:val="20"/>
        </w:rPr>
        <w:t>또한 본 과제의 콘텐츠는 교수진의 직무 지식에 근거한 원저작이므로, 검정 교과서 변형과 같은 2차적저작물 저작권 리스크가 구조적으로 낮다. 이는 개발 결과물을 외부에 유통·사업화할 때의 법적 부담이 작다는 점에서 기존 어학 콘텐츠 사업과 근본적으로 구분되는 강점이며, 성과의 활용 범위를 교내에 한정하지 않는 근거가 된다.</w:t>
      </w:r>
    </w:p>
    <w:p>
      <w:pPr>
        <w:spacing w:after="80" w:before="60"/>
      </w:pPr>
      <w:r>
        <w:rPr>
          <w:rFonts w:ascii="맑은 고딕" w:hAnsi="맑은 고딕" w:eastAsia="맑은 고딕"/>
          <w:color w:val="C00000"/>
          <w:sz w:val="17"/>
        </w:rPr>
        <w:t>※ NTIS 유사성검토 발급 후, 검출된 유사과제명과 본 과제의 차이를 이 절에 구체적으로 인용하여 보강할 것.</w:t>
      </w:r>
    </w:p>
    <w:p>
      <w:r>
        <w:br w:type="page"/>
      </w:r>
    </w:p>
    <w:p>
      <w:pPr>
        <w:spacing w:before="120" w:after="160"/>
      </w:pPr>
      <w:r>
        <w:rPr>
          <w:rFonts w:ascii="맑은 고딕" w:hAnsi="맑은 고딕" w:eastAsia="맑은 고딕"/>
          <w:b/>
          <w:sz w:val="28"/>
        </w:rPr>
        <w:t>2. 연구개발과제의 목표 및 내용</w:t>
      </w:r>
    </w:p>
    <w:p>
      <w:pPr>
        <w:spacing w:before="240" w:after="100"/>
      </w:pPr>
      <w:r>
        <w:rPr>
          <w:rFonts w:ascii="맑은 고딕" w:hAnsi="맑은 고딕" w:eastAsia="맑은 고딕"/>
          <w:b/>
          <w:sz w:val="23"/>
        </w:rPr>
        <w:t>1) 연구개발과제의 최종 목표</w:t>
      </w:r>
    </w:p>
    <w:p>
      <w:pPr>
        <w:spacing w:before="0" w:after="60" w:line="348" w:lineRule="auto"/>
      </w:pPr>
      <w:r>
        <w:rPr>
          <w:rFonts w:ascii="맑은 고딕" w:hAnsi="맑은 고딕" w:eastAsia="맑은 고딕"/>
          <w:b w:val="0"/>
          <w:sz w:val="20"/>
        </w:rPr>
        <w:t>호텔관광·실무영어 학과의 직무 상황을 시드로 하여, 콘텐츠 저작 → 교재 출간 → 말하기 실습 → 역량 증명의 전 과정을 하나의 데이터 흐름으로 연결하는 통합 플랫폼을 개발하고, 재학생 대상 실증을 통해 그 유효성을 검증한다.</w:t>
      </w:r>
    </w:p>
    <w:p>
      <w:pPr>
        <w:spacing w:before="0" w:after="120" w:line="348" w:lineRule="auto"/>
      </w:pPr>
      <w:r>
        <w:rPr>
          <w:rFonts w:ascii="맑은 고딕" w:hAnsi="맑은 고딕" w:eastAsia="맑은 고딕"/>
          <w:b w:val="0"/>
          <w:sz w:val="20"/>
        </w:rPr>
        <w:t>본 과제가 겨냥하는 것은 "인공지능이 외국어를 가르쳐 준다"가 아니라, 교수의 전공 지식이 콘텐츠가 되고, 콘텐츠가 교재로 출간되며, 교재가 실습으로 실행되고, 실행 데이터가 다시 성취 증명과 콘텐츠 개정의 근거가 되는 폐쇄 루프의 구현이다.</w:t>
      </w:r>
    </w:p>
    <w:p>
      <w:pPr>
        <w:spacing w:before="80" w:after="60" w:line="348" w:lineRule="auto"/>
      </w:pPr>
      <w:r>
        <w:rPr>
          <w:rFonts w:ascii="맑은 고딕" w:hAnsi="맑은 고딕" w:eastAsia="맑은 고딕"/>
          <w:b/>
          <w:sz w:val="20"/>
        </w:rPr>
        <w:t>[정량 목표]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1020"/>
            <w:shd w:val="clear" w:color="auto" w:fill="E8E8E8"/>
          </w:tcPr>
          <w:p>
            <w:pPr>
              <w:spacing w:after="0" w:line="312" w:lineRule="auto"/>
              <w:jc w:val="center"/>
            </w:pPr>
            <w:r/>
            <w:r>
              <w:rPr>
                <w:rFonts w:ascii="맑은 고딕" w:hAnsi="맑은 고딕" w:eastAsia="맑은 고딕"/>
                <w:b/>
                <w:sz w:val="18"/>
              </w:rPr>
              <w:t>구분</w:t>
            </w:r>
          </w:p>
        </w:tc>
        <w:tc>
          <w:tcPr>
            <w:tcW w:type="dxa" w:w="3628"/>
            <w:shd w:val="clear" w:color="auto" w:fill="E8E8E8"/>
          </w:tcPr>
          <w:p>
            <w:pPr>
              <w:spacing w:after="0" w:line="312" w:lineRule="auto"/>
              <w:jc w:val="center"/>
            </w:pPr>
            <w:r/>
            <w:r>
              <w:rPr>
                <w:rFonts w:ascii="맑은 고딕" w:hAnsi="맑은 고딕" w:eastAsia="맑은 고딕"/>
                <w:b/>
                <w:sz w:val="18"/>
              </w:rPr>
              <w:t>지표</w:t>
            </w:r>
          </w:p>
        </w:tc>
        <w:tc>
          <w:tcPr>
            <w:tcW w:type="dxa" w:w="1928"/>
            <w:shd w:val="clear" w:color="auto" w:fill="E8E8E8"/>
          </w:tcPr>
          <w:p>
            <w:pPr>
              <w:spacing w:after="0" w:line="312" w:lineRule="auto"/>
              <w:jc w:val="center"/>
            </w:pPr>
            <w:r/>
            <w:r>
              <w:rPr>
                <w:rFonts w:ascii="맑은 고딕" w:hAnsi="맑은 고딕" w:eastAsia="맑은 고딕"/>
                <w:b/>
                <w:sz w:val="18"/>
              </w:rPr>
              <w:t>목표값</w:t>
            </w:r>
          </w:p>
        </w:tc>
        <w:tc>
          <w:tcPr>
            <w:tcW w:type="dxa" w:w="2835"/>
            <w:shd w:val="clear" w:color="auto" w:fill="E8E8E8"/>
          </w:tcPr>
          <w:p>
            <w:pPr>
              <w:spacing w:after="0" w:line="312" w:lineRule="auto"/>
              <w:jc w:val="center"/>
            </w:pPr>
            <w:r/>
            <w:r>
              <w:rPr>
                <w:rFonts w:ascii="맑은 고딕" w:hAnsi="맑은 고딕" w:eastAsia="맑은 고딕"/>
                <w:b/>
                <w:sz w:val="18"/>
              </w:rPr>
              <w:t>측정 방법</w:t>
            </w:r>
          </w:p>
        </w:tc>
      </w:tr>
      <w:tr>
        <w:tc>
          <w:tcPr>
            <w:tcW w:type="dxa" w:w="1020"/>
          </w:tcPr>
          <w:p>
            <w:pPr>
              <w:spacing w:after="0" w:line="312" w:lineRule="auto"/>
              <w:jc w:val="center"/>
            </w:pPr>
            <w:r/>
            <w:r>
              <w:rPr>
                <w:rFonts w:ascii="맑은 고딕" w:hAnsi="맑은 고딕" w:eastAsia="맑은 고딕"/>
                <w:b w:val="0"/>
                <w:sz w:val="18"/>
              </w:rPr>
              <w:t>저작</w:t>
            </w:r>
          </w:p>
        </w:tc>
        <w:tc>
          <w:tcPr>
            <w:tcW w:type="dxa" w:w="3628"/>
          </w:tcPr>
          <w:p>
            <w:pPr>
              <w:spacing w:after="0" w:line="312" w:lineRule="auto"/>
              <w:jc w:val="center"/>
            </w:pPr>
            <w:r/>
            <w:r>
              <w:rPr>
                <w:rFonts w:ascii="맑은 고딕" w:hAnsi="맑은 고딕" w:eastAsia="맑은 고딕"/>
                <w:b w:val="0"/>
                <w:sz w:val="18"/>
              </w:rPr>
              <w:t>ESP 콘텐츠 단원 수</w:t>
            </w:r>
          </w:p>
        </w:tc>
        <w:tc>
          <w:tcPr>
            <w:tcW w:type="dxa" w:w="1928"/>
          </w:tcPr>
          <w:p>
            <w:pPr>
              <w:spacing w:after="0" w:line="312" w:lineRule="auto"/>
              <w:jc w:val="center"/>
            </w:pPr>
            <w:r/>
            <w:r>
              <w:rPr>
                <w:rFonts w:ascii="맑은 고딕" w:hAnsi="맑은 고딕" w:eastAsia="맑은 고딕"/>
                <w:b w:val="0"/>
                <w:sz w:val="18"/>
              </w:rPr>
              <w:t>20단원 이상</w:t>
            </w:r>
          </w:p>
        </w:tc>
        <w:tc>
          <w:tcPr>
            <w:tcW w:type="dxa" w:w="2835"/>
          </w:tcPr>
          <w:p>
            <w:pPr>
              <w:spacing w:after="0" w:line="312" w:lineRule="auto"/>
              <w:jc w:val="center"/>
            </w:pPr>
            <w:r/>
            <w:r>
              <w:rPr>
                <w:rFonts w:ascii="맑은 고딕" w:hAnsi="맑은 고딕" w:eastAsia="맑은 고딕"/>
                <w:b w:val="0"/>
                <w:sz w:val="18"/>
              </w:rPr>
              <w:t>승인 완료 단원 집계</w:t>
            </w:r>
          </w:p>
        </w:tc>
      </w:tr>
      <w:tr>
        <w:tc>
          <w:tcPr>
            <w:tcW w:type="dxa" w:w="1020"/>
          </w:tcPr>
          <w:p>
            <w:pPr>
              <w:spacing w:after="0" w:line="312" w:lineRule="auto"/>
              <w:jc w:val="center"/>
            </w:pPr>
            <w:r/>
            <w:r>
              <w:rPr>
                <w:rFonts w:ascii="맑은 고딕" w:hAnsi="맑은 고딕" w:eastAsia="맑은 고딕"/>
                <w:b w:val="0"/>
                <w:sz w:val="18"/>
              </w:rPr>
              <w:t>저작</w:t>
            </w:r>
          </w:p>
        </w:tc>
        <w:tc>
          <w:tcPr>
            <w:tcW w:type="dxa" w:w="3628"/>
          </w:tcPr>
          <w:p>
            <w:pPr>
              <w:spacing w:after="0" w:line="312" w:lineRule="auto"/>
            </w:pPr>
            <w:r/>
            <w:r>
              <w:rPr>
                <w:rFonts w:ascii="맑은 고딕" w:hAnsi="맑은 고딕" w:eastAsia="맑은 고딕"/>
                <w:b w:val="0"/>
                <w:sz w:val="18"/>
              </w:rPr>
              <w:t>콘텐츠 1건당 교수 검수 소요시간</w:t>
            </w:r>
          </w:p>
        </w:tc>
        <w:tc>
          <w:tcPr>
            <w:tcW w:type="dxa" w:w="1928"/>
          </w:tcPr>
          <w:p>
            <w:pPr>
              <w:spacing w:after="0" w:line="312" w:lineRule="auto"/>
              <w:jc w:val="center"/>
            </w:pPr>
            <w:r/>
            <w:r>
              <w:rPr>
                <w:rFonts w:ascii="맑은 고딕" w:hAnsi="맑은 고딕" w:eastAsia="맑은 고딕"/>
                <w:b w:val="0"/>
                <w:sz w:val="18"/>
              </w:rPr>
              <w:t>3분 이내</w:t>
            </w:r>
          </w:p>
        </w:tc>
        <w:tc>
          <w:tcPr>
            <w:tcW w:type="dxa" w:w="2835"/>
          </w:tcPr>
          <w:p>
            <w:pPr>
              <w:spacing w:after="0" w:line="312" w:lineRule="auto"/>
              <w:jc w:val="center"/>
            </w:pPr>
            <w:r/>
            <w:r>
              <w:rPr>
                <w:rFonts w:ascii="맑은 고딕" w:hAnsi="맑은 고딕" w:eastAsia="맑은 고딕"/>
                <w:b w:val="0"/>
                <w:sz w:val="18"/>
              </w:rPr>
              <w:t>검수 화면 체류시간 로그</w:t>
            </w:r>
          </w:p>
        </w:tc>
      </w:tr>
      <w:tr>
        <w:tc>
          <w:tcPr>
            <w:tcW w:type="dxa" w:w="1020"/>
          </w:tcPr>
          <w:p>
            <w:pPr>
              <w:spacing w:after="0" w:line="312" w:lineRule="auto"/>
              <w:jc w:val="center"/>
            </w:pPr>
            <w:r/>
            <w:r>
              <w:rPr>
                <w:rFonts w:ascii="맑은 고딕" w:hAnsi="맑은 고딕" w:eastAsia="맑은 고딕"/>
                <w:b w:val="0"/>
                <w:sz w:val="18"/>
              </w:rPr>
              <w:t>저작</w:t>
            </w:r>
          </w:p>
        </w:tc>
        <w:tc>
          <w:tcPr>
            <w:tcW w:type="dxa" w:w="3628"/>
          </w:tcPr>
          <w:p>
            <w:pPr>
              <w:spacing w:after="0" w:line="312" w:lineRule="auto"/>
              <w:jc w:val="center"/>
            </w:pPr>
            <w:r/>
            <w:r>
              <w:rPr>
                <w:rFonts w:ascii="맑은 고딕" w:hAnsi="맑은 고딕" w:eastAsia="맑은 고딕"/>
                <w:b w:val="0"/>
                <w:sz w:val="18"/>
              </w:rPr>
              <w:t>첫 생성 시도의 교수 승인률</w:t>
            </w:r>
          </w:p>
        </w:tc>
        <w:tc>
          <w:tcPr>
            <w:tcW w:type="dxa" w:w="1928"/>
          </w:tcPr>
          <w:p>
            <w:pPr>
              <w:spacing w:after="0" w:line="312" w:lineRule="auto"/>
              <w:jc w:val="center"/>
            </w:pPr>
            <w:r/>
            <w:r>
              <w:rPr>
                <w:rFonts w:ascii="맑은 고딕" w:hAnsi="맑은 고딕" w:eastAsia="맑은 고딕"/>
                <w:b w:val="0"/>
                <w:sz w:val="18"/>
              </w:rPr>
              <w:t>70% 이상</w:t>
            </w:r>
          </w:p>
        </w:tc>
        <w:tc>
          <w:tcPr>
            <w:tcW w:type="dxa" w:w="2835"/>
          </w:tcPr>
          <w:p>
            <w:pPr>
              <w:spacing w:after="0" w:line="312" w:lineRule="auto"/>
              <w:jc w:val="center"/>
            </w:pPr>
            <w:r/>
            <w:r>
              <w:rPr>
                <w:rFonts w:ascii="맑은 고딕" w:hAnsi="맑은 고딕" w:eastAsia="맑은 고딕"/>
                <w:b w:val="0"/>
                <w:sz w:val="18"/>
              </w:rPr>
              <w:t>승인/재생성 비율</w:t>
            </w:r>
          </w:p>
        </w:tc>
      </w:tr>
      <w:tr>
        <w:tc>
          <w:tcPr>
            <w:tcW w:type="dxa" w:w="1020"/>
          </w:tcPr>
          <w:p>
            <w:pPr>
              <w:spacing w:after="0" w:line="312" w:lineRule="auto"/>
              <w:jc w:val="center"/>
            </w:pPr>
            <w:r/>
            <w:r>
              <w:rPr>
                <w:rFonts w:ascii="맑은 고딕" w:hAnsi="맑은 고딕" w:eastAsia="맑은 고딕"/>
                <w:b w:val="0"/>
                <w:sz w:val="18"/>
              </w:rPr>
              <w:t>분석</w:t>
            </w:r>
          </w:p>
        </w:tc>
        <w:tc>
          <w:tcPr>
            <w:tcW w:type="dxa" w:w="3628"/>
          </w:tcPr>
          <w:p>
            <w:pPr>
              <w:spacing w:after="0" w:line="312" w:lineRule="auto"/>
            </w:pPr>
            <w:r/>
            <w:r>
              <w:rPr>
                <w:rFonts w:ascii="맑은 고딕" w:hAnsi="맑은 고딕" w:eastAsia="맑은 고딕"/>
                <w:b w:val="0"/>
                <w:sz w:val="18"/>
              </w:rPr>
              <w:t>CEFR 등급 자동 추정의 전문가 판정 일치율</w:t>
            </w:r>
          </w:p>
        </w:tc>
        <w:tc>
          <w:tcPr>
            <w:tcW w:type="dxa" w:w="1928"/>
          </w:tcPr>
          <w:p>
            <w:pPr>
              <w:spacing w:after="0" w:line="312" w:lineRule="auto"/>
              <w:jc w:val="center"/>
            </w:pPr>
            <w:r/>
            <w:r>
              <w:rPr>
                <w:rFonts w:ascii="맑은 고딕" w:hAnsi="맑은 고딕" w:eastAsia="맑은 고딕"/>
                <w:b w:val="0"/>
                <w:sz w:val="18"/>
              </w:rPr>
              <w:t>85% 이상</w:t>
            </w:r>
          </w:p>
        </w:tc>
        <w:tc>
          <w:tcPr>
            <w:tcW w:type="dxa" w:w="2835"/>
          </w:tcPr>
          <w:p>
            <w:pPr>
              <w:spacing w:after="0" w:line="312" w:lineRule="auto"/>
              <w:jc w:val="center"/>
            </w:pPr>
            <w:r/>
            <w:r>
              <w:rPr>
                <w:rFonts w:ascii="맑은 고딕" w:hAnsi="맑은 고딕" w:eastAsia="맑은 고딕"/>
                <w:b w:val="0"/>
                <w:sz w:val="18"/>
              </w:rPr>
              <w:t>표본 지문 교수 판정 대조</w:t>
            </w:r>
          </w:p>
        </w:tc>
      </w:tr>
      <w:tr>
        <w:tc>
          <w:tcPr>
            <w:tcW w:type="dxa" w:w="1020"/>
          </w:tcPr>
          <w:p>
            <w:pPr>
              <w:spacing w:after="0" w:line="312" w:lineRule="auto"/>
              <w:jc w:val="center"/>
            </w:pPr>
            <w:r/>
            <w:r>
              <w:rPr>
                <w:rFonts w:ascii="맑은 고딕" w:hAnsi="맑은 고딕" w:eastAsia="맑은 고딕"/>
                <w:b w:val="0"/>
                <w:sz w:val="18"/>
              </w:rPr>
              <w:t>출판</w:t>
            </w:r>
          </w:p>
        </w:tc>
        <w:tc>
          <w:tcPr>
            <w:tcW w:type="dxa" w:w="3628"/>
          </w:tcPr>
          <w:p>
            <w:pPr>
              <w:spacing w:after="0" w:line="312" w:lineRule="auto"/>
              <w:jc w:val="center"/>
            </w:pPr>
            <w:r/>
            <w:r>
              <w:rPr>
                <w:rFonts w:ascii="맑은 고딕" w:hAnsi="맑은 고딕" w:eastAsia="맑은 고딕"/>
                <w:b w:val="0"/>
                <w:sz w:val="18"/>
              </w:rPr>
              <w:t>대학 명의 시범 교재</w:t>
            </w:r>
          </w:p>
        </w:tc>
        <w:tc>
          <w:tcPr>
            <w:tcW w:type="dxa" w:w="1928"/>
          </w:tcPr>
          <w:p>
            <w:pPr>
              <w:spacing w:after="0" w:line="312" w:lineRule="auto"/>
              <w:jc w:val="center"/>
            </w:pPr>
            <w:r/>
            <w:r>
              <w:rPr>
                <w:rFonts w:ascii="맑은 고딕" w:hAnsi="맑은 고딕" w:eastAsia="맑은 고딕"/>
                <w:b w:val="0"/>
                <w:sz w:val="18"/>
              </w:rPr>
              <w:t>1종</w:t>
            </w:r>
          </w:p>
        </w:tc>
        <w:tc>
          <w:tcPr>
            <w:tcW w:type="dxa" w:w="2835"/>
          </w:tcPr>
          <w:p>
            <w:pPr>
              <w:spacing w:after="0" w:line="312" w:lineRule="auto"/>
            </w:pPr>
            <w:r/>
            <w:r>
              <w:rPr>
                <w:rFonts w:ascii="맑은 고딕" w:hAnsi="맑은 고딕" w:eastAsia="맑은 고딕"/>
                <w:b w:val="0"/>
                <w:sz w:val="18"/>
              </w:rPr>
              <w:t>전자책 + 인쇄용 PDF 산출</w:t>
            </w:r>
          </w:p>
        </w:tc>
      </w:tr>
      <w:tr>
        <w:tc>
          <w:tcPr>
            <w:tcW w:type="dxa" w:w="1020"/>
          </w:tcPr>
          <w:p>
            <w:pPr>
              <w:spacing w:after="0" w:line="312" w:lineRule="auto"/>
              <w:jc w:val="center"/>
            </w:pPr>
            <w:r/>
            <w:r>
              <w:rPr>
                <w:rFonts w:ascii="맑은 고딕" w:hAnsi="맑은 고딕" w:eastAsia="맑은 고딕"/>
                <w:b w:val="0"/>
                <w:sz w:val="18"/>
              </w:rPr>
              <w:t>실습</w:t>
            </w:r>
          </w:p>
        </w:tc>
        <w:tc>
          <w:tcPr>
            <w:tcW w:type="dxa" w:w="3628"/>
          </w:tcPr>
          <w:p>
            <w:pPr>
              <w:spacing w:after="0" w:line="312" w:lineRule="auto"/>
              <w:jc w:val="center"/>
            </w:pPr>
            <w:r/>
            <w:r>
              <w:rPr>
                <w:rFonts w:ascii="맑은 고딕" w:hAnsi="맑은 고딕" w:eastAsia="맑은 고딕"/>
                <w:b w:val="0"/>
                <w:sz w:val="18"/>
              </w:rPr>
              <w:t>직무 롤플레이 시나리오</w:t>
            </w:r>
          </w:p>
        </w:tc>
        <w:tc>
          <w:tcPr>
            <w:tcW w:type="dxa" w:w="1928"/>
          </w:tcPr>
          <w:p>
            <w:pPr>
              <w:spacing w:after="0" w:line="312" w:lineRule="auto"/>
              <w:jc w:val="center"/>
            </w:pPr>
            <w:r/>
            <w:r>
              <w:rPr>
                <w:rFonts w:ascii="맑은 고딕" w:hAnsi="맑은 고딕" w:eastAsia="맑은 고딕"/>
                <w:b w:val="0"/>
                <w:sz w:val="18"/>
              </w:rPr>
              <w:t>30개 이상</w:t>
            </w:r>
          </w:p>
        </w:tc>
        <w:tc>
          <w:tcPr>
            <w:tcW w:type="dxa" w:w="2835"/>
          </w:tcPr>
          <w:p>
            <w:pPr>
              <w:spacing w:after="0" w:line="312" w:lineRule="auto"/>
              <w:jc w:val="center"/>
            </w:pPr>
            <w:r/>
            <w:r>
              <w:rPr>
                <w:rFonts w:ascii="맑은 고딕" w:hAnsi="맑은 고딕" w:eastAsia="맑은 고딕"/>
                <w:b w:val="0"/>
                <w:sz w:val="18"/>
              </w:rPr>
              <w:t>구현·검수 완료 시나리오 수</w:t>
            </w:r>
          </w:p>
        </w:tc>
      </w:tr>
      <w:tr>
        <w:tc>
          <w:tcPr>
            <w:tcW w:type="dxa" w:w="1020"/>
          </w:tcPr>
          <w:p>
            <w:pPr>
              <w:spacing w:after="0" w:line="312" w:lineRule="auto"/>
              <w:jc w:val="center"/>
            </w:pPr>
            <w:r/>
            <w:r>
              <w:rPr>
                <w:rFonts w:ascii="맑은 고딕" w:hAnsi="맑은 고딕" w:eastAsia="맑은 고딕"/>
                <w:b w:val="0"/>
                <w:sz w:val="18"/>
              </w:rPr>
              <w:t>실증</w:t>
            </w:r>
          </w:p>
        </w:tc>
        <w:tc>
          <w:tcPr>
            <w:tcW w:type="dxa" w:w="3628"/>
          </w:tcPr>
          <w:p>
            <w:pPr>
              <w:spacing w:after="0" w:line="312" w:lineRule="auto"/>
              <w:jc w:val="center"/>
            </w:pPr>
            <w:r/>
            <w:r>
              <w:rPr>
                <w:rFonts w:ascii="맑은 고딕" w:hAnsi="맑은 고딕" w:eastAsia="맑은 고딕"/>
                <w:b w:val="0"/>
                <w:sz w:val="18"/>
              </w:rPr>
              <w:t>참여 학생 수</w:t>
            </w:r>
          </w:p>
        </w:tc>
        <w:tc>
          <w:tcPr>
            <w:tcW w:type="dxa" w:w="1928"/>
          </w:tcPr>
          <w:p>
            <w:pPr>
              <w:spacing w:after="0" w:line="312" w:lineRule="auto"/>
              <w:jc w:val="center"/>
            </w:pPr>
            <w:r/>
            <w:r>
              <w:rPr>
                <w:rFonts w:ascii="맑은 고딕" w:hAnsi="맑은 고딕" w:eastAsia="맑은 고딕"/>
                <w:b w:val="0"/>
                <w:sz w:val="18"/>
              </w:rPr>
              <w:t>30명 이상</w:t>
            </w:r>
          </w:p>
        </w:tc>
        <w:tc>
          <w:tcPr>
            <w:tcW w:type="dxa" w:w="2835"/>
          </w:tcPr>
          <w:p>
            <w:pPr>
              <w:spacing w:after="0" w:line="312" w:lineRule="auto"/>
              <w:jc w:val="center"/>
            </w:pPr>
            <w:r/>
            <w:r>
              <w:rPr>
                <w:rFonts w:ascii="맑은 고딕" w:hAnsi="맑은 고딕" w:eastAsia="맑은 고딕"/>
                <w:b w:val="0"/>
                <w:sz w:val="18"/>
              </w:rPr>
              <w:t>실증 참여자 명부</w:t>
            </w:r>
          </w:p>
        </w:tc>
      </w:tr>
      <w:tr>
        <w:tc>
          <w:tcPr>
            <w:tcW w:type="dxa" w:w="1020"/>
          </w:tcPr>
          <w:p>
            <w:pPr>
              <w:spacing w:after="0" w:line="312" w:lineRule="auto"/>
              <w:jc w:val="center"/>
            </w:pPr>
            <w:r/>
            <w:r>
              <w:rPr>
                <w:rFonts w:ascii="맑은 고딕" w:hAnsi="맑은 고딕" w:eastAsia="맑은 고딕"/>
                <w:b w:val="0"/>
                <w:sz w:val="18"/>
              </w:rPr>
              <w:t>실증</w:t>
            </w:r>
          </w:p>
        </w:tc>
        <w:tc>
          <w:tcPr>
            <w:tcW w:type="dxa" w:w="3628"/>
          </w:tcPr>
          <w:p>
            <w:pPr>
              <w:spacing w:after="0" w:line="312" w:lineRule="auto"/>
              <w:jc w:val="center"/>
            </w:pPr>
            <w:r/>
            <w:r>
              <w:rPr>
                <w:rFonts w:ascii="맑은 고딕" w:hAnsi="맑은 고딕" w:eastAsia="맑은 고딕"/>
                <w:b w:val="0"/>
                <w:sz w:val="18"/>
              </w:rPr>
              <w:t>학습 완주율</w:t>
            </w:r>
          </w:p>
        </w:tc>
        <w:tc>
          <w:tcPr>
            <w:tcW w:type="dxa" w:w="1928"/>
          </w:tcPr>
          <w:p>
            <w:pPr>
              <w:spacing w:after="0" w:line="312" w:lineRule="auto"/>
              <w:jc w:val="center"/>
            </w:pPr>
            <w:r/>
            <w:r>
              <w:rPr>
                <w:rFonts w:ascii="맑은 고딕" w:hAnsi="맑은 고딕" w:eastAsia="맑은 고딕"/>
                <w:b w:val="0"/>
                <w:sz w:val="18"/>
              </w:rPr>
              <w:t>70% 이상</w:t>
            </w:r>
          </w:p>
        </w:tc>
        <w:tc>
          <w:tcPr>
            <w:tcW w:type="dxa" w:w="2835"/>
          </w:tcPr>
          <w:p>
            <w:pPr>
              <w:spacing w:after="0" w:line="312" w:lineRule="auto"/>
              <w:jc w:val="center"/>
            </w:pPr>
            <w:r/>
            <w:r>
              <w:rPr>
                <w:rFonts w:ascii="맑은 고딕" w:hAnsi="맑은 고딕" w:eastAsia="맑은 고딕"/>
                <w:b w:val="0"/>
                <w:sz w:val="18"/>
              </w:rPr>
              <w:t>배정 대비 완료 세션 비율</w:t>
            </w:r>
          </w:p>
        </w:tc>
      </w:tr>
      <w:tr>
        <w:tc>
          <w:tcPr>
            <w:tcW w:type="dxa" w:w="1020"/>
          </w:tcPr>
          <w:p>
            <w:pPr>
              <w:spacing w:after="0" w:line="312" w:lineRule="auto"/>
              <w:jc w:val="center"/>
            </w:pPr>
            <w:r/>
            <w:r>
              <w:rPr>
                <w:rFonts w:ascii="맑은 고딕" w:hAnsi="맑은 고딕" w:eastAsia="맑은 고딕"/>
                <w:b w:val="0"/>
                <w:sz w:val="18"/>
              </w:rPr>
              <w:t>증명</w:t>
            </w:r>
          </w:p>
        </w:tc>
        <w:tc>
          <w:tcPr>
            <w:tcW w:type="dxa" w:w="3628"/>
          </w:tcPr>
          <w:p>
            <w:pPr>
              <w:spacing w:after="0" w:line="312" w:lineRule="auto"/>
              <w:jc w:val="center"/>
            </w:pPr>
            <w:r/>
            <w:r>
              <w:rPr>
                <w:rFonts w:ascii="맑은 고딕" w:hAnsi="맑은 고딕" w:eastAsia="맑은 고딕"/>
                <w:b w:val="0"/>
                <w:sz w:val="18"/>
              </w:rPr>
              <w:t>개인별 역량 리포트 발급</w:t>
            </w:r>
          </w:p>
        </w:tc>
        <w:tc>
          <w:tcPr>
            <w:tcW w:type="dxa" w:w="1928"/>
          </w:tcPr>
          <w:p>
            <w:pPr>
              <w:spacing w:after="0" w:line="312" w:lineRule="auto"/>
              <w:jc w:val="center"/>
            </w:pPr>
            <w:r/>
            <w:r>
              <w:rPr>
                <w:rFonts w:ascii="맑은 고딕" w:hAnsi="맑은 고딕" w:eastAsia="맑은 고딕"/>
                <w:b w:val="0"/>
                <w:sz w:val="18"/>
              </w:rPr>
              <w:t>참여 학생 전원</w:t>
            </w:r>
          </w:p>
        </w:tc>
        <w:tc>
          <w:tcPr>
            <w:tcW w:type="dxa" w:w="2835"/>
          </w:tcPr>
          <w:p>
            <w:pPr>
              <w:spacing w:after="0" w:line="312" w:lineRule="auto"/>
              <w:jc w:val="center"/>
            </w:pPr>
            <w:r/>
            <w:r>
              <w:rPr>
                <w:rFonts w:ascii="맑은 고딕" w:hAnsi="맑은 고딕" w:eastAsia="맑은 고딕"/>
                <w:b w:val="0"/>
                <w:sz w:val="18"/>
              </w:rPr>
              <w:t>발행 리포트 수</w:t>
            </w:r>
          </w:p>
        </w:tc>
      </w:tr>
    </w:tbl>
    <w:p>
      <w:pPr>
        <w:spacing w:before="240" w:after="100"/>
      </w:pPr>
      <w:r>
        <w:rPr>
          <w:rFonts w:ascii="맑은 고딕" w:hAnsi="맑은 고딕" w:eastAsia="맑은 고딕"/>
          <w:b/>
          <w:sz w:val="23"/>
        </w:rPr>
        <w:t>2) 연구개발과제의 내용</w:t>
      </w:r>
    </w:p>
    <w:p>
      <w:pPr>
        <w:spacing w:before="0" w:after="60" w:line="348" w:lineRule="auto"/>
      </w:pPr>
      <w:r>
        <w:rPr>
          <w:rFonts w:ascii="맑은 고딕" w:hAnsi="맑은 고딕" w:eastAsia="맑은 고딕"/>
          <w:b w:val="0"/>
          <w:sz w:val="20"/>
        </w:rPr>
        <w:t>본 과제는 다섯 개 모듈로 구성되며, 각 모듈의 산출물이 다음 모듈의 입력이 되는 직렬 구조를 이룬다.</w:t>
      </w:r>
    </w:p>
    <w:p>
      <w:pPr>
        <w:spacing w:before="200" w:after="80"/>
      </w:pPr>
      <w:r>
        <w:rPr>
          <w:rFonts w:ascii="맑은 고딕" w:hAnsi="맑은 고딕" w:eastAsia="맑은 고딕"/>
          <w:b/>
          <w:sz w:val="21"/>
        </w:rPr>
        <w:t>모듈 1. 직무 도메인 시드 기반 콘텐츠 생성 엔진</w:t>
      </w:r>
    </w:p>
    <w:p>
      <w:pPr>
        <w:spacing w:before="0" w:after="60" w:line="348" w:lineRule="auto"/>
      </w:pPr>
      <w:r>
        <w:rPr>
          <w:rFonts w:ascii="맑은 고딕" w:hAnsi="맑은 고딕" w:eastAsia="맑은 고딕"/>
          <w:b w:val="0"/>
          <w:sz w:val="20"/>
        </w:rPr>
        <w:t>교수가 학과·직무 상황·요구 수준을 등록하면, 이 직무 스코프가 지문·문항·회화·리포트가 공유하는 단일 기준이 된다. 생성되는 모든 지문은 그 직무 맥락 안에서 나오고, 롤플레이도 그 상황을 재현하며, 리포트도 그 직무 역량 기준으로 성취를 기술한다. 콘텐츠 소재는 세 경로로 유입된다.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1587"/>
            <w:shd w:val="clear" w:color="auto" w:fill="E8E8E8"/>
          </w:tcPr>
          <w:p>
            <w:pPr>
              <w:spacing w:after="0" w:line="312" w:lineRule="auto"/>
              <w:jc w:val="center"/>
            </w:pPr>
            <w:r/>
            <w:r>
              <w:rPr>
                <w:rFonts w:ascii="맑은 고딕" w:hAnsi="맑은 고딕" w:eastAsia="맑은 고딕"/>
                <w:b/>
                <w:sz w:val="18"/>
              </w:rPr>
              <w:t>경로</w:t>
            </w:r>
          </w:p>
        </w:tc>
        <w:tc>
          <w:tcPr>
            <w:tcW w:type="dxa" w:w="4195"/>
            <w:shd w:val="clear" w:color="auto" w:fill="E8E8E8"/>
          </w:tcPr>
          <w:p>
            <w:pPr>
              <w:spacing w:after="0" w:line="312" w:lineRule="auto"/>
              <w:jc w:val="center"/>
            </w:pPr>
            <w:r/>
            <w:r>
              <w:rPr>
                <w:rFonts w:ascii="맑은 고딕" w:hAnsi="맑은 고딕" w:eastAsia="맑은 고딕"/>
                <w:b/>
                <w:sz w:val="18"/>
              </w:rPr>
              <w:t>내용</w:t>
            </w:r>
          </w:p>
        </w:tc>
        <w:tc>
          <w:tcPr>
            <w:tcW w:type="dxa" w:w="1701"/>
            <w:shd w:val="clear" w:color="auto" w:fill="E8E8E8"/>
          </w:tcPr>
          <w:p>
            <w:pPr>
              <w:spacing w:after="0" w:line="312" w:lineRule="auto"/>
              <w:jc w:val="center"/>
            </w:pPr>
            <w:r/>
            <w:r>
              <w:rPr>
                <w:rFonts w:ascii="맑은 고딕" w:hAnsi="맑은 고딕" w:eastAsia="맑은 고딕"/>
                <w:b/>
                <w:sz w:val="18"/>
              </w:rPr>
              <w:t>AI 역할</w:t>
            </w:r>
          </w:p>
        </w:tc>
        <w:tc>
          <w:tcPr>
            <w:tcW w:type="dxa" w:w="1928"/>
            <w:shd w:val="clear" w:color="auto" w:fill="E8E8E8"/>
          </w:tcPr>
          <w:p>
            <w:pPr>
              <w:spacing w:after="0" w:line="312" w:lineRule="auto"/>
              <w:jc w:val="center"/>
            </w:pPr>
            <w:r/>
            <w:r>
              <w:rPr>
                <w:rFonts w:ascii="맑은 고딕" w:hAnsi="맑은 고딕" w:eastAsia="맑은 고딕"/>
                <w:b/>
                <w:sz w:val="18"/>
              </w:rPr>
              <w:t>저작권 성격</w:t>
            </w:r>
          </w:p>
        </w:tc>
      </w:tr>
      <w:tr>
        <w:tc>
          <w:tcPr>
            <w:tcW w:type="dxa" w:w="1587"/>
          </w:tcPr>
          <w:p>
            <w:pPr>
              <w:spacing w:after="0" w:line="312" w:lineRule="auto"/>
              <w:jc w:val="center"/>
            </w:pPr>
            <w:r/>
            <w:r>
              <w:rPr>
                <w:rFonts w:ascii="맑은 고딕" w:hAnsi="맑은 고딕" w:eastAsia="맑은 고딕"/>
                <w:b w:val="0"/>
                <w:sz w:val="18"/>
              </w:rPr>
              <w:t>S1 자료 편입</w:t>
            </w:r>
          </w:p>
        </w:tc>
        <w:tc>
          <w:tcPr>
            <w:tcW w:type="dxa" w:w="4195"/>
          </w:tcPr>
          <w:p>
            <w:pPr>
              <w:spacing w:after="0" w:line="312" w:lineRule="auto"/>
            </w:pPr>
            <w:r/>
            <w:r>
              <w:rPr>
                <w:rFonts w:ascii="맑은 고딕" w:hAnsi="맑은 고딕" w:eastAsia="맑은 고딕"/>
                <w:b w:val="0"/>
                <w:sz w:val="18"/>
              </w:rPr>
              <w:t>교수가 이미 쓰던 강의자료·유인물을 업로드해 디지털화·구조화</w:t>
            </w:r>
          </w:p>
        </w:tc>
        <w:tc>
          <w:tcPr>
            <w:tcW w:type="dxa" w:w="1701"/>
          </w:tcPr>
          <w:p>
            <w:pPr>
              <w:spacing w:after="0" w:line="312" w:lineRule="auto"/>
              <w:jc w:val="center"/>
            </w:pPr>
            <w:r/>
            <w:r>
              <w:rPr>
                <w:rFonts w:ascii="맑은 고딕" w:hAnsi="맑은 고딕" w:eastAsia="맑은 고딕"/>
                <w:b w:val="0"/>
                <w:sz w:val="18"/>
              </w:rPr>
              <w:t>파싱·구조화 보조만</w:t>
            </w:r>
          </w:p>
        </w:tc>
        <w:tc>
          <w:tcPr>
            <w:tcW w:type="dxa" w:w="1928"/>
          </w:tcPr>
          <w:p>
            <w:pPr>
              <w:spacing w:after="0" w:line="312" w:lineRule="auto"/>
              <w:jc w:val="center"/>
            </w:pPr>
            <w:r/>
            <w:r>
              <w:rPr>
                <w:rFonts w:ascii="맑은 고딕" w:hAnsi="맑은 고딕" w:eastAsia="맑은 고딕"/>
                <w:b w:val="0"/>
                <w:sz w:val="18"/>
              </w:rPr>
              <w:t>교수 원저작</w:t>
            </w:r>
          </w:p>
        </w:tc>
      </w:tr>
      <w:tr>
        <w:tc>
          <w:tcPr>
            <w:tcW w:type="dxa" w:w="1587"/>
          </w:tcPr>
          <w:p>
            <w:pPr>
              <w:spacing w:after="0" w:line="312" w:lineRule="auto"/>
              <w:jc w:val="center"/>
            </w:pPr>
            <w:r/>
            <w:r>
              <w:rPr>
                <w:rFonts w:ascii="맑은 고딕" w:hAnsi="맑은 고딕" w:eastAsia="맑은 고딕"/>
                <w:b w:val="0"/>
                <w:sz w:val="18"/>
              </w:rPr>
              <w:t>S2 변형 생성</w:t>
            </w:r>
          </w:p>
        </w:tc>
        <w:tc>
          <w:tcPr>
            <w:tcW w:type="dxa" w:w="4195"/>
          </w:tcPr>
          <w:p>
            <w:pPr>
              <w:spacing w:after="0" w:line="312" w:lineRule="auto"/>
            </w:pPr>
            <w:r/>
            <w:r>
              <w:rPr>
                <w:rFonts w:ascii="맑은 고딕" w:hAnsi="맑은 고딕" w:eastAsia="맑은 고딕"/>
                <w:b w:val="0"/>
                <w:sz w:val="18"/>
              </w:rPr>
              <w:t>업로드 자료를 바탕으로 난이도 조정·확장·문항화</w:t>
            </w:r>
          </w:p>
        </w:tc>
        <w:tc>
          <w:tcPr>
            <w:tcW w:type="dxa" w:w="1701"/>
          </w:tcPr>
          <w:p>
            <w:pPr>
              <w:spacing w:after="0" w:line="312" w:lineRule="auto"/>
              <w:jc w:val="center"/>
            </w:pPr>
            <w:r/>
            <w:r>
              <w:rPr>
                <w:rFonts w:ascii="맑은 고딕" w:hAnsi="맑은 고딕" w:eastAsia="맑은 고딕"/>
                <w:b w:val="0"/>
                <w:sz w:val="18"/>
              </w:rPr>
              <w:t>변형 생성</w:t>
            </w:r>
          </w:p>
        </w:tc>
        <w:tc>
          <w:tcPr>
            <w:tcW w:type="dxa" w:w="1928"/>
          </w:tcPr>
          <w:p>
            <w:pPr>
              <w:spacing w:after="0" w:line="312" w:lineRule="auto"/>
              <w:jc w:val="center"/>
            </w:pPr>
            <w:r/>
            <w:r>
              <w:rPr>
                <w:rFonts w:ascii="맑은 고딕" w:hAnsi="맑은 고딕" w:eastAsia="맑은 고딕"/>
                <w:b w:val="0"/>
                <w:sz w:val="18"/>
              </w:rPr>
              <w:t>교수 원저작 기반</w:t>
            </w:r>
          </w:p>
        </w:tc>
      </w:tr>
      <w:tr>
        <w:tc>
          <w:tcPr>
            <w:tcW w:type="dxa" w:w="1587"/>
          </w:tcPr>
          <w:p>
            <w:pPr>
              <w:spacing w:after="0" w:line="312" w:lineRule="auto"/>
              <w:jc w:val="center"/>
            </w:pPr>
            <w:r/>
            <w:r>
              <w:rPr>
                <w:rFonts w:ascii="맑은 고딕" w:hAnsi="맑은 고딕" w:eastAsia="맑은 고딕"/>
                <w:b w:val="0"/>
                <w:sz w:val="18"/>
              </w:rPr>
              <w:t>S3 프롬프트 생성</w:t>
            </w:r>
          </w:p>
        </w:tc>
        <w:tc>
          <w:tcPr>
            <w:tcW w:type="dxa" w:w="4195"/>
          </w:tcPr>
          <w:p>
            <w:pPr>
              <w:spacing w:after="0" w:line="312" w:lineRule="auto"/>
            </w:pPr>
            <w:r/>
            <w:r>
              <w:rPr>
                <w:rFonts w:ascii="맑은 고딕" w:hAnsi="맑은 고딕" w:eastAsia="맑은 고딕"/>
                <w:b w:val="0"/>
                <w:sz w:val="18"/>
              </w:rPr>
              <w:t>주제·직무 상황·레벨·분량을 입력하면 신규 생성</w:t>
            </w:r>
          </w:p>
        </w:tc>
        <w:tc>
          <w:tcPr>
            <w:tcW w:type="dxa" w:w="1701"/>
          </w:tcPr>
          <w:p>
            <w:pPr>
              <w:spacing w:after="0" w:line="312" w:lineRule="auto"/>
              <w:jc w:val="center"/>
            </w:pPr>
            <w:r/>
            <w:r>
              <w:rPr>
                <w:rFonts w:ascii="맑은 고딕" w:hAnsi="맑은 고딕" w:eastAsia="맑은 고딕"/>
                <w:b w:val="0"/>
                <w:sz w:val="18"/>
              </w:rPr>
              <w:t>순수 생성</w:t>
            </w:r>
          </w:p>
        </w:tc>
        <w:tc>
          <w:tcPr>
            <w:tcW w:type="dxa" w:w="1928"/>
          </w:tcPr>
          <w:p>
            <w:pPr>
              <w:spacing w:after="0" w:line="312" w:lineRule="auto"/>
              <w:jc w:val="center"/>
            </w:pPr>
            <w:r/>
            <w:r>
              <w:rPr>
                <w:rFonts w:ascii="맑은 고딕" w:hAnsi="맑은 고딕" w:eastAsia="맑은 고딕"/>
                <w:b w:val="0"/>
                <w:sz w:val="18"/>
              </w:rPr>
              <w:t>플랫폼 생성물</w:t>
            </w:r>
          </w:p>
        </w:tc>
      </w:tr>
    </w:tbl>
    <w:p>
      <w:pPr>
        <w:spacing w:after="40" w:line="336" w:lineRule="auto"/>
        <w:ind w:left="283" w:hanging="238"/>
      </w:pPr>
      <w:r>
        <w:rPr>
          <w:rFonts w:ascii="맑은 고딕" w:hAnsi="맑은 고딕" w:eastAsia="맑은 고딕"/>
          <w:sz w:val="20"/>
        </w:rPr>
        <w:t>◦ 세 경로는 배타적이 아니라 한 교재 안에서 혼합되며, 모든 자산은 소스 태그와 출처 메타데이터를 달고 저장되어 개정판 관리와 저작권 추적의 기반이 된다.</w:t>
      </w:r>
    </w:p>
    <w:p>
      <w:pPr>
        <w:spacing w:after="40" w:line="336" w:lineRule="auto"/>
        <w:ind w:left="283" w:hanging="238"/>
      </w:pPr>
      <w:r>
        <w:rPr>
          <w:rFonts w:ascii="맑은 고딕" w:hAnsi="맑은 고딕" w:eastAsia="맑은 고딕"/>
          <w:sz w:val="20"/>
        </w:rPr>
        <w:t>◦ 생성 파라미터로 주제·목표 레벨·분량·유형·문체·금칙어·필수 포함 어휘를 지정할 수 있으며, 길이 이탈이나 목표 레벨과의 편차가 크면 자동 재생성한다.</w:t>
      </w:r>
    </w:p>
    <w:p>
      <w:pPr>
        <w:spacing w:after="40" w:line="336" w:lineRule="auto"/>
        <w:ind w:left="283" w:hanging="238"/>
      </w:pPr>
      <w:r>
        <w:rPr>
          <w:rFonts w:ascii="맑은 고딕" w:hAnsi="맑은 고딕" w:eastAsia="맑은 고딕"/>
          <w:sz w:val="20"/>
        </w:rPr>
        <w:t>◦ 출력 형식 템플릿을 교수가 저장해 두면, 범위와 내용이 바뀌어도 교수가 지정한 형태 그대로 반복 생성된다. 예를 들어 같은 어휘 범위를 뜻→단어 작성형, 음성→철자·뜻 작성형, 표 빈칸 채우기형으로 각각 출력할 수 있다.</w:t>
      </w:r>
    </w:p>
    <w:p>
      <w:pPr>
        <w:spacing w:before="200" w:after="80"/>
      </w:pPr>
      <w:r>
        <w:rPr>
          <w:rFonts w:ascii="맑은 고딕" w:hAnsi="맑은 고딕" w:eastAsia="맑은 고딕"/>
          <w:b/>
          <w:sz w:val="21"/>
        </w:rPr>
        <w:t>모듈 2. CEFR 난이도 자동 추정 (정량·정성 하이브리드)</w:t>
      </w:r>
    </w:p>
    <w:p>
      <w:pPr>
        <w:spacing w:before="0" w:after="60" w:line="348" w:lineRule="auto"/>
      </w:pPr>
      <w:r>
        <w:rPr>
          <w:rFonts w:ascii="맑은 고딕" w:hAnsi="맑은 고딕" w:eastAsia="맑은 고딕"/>
          <w:b w:val="0"/>
          <w:sz w:val="20"/>
        </w:rPr>
        <w:t>정량 지표군과 언어모델 정성 분석을 결합한 하이브리드 레벨 추정 엔진을 개발하여, 생성 지문의 난이도를 자동 판정하고 학습자 수준과의 정합을 확보한다.</w:t>
      </w:r>
    </w:p>
    <w:p>
      <w:pPr>
        <w:spacing w:before="80" w:after="40" w:line="348" w:lineRule="auto"/>
      </w:pPr>
      <w:r>
        <w:rPr>
          <w:rFonts w:ascii="맑은 고딕" w:hAnsi="맑은 고딕" w:eastAsia="맑은 고딕"/>
          <w:b/>
          <w:sz w:val="20"/>
        </w:rPr>
        <w:t>(가) 정량 지표 8종</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680"/>
            <w:shd w:val="clear" w:color="auto" w:fill="E8E8E8"/>
          </w:tcPr>
          <w:p>
            <w:pPr>
              <w:spacing w:after="0" w:line="312" w:lineRule="auto"/>
              <w:jc w:val="center"/>
            </w:pPr>
            <w:r/>
            <w:r>
              <w:rPr>
                <w:rFonts w:ascii="맑은 고딕" w:hAnsi="맑은 고딕" w:eastAsia="맑은 고딕"/>
                <w:b/>
                <w:sz w:val="18"/>
              </w:rPr>
              <w:t>#</w:t>
            </w:r>
          </w:p>
        </w:tc>
        <w:tc>
          <w:tcPr>
            <w:tcW w:type="dxa" w:w="3061"/>
            <w:shd w:val="clear" w:color="auto" w:fill="E8E8E8"/>
          </w:tcPr>
          <w:p>
            <w:pPr>
              <w:spacing w:after="0" w:line="312" w:lineRule="auto"/>
              <w:jc w:val="center"/>
            </w:pPr>
            <w:r/>
            <w:r>
              <w:rPr>
                <w:rFonts w:ascii="맑은 고딕" w:hAnsi="맑은 고딕" w:eastAsia="맑은 고딕"/>
                <w:b/>
                <w:sz w:val="18"/>
              </w:rPr>
              <w:t>지표</w:t>
            </w:r>
          </w:p>
        </w:tc>
        <w:tc>
          <w:tcPr>
            <w:tcW w:type="dxa" w:w="5669"/>
            <w:shd w:val="clear" w:color="auto" w:fill="E8E8E8"/>
          </w:tcPr>
          <w:p>
            <w:pPr>
              <w:spacing w:after="0" w:line="312" w:lineRule="auto"/>
              <w:jc w:val="center"/>
            </w:pPr>
            <w:r/>
            <w:r>
              <w:rPr>
                <w:rFonts w:ascii="맑은 고딕" w:hAnsi="맑은 고딕" w:eastAsia="맑은 고딕"/>
                <w:b/>
                <w:sz w:val="18"/>
              </w:rPr>
              <w:t>측정 내용</w:t>
            </w:r>
          </w:p>
        </w:tc>
      </w:tr>
      <w:tr>
        <w:tc>
          <w:tcPr>
            <w:tcW w:type="dxa" w:w="680"/>
          </w:tcPr>
          <w:p>
            <w:pPr>
              <w:spacing w:after="0" w:line="312" w:lineRule="auto"/>
              <w:jc w:val="center"/>
            </w:pPr>
            <w:r/>
            <w:r>
              <w:rPr>
                <w:rFonts w:ascii="맑은 고딕" w:hAnsi="맑은 고딕" w:eastAsia="맑은 고딕"/>
                <w:b w:val="0"/>
                <w:sz w:val="18"/>
              </w:rPr>
              <w:t>1</w:t>
            </w:r>
          </w:p>
        </w:tc>
        <w:tc>
          <w:tcPr>
            <w:tcW w:type="dxa" w:w="3061"/>
          </w:tcPr>
          <w:p>
            <w:pPr>
              <w:spacing w:after="0" w:line="312" w:lineRule="auto"/>
              <w:jc w:val="center"/>
            </w:pPr>
            <w:r/>
            <w:r>
              <w:rPr>
                <w:rFonts w:ascii="맑은 고딕" w:hAnsi="맑은 고딕" w:eastAsia="맑은 고딕"/>
                <w:b w:val="0"/>
                <w:sz w:val="18"/>
              </w:rPr>
              <w:t>어휘 난이도 (LTI)</w:t>
            </w:r>
          </w:p>
        </w:tc>
        <w:tc>
          <w:tcPr>
            <w:tcW w:type="dxa" w:w="5669"/>
          </w:tcPr>
          <w:p>
            <w:pPr>
              <w:spacing w:after="0" w:line="312" w:lineRule="auto"/>
              <w:jc w:val="center"/>
            </w:pPr>
            <w:r/>
            <w:r>
              <w:rPr>
                <w:rFonts w:ascii="맑은 고딕" w:hAnsi="맑은 고딕" w:eastAsia="맑은 고딕"/>
                <w:b w:val="0"/>
                <w:sz w:val="18"/>
              </w:rPr>
              <w:t>어휘 빈도 기반 난이도 점수</w:t>
            </w:r>
          </w:p>
        </w:tc>
      </w:tr>
      <w:tr>
        <w:tc>
          <w:tcPr>
            <w:tcW w:type="dxa" w:w="680"/>
          </w:tcPr>
          <w:p>
            <w:pPr>
              <w:spacing w:after="0" w:line="312" w:lineRule="auto"/>
              <w:jc w:val="center"/>
            </w:pPr>
            <w:r/>
            <w:r>
              <w:rPr>
                <w:rFonts w:ascii="맑은 고딕" w:hAnsi="맑은 고딕" w:eastAsia="맑은 고딕"/>
                <w:b w:val="0"/>
                <w:sz w:val="18"/>
              </w:rPr>
              <w:t>2</w:t>
            </w:r>
          </w:p>
        </w:tc>
        <w:tc>
          <w:tcPr>
            <w:tcW w:type="dxa" w:w="3061"/>
          </w:tcPr>
          <w:p>
            <w:pPr>
              <w:spacing w:after="0" w:line="312" w:lineRule="auto"/>
              <w:jc w:val="center"/>
            </w:pPr>
            <w:r/>
            <w:r>
              <w:rPr>
                <w:rFonts w:ascii="맑은 고딕" w:hAnsi="맑은 고딕" w:eastAsia="맑은 고딕"/>
                <w:b w:val="0"/>
                <w:sz w:val="18"/>
              </w:rPr>
              <w:t>어휘 다양성 (TTR)</w:t>
            </w:r>
          </w:p>
        </w:tc>
        <w:tc>
          <w:tcPr>
            <w:tcW w:type="dxa" w:w="5669"/>
          </w:tcPr>
          <w:p>
            <w:pPr>
              <w:spacing w:after="0" w:line="312" w:lineRule="auto"/>
            </w:pPr>
            <w:r/>
            <w:r>
              <w:rPr>
                <w:rFonts w:ascii="맑은 고딕" w:hAnsi="맑은 고딕" w:eastAsia="맑은 고딕"/>
                <w:b w:val="0"/>
                <w:sz w:val="18"/>
              </w:rPr>
              <w:t>중복 제거 단어 수 / 전체 단어 수</w:t>
            </w:r>
          </w:p>
        </w:tc>
      </w:tr>
      <w:tr>
        <w:tc>
          <w:tcPr>
            <w:tcW w:type="dxa" w:w="680"/>
          </w:tcPr>
          <w:p>
            <w:pPr>
              <w:spacing w:after="0" w:line="312" w:lineRule="auto"/>
              <w:jc w:val="center"/>
            </w:pPr>
            <w:r/>
            <w:r>
              <w:rPr>
                <w:rFonts w:ascii="맑은 고딕" w:hAnsi="맑은 고딕" w:eastAsia="맑은 고딕"/>
                <w:b w:val="0"/>
                <w:sz w:val="18"/>
              </w:rPr>
              <w:t>3</w:t>
            </w:r>
          </w:p>
        </w:tc>
        <w:tc>
          <w:tcPr>
            <w:tcW w:type="dxa" w:w="3061"/>
          </w:tcPr>
          <w:p>
            <w:pPr>
              <w:spacing w:after="0" w:line="312" w:lineRule="auto"/>
              <w:jc w:val="center"/>
            </w:pPr>
            <w:r/>
            <w:r>
              <w:rPr>
                <w:rFonts w:ascii="맑은 고딕" w:hAnsi="맑은 고딕" w:eastAsia="맑은 고딕"/>
                <w:b w:val="0"/>
                <w:sz w:val="18"/>
              </w:rPr>
              <w:t>지문 길이</w:t>
            </w:r>
          </w:p>
        </w:tc>
        <w:tc>
          <w:tcPr>
            <w:tcW w:type="dxa" w:w="5669"/>
          </w:tcPr>
          <w:p>
            <w:pPr>
              <w:spacing w:after="0" w:line="312" w:lineRule="auto"/>
              <w:jc w:val="center"/>
            </w:pPr>
            <w:r/>
            <w:r>
              <w:rPr>
                <w:rFonts w:ascii="맑은 고딕" w:hAnsi="맑은 고딕" w:eastAsia="맑은 고딕"/>
                <w:b w:val="0"/>
                <w:sz w:val="18"/>
              </w:rPr>
              <w:t>전체 단어 수</w:t>
            </w:r>
          </w:p>
        </w:tc>
      </w:tr>
      <w:tr>
        <w:tc>
          <w:tcPr>
            <w:tcW w:type="dxa" w:w="680"/>
          </w:tcPr>
          <w:p>
            <w:pPr>
              <w:spacing w:after="0" w:line="312" w:lineRule="auto"/>
              <w:jc w:val="center"/>
            </w:pPr>
            <w:r/>
            <w:r>
              <w:rPr>
                <w:rFonts w:ascii="맑은 고딕" w:hAnsi="맑은 고딕" w:eastAsia="맑은 고딕"/>
                <w:b w:val="0"/>
                <w:sz w:val="18"/>
              </w:rPr>
              <w:t>4</w:t>
            </w:r>
          </w:p>
        </w:tc>
        <w:tc>
          <w:tcPr>
            <w:tcW w:type="dxa" w:w="3061"/>
          </w:tcPr>
          <w:p>
            <w:pPr>
              <w:spacing w:after="0" w:line="312" w:lineRule="auto"/>
              <w:jc w:val="center"/>
            </w:pPr>
            <w:r/>
            <w:r>
              <w:rPr>
                <w:rFonts w:ascii="맑은 고딕" w:hAnsi="맑은 고딕" w:eastAsia="맑은 고딕"/>
                <w:b w:val="0"/>
                <w:sz w:val="18"/>
              </w:rPr>
              <w:t>평균 문장 길이</w:t>
            </w:r>
          </w:p>
        </w:tc>
        <w:tc>
          <w:tcPr>
            <w:tcW w:type="dxa" w:w="5669"/>
          </w:tcPr>
          <w:p>
            <w:pPr>
              <w:spacing w:after="0" w:line="312" w:lineRule="auto"/>
              <w:jc w:val="center"/>
            </w:pPr>
            <w:r/>
            <w:r>
              <w:rPr>
                <w:rFonts w:ascii="맑은 고딕" w:hAnsi="맑은 고딕" w:eastAsia="맑은 고딕"/>
                <w:b w:val="0"/>
                <w:sz w:val="18"/>
              </w:rPr>
              <w:t>총 단어 수 / 총 문장 수</w:t>
            </w:r>
          </w:p>
        </w:tc>
      </w:tr>
      <w:tr>
        <w:tc>
          <w:tcPr>
            <w:tcW w:type="dxa" w:w="680"/>
          </w:tcPr>
          <w:p>
            <w:pPr>
              <w:spacing w:after="0" w:line="312" w:lineRule="auto"/>
              <w:jc w:val="center"/>
            </w:pPr>
            <w:r/>
            <w:r>
              <w:rPr>
                <w:rFonts w:ascii="맑은 고딕" w:hAnsi="맑은 고딕" w:eastAsia="맑은 고딕"/>
                <w:b w:val="0"/>
                <w:sz w:val="18"/>
              </w:rPr>
              <w:t>5</w:t>
            </w:r>
          </w:p>
        </w:tc>
        <w:tc>
          <w:tcPr>
            <w:tcW w:type="dxa" w:w="3061"/>
          </w:tcPr>
          <w:p>
            <w:pPr>
              <w:spacing w:after="0" w:line="312" w:lineRule="auto"/>
              <w:jc w:val="center"/>
            </w:pPr>
            <w:r/>
            <w:r>
              <w:rPr>
                <w:rFonts w:ascii="맑은 고딕" w:hAnsi="맑은 고딕" w:eastAsia="맑은 고딕"/>
                <w:b w:val="0"/>
                <w:sz w:val="18"/>
              </w:rPr>
              <w:t>문장 구조 복잡도 (SCI)</w:t>
            </w:r>
          </w:p>
        </w:tc>
        <w:tc>
          <w:tcPr>
            <w:tcW w:type="dxa" w:w="5669"/>
          </w:tcPr>
          <w:p>
            <w:pPr>
              <w:spacing w:after="0" w:line="312" w:lineRule="auto"/>
            </w:pPr>
            <w:r/>
            <w:r>
              <w:rPr>
                <w:rFonts w:ascii="맑은 고딕" w:hAnsi="맑은 고딕" w:eastAsia="맑은 고딕"/>
                <w:b w:val="0"/>
                <w:sz w:val="18"/>
              </w:rPr>
              <w:t>접속사·관계사·특수구두점 기반 복잡도</w:t>
            </w:r>
          </w:p>
        </w:tc>
      </w:tr>
      <w:tr>
        <w:tc>
          <w:tcPr>
            <w:tcW w:type="dxa" w:w="680"/>
          </w:tcPr>
          <w:p>
            <w:pPr>
              <w:spacing w:after="0" w:line="312" w:lineRule="auto"/>
              <w:jc w:val="center"/>
            </w:pPr>
            <w:r/>
            <w:r>
              <w:rPr>
                <w:rFonts w:ascii="맑은 고딕" w:hAnsi="맑은 고딕" w:eastAsia="맑은 고딕"/>
                <w:b w:val="0"/>
                <w:sz w:val="18"/>
              </w:rPr>
              <w:t>6</w:t>
            </w:r>
          </w:p>
        </w:tc>
        <w:tc>
          <w:tcPr>
            <w:tcW w:type="dxa" w:w="3061"/>
          </w:tcPr>
          <w:p>
            <w:pPr>
              <w:spacing w:after="0" w:line="312" w:lineRule="auto"/>
              <w:jc w:val="center"/>
            </w:pPr>
            <w:r/>
            <w:r>
              <w:rPr>
                <w:rFonts w:ascii="맑은 고딕" w:hAnsi="맑은 고딕" w:eastAsia="맑은 고딕"/>
                <w:b w:val="0"/>
                <w:sz w:val="18"/>
              </w:rPr>
              <w:t>문법 다양성 (GWS)</w:t>
            </w:r>
          </w:p>
        </w:tc>
        <w:tc>
          <w:tcPr>
            <w:tcW w:type="dxa" w:w="5669"/>
          </w:tcPr>
          <w:p>
            <w:pPr>
              <w:spacing w:after="0" w:line="312" w:lineRule="auto"/>
            </w:pPr>
            <w:r/>
            <w:r>
              <w:rPr>
                <w:rFonts w:ascii="맑은 고딕" w:hAnsi="맑은 고딕" w:eastAsia="맑은 고딕"/>
                <w:b w:val="0"/>
                <w:sz w:val="18"/>
              </w:rPr>
              <w:t>문법 요소별 가중치 합 / 전체 문장 수</w:t>
            </w:r>
          </w:p>
        </w:tc>
      </w:tr>
      <w:tr>
        <w:tc>
          <w:tcPr>
            <w:tcW w:type="dxa" w:w="680"/>
          </w:tcPr>
          <w:p>
            <w:pPr>
              <w:spacing w:after="0" w:line="312" w:lineRule="auto"/>
              <w:jc w:val="center"/>
            </w:pPr>
            <w:r/>
            <w:r>
              <w:rPr>
                <w:rFonts w:ascii="맑은 고딕" w:hAnsi="맑은 고딕" w:eastAsia="맑은 고딕"/>
                <w:b w:val="0"/>
                <w:sz w:val="18"/>
              </w:rPr>
              <w:t>7</w:t>
            </w:r>
          </w:p>
        </w:tc>
        <w:tc>
          <w:tcPr>
            <w:tcW w:type="dxa" w:w="3061"/>
          </w:tcPr>
          <w:p>
            <w:pPr>
              <w:spacing w:after="0" w:line="312" w:lineRule="auto"/>
              <w:jc w:val="center"/>
            </w:pPr>
            <w:r/>
            <w:r>
              <w:rPr>
                <w:rFonts w:ascii="맑은 고딕" w:hAnsi="맑은 고딕" w:eastAsia="맑은 고딕"/>
                <w:b w:val="0"/>
                <w:sz w:val="18"/>
              </w:rPr>
              <w:t>정보 밀도 (CCR)</w:t>
            </w:r>
          </w:p>
        </w:tc>
        <w:tc>
          <w:tcPr>
            <w:tcW w:type="dxa" w:w="5669"/>
          </w:tcPr>
          <w:p>
            <w:pPr>
              <w:spacing w:after="0" w:line="312" w:lineRule="auto"/>
              <w:jc w:val="center"/>
            </w:pPr>
            <w:r/>
            <w:r>
              <w:rPr>
                <w:rFonts w:ascii="맑은 고딕" w:hAnsi="맑은 고딕" w:eastAsia="맑은 고딕"/>
                <w:b w:val="0"/>
                <w:sz w:val="18"/>
              </w:rPr>
              <w:t>실질어 수 / 전체 단어 수</w:t>
            </w:r>
          </w:p>
        </w:tc>
      </w:tr>
      <w:tr>
        <w:tc>
          <w:tcPr>
            <w:tcW w:type="dxa" w:w="680"/>
          </w:tcPr>
          <w:p>
            <w:pPr>
              <w:spacing w:after="0" w:line="312" w:lineRule="auto"/>
              <w:jc w:val="center"/>
            </w:pPr>
            <w:r/>
            <w:r>
              <w:rPr>
                <w:rFonts w:ascii="맑은 고딕" w:hAnsi="맑은 고딕" w:eastAsia="맑은 고딕"/>
                <w:b w:val="0"/>
                <w:sz w:val="18"/>
              </w:rPr>
              <w:t>8</w:t>
            </w:r>
          </w:p>
        </w:tc>
        <w:tc>
          <w:tcPr>
            <w:tcW w:type="dxa" w:w="3061"/>
          </w:tcPr>
          <w:p>
            <w:pPr>
              <w:spacing w:after="0" w:line="312" w:lineRule="auto"/>
              <w:jc w:val="center"/>
            </w:pPr>
            <w:r/>
            <w:r>
              <w:rPr>
                <w:rFonts w:ascii="맑은 고딕" w:hAnsi="맑은 고딕" w:eastAsia="맑은 고딕"/>
                <w:b w:val="0"/>
                <w:sz w:val="18"/>
              </w:rPr>
              <w:t>배경지식 의존도 (KDI)</w:t>
            </w:r>
          </w:p>
        </w:tc>
        <w:tc>
          <w:tcPr>
            <w:tcW w:type="dxa" w:w="5669"/>
          </w:tcPr>
          <w:p>
            <w:pPr>
              <w:spacing w:after="0" w:line="312" w:lineRule="auto"/>
            </w:pPr>
            <w:r/>
            <w:r>
              <w:rPr>
                <w:rFonts w:ascii="맑은 고딕" w:hAnsi="맑은 고딕" w:eastAsia="맑은 고딕"/>
                <w:b w:val="0"/>
                <w:sz w:val="18"/>
              </w:rPr>
              <w:t>고유명사 비율과 어휘 난이도의 결합</w:t>
            </w:r>
          </w:p>
        </w:tc>
      </w:tr>
    </w:tbl>
    <w:p>
      <w:pPr>
        <w:spacing w:after="40" w:line="336" w:lineRule="auto"/>
        <w:ind w:left="283" w:hanging="238"/>
      </w:pPr>
      <w:r>
        <w:rPr>
          <w:rFonts w:ascii="맑은 고딕" w:hAnsi="맑은 고딕" w:eastAsia="맑은 고딕"/>
          <w:sz w:val="19"/>
        </w:rPr>
        <w:t>◦ (나) 언어모델 정성 분석 — 문맥적 난이도, 주제 복잡성, 배경지식 요구 수준, 관용 표현 밀도, 문화적 생소함을 구조화 출력으로 분석해 정량 지표가 포착하지 못하는 영역을 보완한다.</w:t>
      </w:r>
    </w:p>
    <w:p>
      <w:pPr>
        <w:spacing w:after="40" w:line="336" w:lineRule="auto"/>
        <w:ind w:left="283" w:hanging="238"/>
      </w:pPr>
      <w:r>
        <w:rPr>
          <w:rFonts w:ascii="맑은 고딕" w:hAnsi="맑은 고딕" w:eastAsia="맑은 고딕"/>
          <w:sz w:val="19"/>
        </w:rPr>
        <w:t>◦ (다) 통합 로직 — 정량 8지표 산출 → 1차 등급 → 정성 분석 호출 → 2차 보정 → 최종 등급과 신뢰도 동시 출력. 목표 레벨과 추정 레벨의 편차가 기준 이상이면 재생성을 권고한다.</w:t>
      </w:r>
    </w:p>
    <w:p>
      <w:pPr>
        <w:spacing w:after="40" w:line="336" w:lineRule="auto"/>
        <w:ind w:left="283" w:hanging="238"/>
      </w:pPr>
      <w:r>
        <w:rPr>
          <w:rFonts w:ascii="맑은 고딕" w:hAnsi="맑은 고딕" w:eastAsia="맑은 고딕"/>
          <w:sz w:val="19"/>
        </w:rPr>
        <w:t>◦ (라) 검수 지원 산출물 — "왜 이 등급인가"를 설명하는 기여 지표 상위 3종과 판정 근거 주석을 검수 화면에 함께 제시하여, 교수가 판정을 신뢰하거나 반박할 수 있게 한다.</w:t>
      </w:r>
    </w:p>
    <w:p>
      <w:pPr>
        <w:spacing w:before="200" w:after="80"/>
      </w:pPr>
      <w:r>
        <w:rPr>
          <w:rFonts w:ascii="맑은 고딕" w:hAnsi="맑은 고딕" w:eastAsia="맑은 고딕"/>
          <w:b/>
          <w:sz w:val="21"/>
        </w:rPr>
        <w:t>모듈 3. 전문가 검수 게이트 (Human-in-the-loop)</w:t>
      </w:r>
    </w:p>
    <w:p>
      <w:pPr>
        <w:spacing w:before="0" w:after="60" w:line="348" w:lineRule="auto"/>
      </w:pPr>
      <w:r>
        <w:rPr>
          <w:rFonts w:ascii="맑은 고딕" w:hAnsi="맑은 고딕" w:eastAsia="맑은 고딕"/>
          <w:b w:val="0"/>
          <w:sz w:val="20"/>
        </w:rPr>
        <w:t>전공 직무 외국어는 정확성이 생명이다. 잘못된 직무 용어나 부정확한 응대 표현은 교육 상품으로 치명적이므로, 모든 생성물이 교수 검수를 거쳐야 축적·출간되도록 설계한다.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1587"/>
            <w:shd w:val="clear" w:color="auto" w:fill="E8E8E8"/>
          </w:tcPr>
          <w:p>
            <w:pPr>
              <w:spacing w:after="0" w:line="312" w:lineRule="auto"/>
              <w:jc w:val="center"/>
            </w:pPr>
            <w:r/>
            <w:r>
              <w:rPr>
                <w:rFonts w:ascii="맑은 고딕" w:hAnsi="맑은 고딕" w:eastAsia="맑은 고딕"/>
                <w:b/>
                <w:sz w:val="18"/>
              </w:rPr>
              <w:t>처리 단계</w:t>
            </w:r>
          </w:p>
        </w:tc>
        <w:tc>
          <w:tcPr>
            <w:tcW w:type="dxa" w:w="7824"/>
            <w:shd w:val="clear" w:color="auto" w:fill="E8E8E8"/>
          </w:tcPr>
          <w:p>
            <w:pPr>
              <w:spacing w:after="0" w:line="312" w:lineRule="auto"/>
              <w:jc w:val="center"/>
            </w:pPr>
            <w:r/>
            <w:r>
              <w:rPr>
                <w:rFonts w:ascii="맑은 고딕" w:hAnsi="맑은 고딕" w:eastAsia="맑은 고딕"/>
                <w:b/>
                <w:sz w:val="18"/>
              </w:rPr>
              <w:t>내용</w:t>
            </w:r>
          </w:p>
        </w:tc>
      </w:tr>
      <w:tr>
        <w:tc>
          <w:tcPr>
            <w:tcW w:type="dxa" w:w="1587"/>
          </w:tcPr>
          <w:p>
            <w:pPr>
              <w:spacing w:after="0" w:line="312" w:lineRule="auto"/>
              <w:jc w:val="center"/>
            </w:pPr>
            <w:r/>
            <w:r>
              <w:rPr>
                <w:rFonts w:ascii="맑은 고딕" w:hAnsi="맑은 고딕" w:eastAsia="맑은 고딕"/>
                <w:b w:val="0"/>
                <w:sz w:val="18"/>
              </w:rPr>
              <w:t>① 생성·분석</w:t>
            </w:r>
          </w:p>
        </w:tc>
        <w:tc>
          <w:tcPr>
            <w:tcW w:type="dxa" w:w="7824"/>
          </w:tcPr>
          <w:p>
            <w:pPr>
              <w:spacing w:after="0" w:line="312" w:lineRule="auto"/>
            </w:pPr>
            <w:r/>
            <w:r>
              <w:rPr>
                <w:rFonts w:ascii="맑은 고딕" w:hAnsi="맑은 고딕" w:eastAsia="맑은 고딕"/>
                <w:b w:val="0"/>
                <w:sz w:val="18"/>
              </w:rPr>
              <w:t>AI 생성물이 자동 분석을 거쳐 검수 대기 목록에 적재</w:t>
            </w:r>
          </w:p>
        </w:tc>
      </w:tr>
      <w:tr>
        <w:tc>
          <w:tcPr>
            <w:tcW w:type="dxa" w:w="1587"/>
          </w:tcPr>
          <w:p>
            <w:pPr>
              <w:spacing w:after="0" w:line="312" w:lineRule="auto"/>
              <w:jc w:val="center"/>
            </w:pPr>
            <w:r/>
            <w:r>
              <w:rPr>
                <w:rFonts w:ascii="맑은 고딕" w:hAnsi="맑은 고딕" w:eastAsia="맑은 고딕"/>
                <w:b w:val="0"/>
                <w:sz w:val="18"/>
              </w:rPr>
              <w:t>② 검수</w:t>
            </w:r>
          </w:p>
        </w:tc>
        <w:tc>
          <w:tcPr>
            <w:tcW w:type="dxa" w:w="7824"/>
          </w:tcPr>
          <w:p>
            <w:pPr>
              <w:spacing w:after="0" w:line="312" w:lineRule="auto"/>
            </w:pPr>
            <w:r/>
            <w:r>
              <w:rPr>
                <w:rFonts w:ascii="맑은 고딕" w:hAnsi="맑은 고딕" w:eastAsia="맑은 고딕"/>
                <w:b w:val="0"/>
                <w:sz w:val="18"/>
              </w:rPr>
              <w:t>교수가 인라인 수정 후 승인 / 부분 수정 / 재생성 요청 중 선택</w:t>
            </w:r>
          </w:p>
        </w:tc>
      </w:tr>
      <w:tr>
        <w:tc>
          <w:tcPr>
            <w:tcW w:type="dxa" w:w="1587"/>
          </w:tcPr>
          <w:p>
            <w:pPr>
              <w:spacing w:after="0" w:line="312" w:lineRule="auto"/>
              <w:jc w:val="center"/>
            </w:pPr>
            <w:r/>
            <w:r>
              <w:rPr>
                <w:rFonts w:ascii="맑은 고딕" w:hAnsi="맑은 고딕" w:eastAsia="맑은 고딕"/>
                <w:b w:val="0"/>
                <w:sz w:val="18"/>
              </w:rPr>
              <w:t>③ 축적</w:t>
            </w:r>
          </w:p>
        </w:tc>
        <w:tc>
          <w:tcPr>
            <w:tcW w:type="dxa" w:w="7824"/>
          </w:tcPr>
          <w:p>
            <w:pPr>
              <w:spacing w:after="0" w:line="312" w:lineRule="auto"/>
            </w:pPr>
            <w:r/>
            <w:r>
              <w:rPr>
                <w:rFonts w:ascii="맑은 고딕" w:hAnsi="맑은 고딕" w:eastAsia="맑은 고딕"/>
                <w:b w:val="0"/>
                <w:sz w:val="18"/>
              </w:rPr>
              <w:t>승인된 자산만 콘텐츠 라이브러리에 축적 (draft → approved → published)</w:t>
            </w:r>
          </w:p>
        </w:tc>
      </w:tr>
      <w:tr>
        <w:tc>
          <w:tcPr>
            <w:tcW w:type="dxa" w:w="1587"/>
          </w:tcPr>
          <w:p>
            <w:pPr>
              <w:spacing w:after="0" w:line="312" w:lineRule="auto"/>
              <w:jc w:val="center"/>
            </w:pPr>
            <w:r/>
            <w:r>
              <w:rPr>
                <w:rFonts w:ascii="맑은 고딕" w:hAnsi="맑은 고딕" w:eastAsia="맑은 고딕"/>
                <w:b w:val="0"/>
                <w:sz w:val="18"/>
              </w:rPr>
              <w:t>④ 차단</w:t>
            </w:r>
          </w:p>
        </w:tc>
        <w:tc>
          <w:tcPr>
            <w:tcW w:type="dxa" w:w="7824"/>
          </w:tcPr>
          <w:p>
            <w:pPr>
              <w:spacing w:after="0" w:line="312" w:lineRule="auto"/>
            </w:pPr>
            <w:r/>
            <w:r>
              <w:rPr>
                <w:rFonts w:ascii="맑은 고딕" w:hAnsi="맑은 고딕" w:eastAsia="맑은 고딕"/>
                <w:b w:val="0"/>
                <w:sz w:val="18"/>
              </w:rPr>
              <w:t>미승인 콘텐츠는 학생 배포와 교재 발행이 시스템적으로 차단됨</w:t>
            </w:r>
          </w:p>
        </w:tc>
      </w:tr>
    </w:tbl>
    <w:p>
      <w:pPr>
        <w:spacing w:after="40" w:line="336" w:lineRule="auto"/>
        <w:ind w:left="283" w:hanging="238"/>
      </w:pPr>
      <w:r>
        <w:rPr>
          <w:rFonts w:ascii="맑은 고딕" w:hAnsi="맑은 고딕" w:eastAsia="맑은 고딕"/>
          <w:sz w:val="20"/>
        </w:rPr>
        <w:t>◦ 교수는 인공지능 개입 강도(최소/보통/최대)와 문체를 직접 지정한다.</w:t>
      </w:r>
    </w:p>
    <w:p>
      <w:pPr>
        <w:spacing w:after="40" w:line="336" w:lineRule="auto"/>
        <w:ind w:left="283" w:hanging="238"/>
      </w:pPr>
      <w:r>
        <w:rPr>
          <w:rFonts w:ascii="맑은 고딕" w:hAnsi="맑은 고딕" w:eastAsia="맑은 고딕"/>
          <w:sz w:val="20"/>
        </w:rPr>
        <w:t>◦ 변경 전후 비교, 레벨 재추정, 어휘 재추출 기능으로 검수 부담을 낮춘다.</w:t>
      </w:r>
    </w:p>
    <w:p>
      <w:pPr>
        <w:spacing w:after="40" w:line="336" w:lineRule="auto"/>
        <w:ind w:left="283" w:hanging="238"/>
      </w:pPr>
      <w:r>
        <w:rPr>
          <w:rFonts w:ascii="맑은 고딕" w:hAnsi="맑은 고딕" w:eastAsia="맑은 고딕"/>
          <w:sz w:val="20"/>
        </w:rPr>
        <w:t>◦ 이 검수 게이트가 곧 "대학 이름을 걸 수 있는 품질"의 보증 장치이며, 교수의 역할을 자료 제작자에서 감수자·저자로 상향시키는 장치이기도 하다.</w:t>
      </w:r>
    </w:p>
    <w:p>
      <w:pPr>
        <w:spacing w:before="200" w:after="80"/>
      </w:pPr>
      <w:r>
        <w:rPr>
          <w:rFonts w:ascii="맑은 고딕" w:hAnsi="맑은 고딕" w:eastAsia="맑은 고딕"/>
          <w:b/>
          <w:sz w:val="21"/>
        </w:rPr>
        <w:t>모듈 4. 단일 원본 다중 출력 출판 파이프라인</w:t>
      </w:r>
    </w:p>
    <w:p>
      <w:pPr>
        <w:spacing w:before="0" w:after="60" w:line="348" w:lineRule="auto"/>
      </w:pPr>
      <w:r>
        <w:rPr>
          <w:rFonts w:ascii="맑은 고딕" w:hAnsi="맑은 고딕" w:eastAsia="맑은 고딕"/>
          <w:b w:val="0"/>
          <w:sz w:val="20"/>
        </w:rPr>
        <w:t>승인된 콘텐츠를 단원으로 엮어 목차 초안을 자동 구성하고, 확정된 교재 원본 하나에서 세 가지 출력을 동시에 생성한다. 원본이 수정되면 세 출력이 모두 동기화 대상이 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928"/>
            <w:shd w:val="clear" w:color="auto" w:fill="E8E8E8"/>
          </w:tcPr>
          <w:p>
            <w:pPr>
              <w:spacing w:after="0" w:line="312" w:lineRule="auto"/>
              <w:jc w:val="center"/>
            </w:pPr>
            <w:r/>
            <w:r>
              <w:rPr>
                <w:rFonts w:ascii="맑은 고딕" w:hAnsi="맑은 고딕" w:eastAsia="맑은 고딕"/>
                <w:b/>
                <w:sz w:val="18"/>
              </w:rPr>
              <w:t>경로</w:t>
            </w:r>
          </w:p>
        </w:tc>
        <w:tc>
          <w:tcPr>
            <w:tcW w:type="dxa" w:w="2154"/>
            <w:shd w:val="clear" w:color="auto" w:fill="E8E8E8"/>
          </w:tcPr>
          <w:p>
            <w:pPr>
              <w:spacing w:after="0" w:line="312" w:lineRule="auto"/>
              <w:jc w:val="center"/>
            </w:pPr>
            <w:r/>
            <w:r>
              <w:rPr>
                <w:rFonts w:ascii="맑은 고딕" w:hAnsi="맑은 고딕" w:eastAsia="맑은 고딕"/>
                <w:b/>
                <w:sz w:val="18"/>
              </w:rPr>
              <w:t>출력물</w:t>
            </w:r>
          </w:p>
        </w:tc>
        <w:tc>
          <w:tcPr>
            <w:tcW w:type="dxa" w:w="5329"/>
            <w:shd w:val="clear" w:color="auto" w:fill="E8E8E8"/>
          </w:tcPr>
          <w:p>
            <w:pPr>
              <w:spacing w:after="0" w:line="312" w:lineRule="auto"/>
              <w:jc w:val="center"/>
            </w:pPr>
            <w:r/>
            <w:r>
              <w:rPr>
                <w:rFonts w:ascii="맑은 고딕" w:hAnsi="맑은 고딕" w:eastAsia="맑은 고딕"/>
                <w:b/>
                <w:sz w:val="18"/>
              </w:rPr>
              <w:t>용도 및 특징</w:t>
            </w:r>
          </w:p>
        </w:tc>
      </w:tr>
      <w:tr>
        <w:tc>
          <w:tcPr>
            <w:tcW w:type="dxa" w:w="1928"/>
          </w:tcPr>
          <w:p>
            <w:pPr>
              <w:spacing w:after="0" w:line="312" w:lineRule="auto"/>
              <w:jc w:val="center"/>
            </w:pPr>
            <w:r/>
            <w:r>
              <w:rPr>
                <w:rFonts w:ascii="맑은 고딕" w:hAnsi="맑은 고딕" w:eastAsia="맑은 고딕"/>
                <w:b w:val="0"/>
                <w:sz w:val="18"/>
              </w:rPr>
              <w:t>A. 앱 실시간 렌더</w:t>
            </w:r>
          </w:p>
        </w:tc>
        <w:tc>
          <w:tcPr>
            <w:tcW w:type="dxa" w:w="2154"/>
          </w:tcPr>
          <w:p>
            <w:pPr>
              <w:spacing w:after="0" w:line="312" w:lineRule="auto"/>
              <w:jc w:val="center"/>
            </w:pPr>
            <w:r/>
            <w:r>
              <w:rPr>
                <w:rFonts w:ascii="맑은 고딕" w:hAnsi="맑은 고딕" w:eastAsia="맑은 고딕"/>
                <w:b w:val="0"/>
                <w:sz w:val="18"/>
              </w:rPr>
              <w:t>학습 화면(HTML)</w:t>
            </w:r>
          </w:p>
        </w:tc>
        <w:tc>
          <w:tcPr>
            <w:tcW w:type="dxa" w:w="5329"/>
          </w:tcPr>
          <w:p>
            <w:pPr>
              <w:spacing w:after="0" w:line="312" w:lineRule="auto"/>
            </w:pPr>
            <w:r/>
            <w:r>
              <w:rPr>
                <w:rFonts w:ascii="맑은 고딕" w:hAnsi="맑은 고딕" w:eastAsia="맑은 고딕"/>
                <w:b w:val="0"/>
                <w:sz w:val="18"/>
              </w:rPr>
              <w:t>교재 연동 온라인 학습을 실행하고 과정 데이터를 수집</w:t>
            </w:r>
          </w:p>
        </w:tc>
      </w:tr>
      <w:tr>
        <w:tc>
          <w:tcPr>
            <w:tcW w:type="dxa" w:w="1928"/>
          </w:tcPr>
          <w:p>
            <w:pPr>
              <w:spacing w:after="0" w:line="312" w:lineRule="auto"/>
              <w:jc w:val="center"/>
            </w:pPr>
            <w:r/>
            <w:r>
              <w:rPr>
                <w:rFonts w:ascii="맑은 고딕" w:hAnsi="맑은 고딕" w:eastAsia="맑은 고딕"/>
                <w:b w:val="0"/>
                <w:sz w:val="18"/>
              </w:rPr>
              <w:t>B-1. 서버 비동기</w:t>
            </w:r>
          </w:p>
        </w:tc>
        <w:tc>
          <w:tcPr>
            <w:tcW w:type="dxa" w:w="2154"/>
          </w:tcPr>
          <w:p>
            <w:pPr>
              <w:spacing w:after="0" w:line="312" w:lineRule="auto"/>
              <w:jc w:val="center"/>
            </w:pPr>
            <w:r/>
            <w:r>
              <w:rPr>
                <w:rFonts w:ascii="맑은 고딕" w:hAnsi="맑은 고딕" w:eastAsia="맑은 고딕"/>
                <w:b w:val="0"/>
                <w:sz w:val="18"/>
              </w:rPr>
              <w:t>전자책(EPUB)</w:t>
            </w:r>
          </w:p>
        </w:tc>
        <w:tc>
          <w:tcPr>
            <w:tcW w:type="dxa" w:w="5329"/>
          </w:tcPr>
          <w:p>
            <w:pPr>
              <w:spacing w:after="0" w:line="312" w:lineRule="auto"/>
            </w:pPr>
            <w:r/>
            <w:r>
              <w:rPr>
                <w:rFonts w:ascii="맑은 고딕" w:hAnsi="맑은 고딕" w:eastAsia="맑은 고딕"/>
                <w:b w:val="0"/>
                <w:sz w:val="18"/>
              </w:rPr>
              <w:t>앱 뷰어에서 열람. 각 단원·문항에 학습 모듈 진입 딥링크 삽입</w:t>
            </w:r>
          </w:p>
        </w:tc>
      </w:tr>
      <w:tr>
        <w:tc>
          <w:tcPr>
            <w:tcW w:type="dxa" w:w="1928"/>
          </w:tcPr>
          <w:p>
            <w:pPr>
              <w:spacing w:after="0" w:line="312" w:lineRule="auto"/>
              <w:jc w:val="center"/>
            </w:pPr>
            <w:r/>
            <w:r>
              <w:rPr>
                <w:rFonts w:ascii="맑은 고딕" w:hAnsi="맑은 고딕" w:eastAsia="맑은 고딕"/>
                <w:b w:val="0"/>
                <w:sz w:val="18"/>
              </w:rPr>
              <w:t>B-2. 서버 비동기</w:t>
            </w:r>
          </w:p>
        </w:tc>
        <w:tc>
          <w:tcPr>
            <w:tcW w:type="dxa" w:w="2154"/>
          </w:tcPr>
          <w:p>
            <w:pPr>
              <w:spacing w:after="0" w:line="312" w:lineRule="auto"/>
              <w:jc w:val="center"/>
            </w:pPr>
            <w:r/>
            <w:r>
              <w:rPr>
                <w:rFonts w:ascii="맑은 고딕" w:hAnsi="맑은 고딕" w:eastAsia="맑은 고딕"/>
                <w:b w:val="0"/>
                <w:sz w:val="18"/>
              </w:rPr>
              <w:t>인쇄용 PDF</w:t>
            </w:r>
          </w:p>
        </w:tc>
        <w:tc>
          <w:tcPr>
            <w:tcW w:type="dxa" w:w="5329"/>
          </w:tcPr>
          <w:p>
            <w:pPr>
              <w:spacing w:after="0" w:line="312" w:lineRule="auto"/>
            </w:pPr>
            <w:r/>
            <w:r>
              <w:rPr>
                <w:rFonts w:ascii="맑은 고딕" w:hAnsi="맑은 고딕" w:eastAsia="맑은 고딕"/>
                <w:b w:val="0"/>
                <w:sz w:val="18"/>
              </w:rPr>
              <w:t>식별코드 삽입 후 주문형 인쇄 발주. ISBN 부착 시 외부 유통 가능</w:t>
            </w:r>
          </w:p>
        </w:tc>
      </w:tr>
    </w:tbl>
    <w:p>
      <w:pPr>
        <w:spacing w:after="40" w:line="336" w:lineRule="auto"/>
        <w:ind w:left="283" w:hanging="238"/>
      </w:pPr>
      <w:r>
        <w:rPr>
          <w:rFonts w:ascii="맑은 고딕" w:hAnsi="맑은 고딕" w:eastAsia="맑은 고딕"/>
          <w:sz w:val="20"/>
        </w:rPr>
        <w:t>◦ 버전 연결 보존 — 생성된 파일이 어느 교재 버전을 기준으로 하는지 추적하여 개정판·재인쇄 관리의 기반으로 삼는다.</w:t>
      </w:r>
    </w:p>
    <w:p>
      <w:pPr>
        <w:spacing w:after="40" w:line="336" w:lineRule="auto"/>
        <w:ind w:left="283" w:hanging="238"/>
      </w:pPr>
      <w:r>
        <w:rPr>
          <w:rFonts w:ascii="맑은 고딕" w:hAnsi="맑은 고딕" w:eastAsia="맑은 고딕"/>
          <w:sz w:val="20"/>
        </w:rPr>
        <w:t>◦ 식별코드 결속 — 인쇄 교재의 문항에 코드를 인쇄해, 종이로 푼 답안도 촬영 시 온라인 채점과 리포트로 연결된다. 학급 공통 교재는 콘텐츠 식별 코드와 로그인 세션으로 학생을 구분하고, 개인화 인쇄물은 학생·문항 단위 코드를 쓰는 2단 설계를 적용해 인쇄 단가와 개인 식별을 동시에 만족시킨다.</w:t>
      </w:r>
    </w:p>
    <w:p>
      <w:pPr>
        <w:spacing w:after="40" w:line="336" w:lineRule="auto"/>
        <w:ind w:left="283" w:hanging="238"/>
      </w:pPr>
      <w:r>
        <w:rPr>
          <w:rFonts w:ascii="맑은 고딕" w:hAnsi="맑은 고딕" w:eastAsia="맑은 고딕"/>
          <w:sz w:val="20"/>
        </w:rPr>
        <w:t>◦ 조판 스택은 문서 변환 엔진과 조판 엔진의 조합을 1차 후보로 하며, 영한 혼합 조판 품질과 문항·답란·보기 레이아웃 구현이 본 과제의 핵심 기술 검증 항목이다.</w:t>
      </w:r>
    </w:p>
    <w:p>
      <w:pPr>
        <w:spacing w:before="200" w:after="80"/>
      </w:pPr>
      <w:r>
        <w:rPr>
          <w:rFonts w:ascii="맑은 고딕" w:hAnsi="맑은 고딕" w:eastAsia="맑은 고딕"/>
          <w:b/>
          <w:sz w:val="21"/>
        </w:rPr>
        <w:t>모듈 5. 직무 상황 말하기 실습 및 역량 증명</w:t>
      </w:r>
    </w:p>
    <w:p>
      <w:pPr>
        <w:spacing w:before="0" w:after="80" w:line="348" w:lineRule="auto"/>
      </w:pPr>
      <w:r>
        <w:rPr>
          <w:rFonts w:ascii="맑은 고딕" w:hAnsi="맑은 고딕" w:eastAsia="맑은 고딕"/>
          <w:b w:val="0"/>
          <w:sz w:val="20"/>
        </w:rPr>
        <w:t>(가) 학습 흐름 — 목표 제시, 학습, 정밀 드릴, 적용, 측정의 5단계 구조 위에 원자 모듈을 배치한다. 직무 롤플레이는 적용 단계의 핵심 모듈로, 대본 기반의 기본 롤플레이와 변형 상황에 대응하는 자유 롤플레이 2단계로 구성해 난이도를 단계적으로 올린다.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1701"/>
            <w:shd w:val="clear" w:color="auto" w:fill="E8E8E8"/>
          </w:tcPr>
          <w:p>
            <w:pPr>
              <w:spacing w:after="0" w:line="312" w:lineRule="auto"/>
              <w:jc w:val="center"/>
            </w:pPr>
            <w:r/>
            <w:r>
              <w:rPr>
                <w:rFonts w:ascii="맑은 고딕" w:hAnsi="맑은 고딕" w:eastAsia="맑은 고딕"/>
                <w:b/>
                <w:sz w:val="18"/>
              </w:rPr>
              <w:t>학과</w:t>
            </w:r>
          </w:p>
        </w:tc>
        <w:tc>
          <w:tcPr>
            <w:tcW w:type="dxa" w:w="7710"/>
            <w:shd w:val="clear" w:color="auto" w:fill="E8E8E8"/>
          </w:tcPr>
          <w:p>
            <w:pPr>
              <w:spacing w:after="0" w:line="312" w:lineRule="auto"/>
              <w:jc w:val="center"/>
            </w:pPr>
            <w:r/>
            <w:r>
              <w:rPr>
                <w:rFonts w:ascii="맑은 고딕" w:hAnsi="맑은 고딕" w:eastAsia="맑은 고딕"/>
                <w:b/>
                <w:sz w:val="18"/>
              </w:rPr>
              <w:t>롤플레이 직무 장면 (예시)</w:t>
            </w:r>
          </w:p>
        </w:tc>
      </w:tr>
      <w:tr>
        <w:tc>
          <w:tcPr>
            <w:tcW w:type="dxa" w:w="1701"/>
          </w:tcPr>
          <w:p>
            <w:pPr>
              <w:spacing w:after="0" w:line="312" w:lineRule="auto"/>
              <w:jc w:val="center"/>
            </w:pPr>
            <w:r/>
            <w:r>
              <w:rPr>
                <w:rFonts w:ascii="맑은 고딕" w:hAnsi="맑은 고딕" w:eastAsia="맑은 고딕"/>
                <w:b w:val="0"/>
                <w:sz w:val="18"/>
              </w:rPr>
              <w:t>호텔관광과</w:t>
            </w:r>
          </w:p>
        </w:tc>
        <w:tc>
          <w:tcPr>
            <w:tcW w:type="dxa" w:w="7710"/>
          </w:tcPr>
          <w:p>
            <w:pPr>
              <w:spacing w:after="0" w:line="312" w:lineRule="auto"/>
            </w:pPr>
            <w:r/>
            <w:r>
              <w:rPr>
                <w:rFonts w:ascii="맑은 고딕" w:hAnsi="맑은 고딕" w:eastAsia="맑은 고딕"/>
                <w:b w:val="0"/>
                <w:sz w:val="18"/>
              </w:rPr>
              <w:t>체크인·체크아웃 응대, 객실 변경 요청 처리, 컴플레인 응대, 부대시설 안내, 예약 확인 및 변경</w:t>
            </w:r>
          </w:p>
        </w:tc>
      </w:tr>
      <w:tr>
        <w:tc>
          <w:tcPr>
            <w:tcW w:type="dxa" w:w="1701"/>
          </w:tcPr>
          <w:p>
            <w:pPr>
              <w:spacing w:after="0" w:line="312" w:lineRule="auto"/>
              <w:jc w:val="center"/>
            </w:pPr>
            <w:r/>
            <w:r>
              <w:rPr>
                <w:rFonts w:ascii="맑은 고딕" w:hAnsi="맑은 고딕" w:eastAsia="맑은 고딕"/>
                <w:b w:val="0"/>
                <w:sz w:val="18"/>
              </w:rPr>
              <w:t>실무영어과</w:t>
            </w:r>
          </w:p>
        </w:tc>
        <w:tc>
          <w:tcPr>
            <w:tcW w:type="dxa" w:w="7710"/>
          </w:tcPr>
          <w:p>
            <w:pPr>
              <w:spacing w:after="0" w:line="312" w:lineRule="auto"/>
            </w:pPr>
            <w:r/>
            <w:r>
              <w:rPr>
                <w:rFonts w:ascii="맑은 고딕" w:hAnsi="맑은 고딕" w:eastAsia="맑은 고딕"/>
                <w:b w:val="0"/>
                <w:sz w:val="18"/>
              </w:rPr>
              <w:t>전화 응대, 이메일 문의 처리, 고객 요구사항 확인, 대안 제시 및 협상</w:t>
            </w:r>
          </w:p>
        </w:tc>
      </w:tr>
    </w:tbl>
    <w:p>
      <w:pPr>
        <w:spacing w:after="40" w:line="336" w:lineRule="auto"/>
        <w:ind w:left="283" w:hanging="238"/>
      </w:pPr>
      <w:r>
        <w:rPr>
          <w:rFonts w:ascii="맑은 고딕" w:hAnsi="맑은 고딕" w:eastAsia="맑은 고딕"/>
          <w:sz w:val="19"/>
        </w:rPr>
        <w:t>◦ (나) 대화 엔진 — 한 번의 통합 호출로 상황 판단, 문법·어휘 오류 분석, 피드백 생성, 응답 생성, 다음 질문 생성, 단계별 힌트 생성을 동시에 수행해 응답 지연을 최소화한다.</w:t>
      </w:r>
    </w:p>
    <w:p>
      <w:pPr>
        <w:spacing w:after="40" w:line="336" w:lineRule="auto"/>
        <w:ind w:left="283" w:hanging="238"/>
      </w:pPr>
      <w:r>
        <w:rPr>
          <w:rFonts w:ascii="맑은 고딕" w:hAnsi="맑은 고딕" w:eastAsia="맑은 고딕"/>
          <w:sz w:val="19"/>
        </w:rPr>
        <w:t>◦ (다) 대기 및 힌트 정책 — 학습자가 말하지 못하고 멈추면 먼저 사고 시간을 보호하고, 일정 시간이 지난 뒤에야 단계적으로 힌트를 제시한다. 음성 인식 신뢰도가 기준 이하이면 재발화를 요청한다.</w:t>
      </w:r>
    </w:p>
    <w:p>
      <w:pPr>
        <w:spacing w:after="40" w:line="336" w:lineRule="auto"/>
        <w:ind w:left="283" w:hanging="238"/>
      </w:pPr>
      <w:r>
        <w:rPr>
          <w:rFonts w:ascii="맑은 고딕" w:hAnsi="맑은 고딕" w:eastAsia="맑은 고딕"/>
          <w:sz w:val="19"/>
        </w:rPr>
        <w:t>◦ (라) 레벨별 대화 정책 — 레벨 그룹별로 인공지능 1턴 발화 길이 상한, 문장 간 간격, 대기 시간, 교정 강도, 따라 읽기 적용 여부를 다르게 설정한다. 교정은 ① 명확한 문법 오류 ② 레벨 학습 포인트 ③ 일반적 어색함의 우선순위로 통제해, 매 턴 모든 오류를 지적함으로써 발화 의욕을 꺾는 문제를 방지한다.</w:t>
      </w:r>
    </w:p>
    <w:p>
      <w:pPr>
        <w:spacing w:after="40" w:line="336" w:lineRule="auto"/>
        <w:ind w:left="283" w:hanging="238"/>
      </w:pPr>
      <w:r>
        <w:rPr>
          <w:rFonts w:ascii="맑은 고딕" w:hAnsi="맑은 고딕" w:eastAsia="맑은 고딕"/>
          <w:sz w:val="19"/>
        </w:rPr>
        <w:t>◦ (마) 언어 비종속 설계 — 음성 입출력 채널과 대화 구조를 언어에 종속되지 않도록 설계하여, 동일한 롤플레이·측정 틀 위에서 중국어·일본어로 확장 가능하게 한다. 본 과제에서는 영어로 실증하고 확장 설계와 구조 검증까지 수행하며, 언어별 커리큘럼과 발음 평가 최적화는 후속 개발 범위로 둔다.</w:t>
      </w:r>
    </w:p>
    <w:p>
      <w:pPr>
        <w:spacing w:before="120" w:after="40" w:line="348" w:lineRule="auto"/>
      </w:pPr>
      <w:r>
        <w:rPr>
          <w:rFonts w:ascii="맑은 고딕" w:hAnsi="맑은 고딕" w:eastAsia="맑은 고딕"/>
          <w:b/>
          <w:sz w:val="20"/>
        </w:rPr>
        <w:t>(바) 측정 지표 및 역량 리포트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701"/>
            <w:shd w:val="clear" w:color="auto" w:fill="E8E8E8"/>
          </w:tcPr>
          <w:p>
            <w:pPr>
              <w:spacing w:after="0" w:line="312" w:lineRule="auto"/>
              <w:jc w:val="center"/>
            </w:pPr>
            <w:r/>
            <w:r>
              <w:rPr>
                <w:rFonts w:ascii="맑은 고딕" w:hAnsi="맑은 고딕" w:eastAsia="맑은 고딕"/>
                <w:b/>
                <w:sz w:val="18"/>
              </w:rPr>
              <w:t>지표</w:t>
            </w:r>
          </w:p>
        </w:tc>
        <w:tc>
          <w:tcPr>
            <w:tcW w:type="dxa" w:w="5329"/>
            <w:shd w:val="clear" w:color="auto" w:fill="E8E8E8"/>
          </w:tcPr>
          <w:p>
            <w:pPr>
              <w:spacing w:after="0" w:line="312" w:lineRule="auto"/>
              <w:jc w:val="center"/>
            </w:pPr>
            <w:r/>
            <w:r>
              <w:rPr>
                <w:rFonts w:ascii="맑은 고딕" w:hAnsi="맑은 고딕" w:eastAsia="맑은 고딕"/>
                <w:b/>
                <w:sz w:val="18"/>
              </w:rPr>
              <w:t>측정 방법</w:t>
            </w:r>
          </w:p>
        </w:tc>
        <w:tc>
          <w:tcPr>
            <w:tcW w:type="dxa" w:w="2381"/>
            <w:shd w:val="clear" w:color="auto" w:fill="E8E8E8"/>
          </w:tcPr>
          <w:p>
            <w:pPr>
              <w:spacing w:after="0" w:line="312" w:lineRule="auto"/>
              <w:jc w:val="center"/>
            </w:pPr>
            <w:r/>
            <w:r>
              <w:rPr>
                <w:rFonts w:ascii="맑은 고딕" w:hAnsi="맑은 고딕" w:eastAsia="맑은 고딕"/>
                <w:b/>
                <w:sz w:val="18"/>
              </w:rPr>
              <w:t>단위</w:t>
            </w:r>
          </w:p>
        </w:tc>
      </w:tr>
      <w:tr>
        <w:tc>
          <w:tcPr>
            <w:tcW w:type="dxa" w:w="1701"/>
          </w:tcPr>
          <w:p>
            <w:pPr>
              <w:spacing w:after="0" w:line="312" w:lineRule="auto"/>
              <w:jc w:val="center"/>
            </w:pPr>
            <w:r/>
            <w:r>
              <w:rPr>
                <w:rFonts w:ascii="맑은 고딕" w:hAnsi="맑은 고딕" w:eastAsia="맑은 고딕"/>
                <w:b w:val="0"/>
                <w:sz w:val="18"/>
              </w:rPr>
              <w:t>유창성</w:t>
            </w:r>
          </w:p>
        </w:tc>
        <w:tc>
          <w:tcPr>
            <w:tcW w:type="dxa" w:w="5329"/>
          </w:tcPr>
          <w:p>
            <w:pPr>
              <w:spacing w:after="0" w:line="312" w:lineRule="auto"/>
              <w:jc w:val="center"/>
            </w:pPr>
            <w:r/>
            <w:r>
              <w:rPr>
                <w:rFonts w:ascii="맑은 고딕" w:hAnsi="맑은 고딕" w:eastAsia="맑은 고딕"/>
                <w:b w:val="0"/>
                <w:sz w:val="18"/>
              </w:rPr>
              <w:t>발화 속도, 침묵 구간 분석</w:t>
            </w:r>
          </w:p>
        </w:tc>
        <w:tc>
          <w:tcPr>
            <w:tcW w:type="dxa" w:w="2381"/>
          </w:tcPr>
          <w:p>
            <w:pPr>
              <w:spacing w:after="0" w:line="312" w:lineRule="auto"/>
              <w:jc w:val="center"/>
            </w:pPr>
            <w:r/>
            <w:r>
              <w:rPr>
                <w:rFonts w:ascii="맑은 고딕" w:hAnsi="맑은 고딕" w:eastAsia="맑은 고딕"/>
                <w:b w:val="0"/>
                <w:sz w:val="18"/>
              </w:rPr>
              <w:t>WPM, %</w:t>
            </w:r>
          </w:p>
        </w:tc>
      </w:tr>
      <w:tr>
        <w:tc>
          <w:tcPr>
            <w:tcW w:type="dxa" w:w="1701"/>
          </w:tcPr>
          <w:p>
            <w:pPr>
              <w:spacing w:after="0" w:line="312" w:lineRule="auto"/>
              <w:jc w:val="center"/>
            </w:pPr>
            <w:r/>
            <w:r>
              <w:rPr>
                <w:rFonts w:ascii="맑은 고딕" w:hAnsi="맑은 고딕" w:eastAsia="맑은 고딕"/>
                <w:b w:val="0"/>
                <w:sz w:val="18"/>
              </w:rPr>
              <w:t>정확성</w:t>
            </w:r>
          </w:p>
        </w:tc>
        <w:tc>
          <w:tcPr>
            <w:tcW w:type="dxa" w:w="5329"/>
          </w:tcPr>
          <w:p>
            <w:pPr>
              <w:spacing w:after="0" w:line="312" w:lineRule="auto"/>
              <w:jc w:val="center"/>
            </w:pPr>
            <w:r/>
            <w:r>
              <w:rPr>
                <w:rFonts w:ascii="맑은 고딕" w:hAnsi="맑은 고딕" w:eastAsia="맑은 고딕"/>
                <w:b w:val="0"/>
                <w:sz w:val="18"/>
              </w:rPr>
              <w:t>문법·어휘 오류율</w:t>
            </w:r>
          </w:p>
        </w:tc>
        <w:tc>
          <w:tcPr>
            <w:tcW w:type="dxa" w:w="2381"/>
          </w:tcPr>
          <w:p>
            <w:pPr>
              <w:spacing w:after="0" w:line="312" w:lineRule="auto"/>
              <w:jc w:val="center"/>
            </w:pPr>
            <w:r/>
            <w:r>
              <w:rPr>
                <w:rFonts w:ascii="맑은 고딕" w:hAnsi="맑은 고딕" w:eastAsia="맑은 고딕"/>
                <w:b w:val="0"/>
                <w:sz w:val="18"/>
              </w:rPr>
              <w:t>오류/문장, %</w:t>
            </w:r>
          </w:p>
        </w:tc>
      </w:tr>
      <w:tr>
        <w:tc>
          <w:tcPr>
            <w:tcW w:type="dxa" w:w="1701"/>
          </w:tcPr>
          <w:p>
            <w:pPr>
              <w:spacing w:after="0" w:line="312" w:lineRule="auto"/>
              <w:jc w:val="center"/>
            </w:pPr>
            <w:r/>
            <w:r>
              <w:rPr>
                <w:rFonts w:ascii="맑은 고딕" w:hAnsi="맑은 고딕" w:eastAsia="맑은 고딕"/>
                <w:b w:val="0"/>
                <w:sz w:val="18"/>
              </w:rPr>
              <w:t>복잡성</w:t>
            </w:r>
          </w:p>
        </w:tc>
        <w:tc>
          <w:tcPr>
            <w:tcW w:type="dxa" w:w="5329"/>
          </w:tcPr>
          <w:p>
            <w:pPr>
              <w:spacing w:after="0" w:line="312" w:lineRule="auto"/>
            </w:pPr>
            <w:r/>
            <w:r>
              <w:rPr>
                <w:rFonts w:ascii="맑은 고딕" w:hAnsi="맑은 고딕" w:eastAsia="맑은 고딕"/>
                <w:b w:val="0"/>
                <w:sz w:val="18"/>
              </w:rPr>
              <w:t>문장 구조 다양성, 평균 발화 길이</w:t>
            </w:r>
          </w:p>
        </w:tc>
        <w:tc>
          <w:tcPr>
            <w:tcW w:type="dxa" w:w="2381"/>
          </w:tcPr>
          <w:p>
            <w:pPr>
              <w:spacing w:after="0" w:line="312" w:lineRule="auto"/>
              <w:jc w:val="center"/>
            </w:pPr>
            <w:r/>
            <w:r>
              <w:rPr>
                <w:rFonts w:ascii="맑은 고딕" w:hAnsi="맑은 고딕" w:eastAsia="맑은 고딕"/>
                <w:b w:val="0"/>
                <w:sz w:val="18"/>
              </w:rPr>
              <w:t>단어/발화</w:t>
            </w:r>
          </w:p>
        </w:tc>
      </w:tr>
      <w:tr>
        <w:tc>
          <w:tcPr>
            <w:tcW w:type="dxa" w:w="1701"/>
          </w:tcPr>
          <w:p>
            <w:pPr>
              <w:spacing w:after="0" w:line="312" w:lineRule="auto"/>
              <w:jc w:val="center"/>
            </w:pPr>
            <w:r/>
            <w:r>
              <w:rPr>
                <w:rFonts w:ascii="맑은 고딕" w:hAnsi="맑은 고딕" w:eastAsia="맑은 고딕"/>
                <w:b w:val="0"/>
                <w:sz w:val="18"/>
              </w:rPr>
              <w:t>상호작용성</w:t>
            </w:r>
          </w:p>
        </w:tc>
        <w:tc>
          <w:tcPr>
            <w:tcW w:type="dxa" w:w="5329"/>
          </w:tcPr>
          <w:p>
            <w:pPr>
              <w:spacing w:after="0" w:line="312" w:lineRule="auto"/>
              <w:jc w:val="center"/>
            </w:pPr>
            <w:r/>
            <w:r>
              <w:rPr>
                <w:rFonts w:ascii="맑은 고딕" w:hAnsi="맑은 고딕" w:eastAsia="맑은 고딕"/>
                <w:b w:val="0"/>
                <w:sz w:val="18"/>
              </w:rPr>
              <w:t>질문·호응 빈도, 턴 분석</w:t>
            </w:r>
          </w:p>
        </w:tc>
        <w:tc>
          <w:tcPr>
            <w:tcW w:type="dxa" w:w="2381"/>
          </w:tcPr>
          <w:p>
            <w:pPr>
              <w:spacing w:after="0" w:line="312" w:lineRule="auto"/>
              <w:jc w:val="center"/>
            </w:pPr>
            <w:r/>
            <w:r>
              <w:rPr>
                <w:rFonts w:ascii="맑은 고딕" w:hAnsi="맑은 고딕" w:eastAsia="맑은 고딕"/>
                <w:b w:val="0"/>
                <w:sz w:val="18"/>
              </w:rPr>
              <w:t>횟수</w:t>
            </w:r>
          </w:p>
        </w:tc>
      </w:tr>
      <w:tr>
        <w:tc>
          <w:tcPr>
            <w:tcW w:type="dxa" w:w="1701"/>
          </w:tcPr>
          <w:p>
            <w:pPr>
              <w:spacing w:after="0" w:line="312" w:lineRule="auto"/>
              <w:jc w:val="center"/>
            </w:pPr>
            <w:r/>
            <w:r>
              <w:rPr>
                <w:rFonts w:ascii="맑은 고딕" w:hAnsi="맑은 고딕" w:eastAsia="맑은 고딕"/>
                <w:b w:val="0"/>
                <w:sz w:val="18"/>
              </w:rPr>
              <w:t>발음</w:t>
            </w:r>
          </w:p>
        </w:tc>
        <w:tc>
          <w:tcPr>
            <w:tcW w:type="dxa" w:w="5329"/>
          </w:tcPr>
          <w:p>
            <w:pPr>
              <w:spacing w:after="0" w:line="312" w:lineRule="auto"/>
              <w:jc w:val="center"/>
            </w:pPr>
            <w:r/>
            <w:r>
              <w:rPr>
                <w:rFonts w:ascii="맑은 고딕" w:hAnsi="맑은 고딕" w:eastAsia="맑은 고딕"/>
                <w:b w:val="0"/>
                <w:sz w:val="18"/>
              </w:rPr>
              <w:t>음성 인식 기반 발음 정확도</w:t>
            </w:r>
          </w:p>
        </w:tc>
        <w:tc>
          <w:tcPr>
            <w:tcW w:type="dxa" w:w="2381"/>
          </w:tcPr>
          <w:p>
            <w:pPr>
              <w:spacing w:after="0" w:line="312" w:lineRule="auto"/>
              <w:jc w:val="center"/>
            </w:pPr>
            <w:r/>
            <w:r>
              <w:rPr>
                <w:rFonts w:ascii="맑은 고딕" w:hAnsi="맑은 고딕" w:eastAsia="맑은 고딕"/>
                <w:b w:val="0"/>
                <w:sz w:val="18"/>
              </w:rPr>
              <w:t>%</w:t>
            </w:r>
          </w:p>
        </w:tc>
      </w:tr>
    </w:tbl>
    <w:p>
      <w:pPr>
        <w:spacing w:before="80" w:after="60" w:line="348" w:lineRule="auto"/>
      </w:pPr>
      <w:r>
        <w:rPr>
          <w:rFonts w:ascii="맑은 고딕" w:hAnsi="맑은 고딕" w:eastAsia="맑은 고딕"/>
          <w:b w:val="0"/>
          <w:sz w:val="20"/>
        </w:rPr>
        <w:t>리포트는 ① 현재 레벨 ② 강약점 ③ 학습량·성실도 ④ 성장 추이(학기 전후 델타) ⑤ 교수 코멘트의 5개 섹션으로 구성한다. 모든 수치는 실제 저장된 학습 기록에만 근거하며, 데이터가 부족한 영역은 임의 추정 대신 "축적 중"으로 표기한다. 교수 승인 전에는 발행되지 않는다. 이 리포트는 학생에게는 취업 증빙 자료, 대학에는 교육 성과 지표, 산업체에는 채용 변별 정보가 된다.</w:t>
      </w:r>
    </w:p>
    <w:p>
      <w:pPr>
        <w:spacing w:before="240" w:after="100"/>
      </w:pPr>
      <w:r>
        <w:rPr>
          <w:rFonts w:ascii="맑은 고딕" w:hAnsi="맑은 고딕" w:eastAsia="맑은 고딕"/>
          <w:b/>
          <w:sz w:val="23"/>
        </w:rPr>
        <w:t>3) 연구개발과제 수행일정 및 주요 결과물</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907"/>
            <w:shd w:val="clear" w:color="auto" w:fill="E8E8E8"/>
          </w:tcPr>
          <w:p>
            <w:pPr>
              <w:spacing w:after="0" w:line="312" w:lineRule="auto"/>
              <w:jc w:val="center"/>
            </w:pPr>
            <w:r/>
            <w:r>
              <w:rPr>
                <w:rFonts w:ascii="맑은 고딕" w:hAnsi="맑은 고딕" w:eastAsia="맑은 고딕"/>
                <w:b/>
                <w:sz w:val="18"/>
              </w:rPr>
              <w:t>월</w:t>
            </w:r>
          </w:p>
        </w:tc>
        <w:tc>
          <w:tcPr>
            <w:tcW w:type="dxa" w:w="4876"/>
            <w:shd w:val="clear" w:color="auto" w:fill="E8E8E8"/>
          </w:tcPr>
          <w:p>
            <w:pPr>
              <w:spacing w:after="0" w:line="312" w:lineRule="auto"/>
              <w:jc w:val="center"/>
            </w:pPr>
            <w:r/>
            <w:r>
              <w:rPr>
                <w:rFonts w:ascii="맑은 고딕" w:hAnsi="맑은 고딕" w:eastAsia="맑은 고딕"/>
                <w:b/>
                <w:sz w:val="18"/>
              </w:rPr>
              <w:t>주요 활동</w:t>
            </w:r>
          </w:p>
        </w:tc>
        <w:tc>
          <w:tcPr>
            <w:tcW w:type="dxa" w:w="3628"/>
            <w:shd w:val="clear" w:color="auto" w:fill="E8E8E8"/>
          </w:tcPr>
          <w:p>
            <w:pPr>
              <w:spacing w:after="0" w:line="312" w:lineRule="auto"/>
              <w:jc w:val="center"/>
            </w:pPr>
            <w:r/>
            <w:r>
              <w:rPr>
                <w:rFonts w:ascii="맑은 고딕" w:hAnsi="맑은 고딕" w:eastAsia="맑은 고딕"/>
                <w:b/>
                <w:sz w:val="18"/>
              </w:rPr>
              <w:t>주요 결과물</w:t>
            </w:r>
          </w:p>
        </w:tc>
      </w:tr>
      <w:tr>
        <w:tc>
          <w:tcPr>
            <w:tcW w:type="dxa" w:w="907"/>
          </w:tcPr>
          <w:p>
            <w:pPr>
              <w:spacing w:after="0" w:line="312" w:lineRule="auto"/>
              <w:jc w:val="center"/>
            </w:pPr>
            <w:r/>
            <w:r>
              <w:rPr>
                <w:rFonts w:ascii="맑은 고딕" w:hAnsi="맑은 고딕" w:eastAsia="맑은 고딕"/>
                <w:b w:val="0"/>
                <w:sz w:val="18"/>
              </w:rPr>
              <w:t>9월</w:t>
            </w:r>
          </w:p>
        </w:tc>
        <w:tc>
          <w:tcPr>
            <w:tcW w:type="dxa" w:w="4876"/>
          </w:tcPr>
          <w:p>
            <w:pPr>
              <w:spacing w:after="0" w:line="312" w:lineRule="auto"/>
            </w:pPr>
            <w:r/>
            <w:r>
              <w:rPr>
                <w:rFonts w:ascii="맑은 고딕" w:hAnsi="맑은 고딕" w:eastAsia="맑은 고딕"/>
                <w:b w:val="0"/>
                <w:sz w:val="18"/>
              </w:rPr>
              <w:t>직무 상황·용어 시드 수집(교수·기업·학생 공동 워크숍), 요구사항 정의, 특허 선행기술 조사, 실증 설계 및 참여 학생 모집</w:t>
            </w:r>
          </w:p>
        </w:tc>
        <w:tc>
          <w:tcPr>
            <w:tcW w:type="dxa" w:w="3628"/>
          </w:tcPr>
          <w:p>
            <w:pPr>
              <w:spacing w:after="0" w:line="312" w:lineRule="auto"/>
            </w:pPr>
            <w:r/>
            <w:r>
              <w:rPr>
                <w:rFonts w:ascii="맑은 고딕" w:hAnsi="맑은 고딕" w:eastAsia="맑은 고딕"/>
                <w:b w:val="0"/>
                <w:sz w:val="18"/>
              </w:rPr>
              <w:t>직무 시드 데이터셋, 요구사항 정의서, 선행기술 조사서, 실증 계획서</w:t>
            </w:r>
          </w:p>
        </w:tc>
      </w:tr>
      <w:tr>
        <w:tc>
          <w:tcPr>
            <w:tcW w:type="dxa" w:w="907"/>
          </w:tcPr>
          <w:p>
            <w:pPr>
              <w:spacing w:after="0" w:line="312" w:lineRule="auto"/>
              <w:jc w:val="center"/>
            </w:pPr>
            <w:r/>
            <w:r>
              <w:rPr>
                <w:rFonts w:ascii="맑은 고딕" w:hAnsi="맑은 고딕" w:eastAsia="맑은 고딕"/>
                <w:b w:val="0"/>
                <w:sz w:val="18"/>
              </w:rPr>
              <w:t>10월</w:t>
            </w:r>
          </w:p>
        </w:tc>
        <w:tc>
          <w:tcPr>
            <w:tcW w:type="dxa" w:w="4876"/>
          </w:tcPr>
          <w:p>
            <w:pPr>
              <w:spacing w:after="0" w:line="312" w:lineRule="auto"/>
            </w:pPr>
            <w:r/>
            <w:r>
              <w:rPr>
                <w:rFonts w:ascii="맑은 고딕" w:hAnsi="맑은 고딕" w:eastAsia="맑은 고딕"/>
                <w:b w:val="0"/>
                <w:sz w:val="18"/>
              </w:rPr>
              <w:t>콘텐츠 생성 엔진 프로토타입 개발, CEFR 난이도 추정 모듈 1차 구현, 검수 화면 구현, 콘텐츠 생성 및 교수 검수 착수</w:t>
            </w:r>
          </w:p>
        </w:tc>
        <w:tc>
          <w:tcPr>
            <w:tcW w:type="dxa" w:w="3628"/>
          </w:tcPr>
          <w:p>
            <w:pPr>
              <w:spacing w:after="0" w:line="312" w:lineRule="auto"/>
            </w:pPr>
            <w:r/>
            <w:r>
              <w:rPr>
                <w:rFonts w:ascii="맑은 고딕" w:hAnsi="맑은 고딕" w:eastAsia="맑은 고딕"/>
                <w:b w:val="0"/>
                <w:sz w:val="18"/>
              </w:rPr>
              <w:t>저작 엔진 프로토타입, 승인 콘텐츠 20단원, 검수 로그</w:t>
            </w:r>
          </w:p>
        </w:tc>
      </w:tr>
      <w:tr>
        <w:tc>
          <w:tcPr>
            <w:tcW w:type="dxa" w:w="907"/>
          </w:tcPr>
          <w:p>
            <w:pPr>
              <w:spacing w:after="0" w:line="312" w:lineRule="auto"/>
              <w:jc w:val="center"/>
            </w:pPr>
            <w:r/>
            <w:r>
              <w:rPr>
                <w:rFonts w:ascii="맑은 고딕" w:hAnsi="맑은 고딕" w:eastAsia="맑은 고딕"/>
                <w:b w:val="0"/>
                <w:sz w:val="18"/>
              </w:rPr>
              <w:t>11월</w:t>
            </w:r>
          </w:p>
        </w:tc>
        <w:tc>
          <w:tcPr>
            <w:tcW w:type="dxa" w:w="4876"/>
          </w:tcPr>
          <w:p>
            <w:pPr>
              <w:spacing w:after="0" w:line="312" w:lineRule="auto"/>
            </w:pPr>
            <w:r/>
            <w:r>
              <w:rPr>
                <w:rFonts w:ascii="맑은 고딕" w:hAnsi="맑은 고딕" w:eastAsia="맑은 고딕"/>
                <w:b w:val="0"/>
                <w:sz w:val="18"/>
              </w:rPr>
              <w:t>단일 원본 다중 출력 파이프라인 구현, 시범 교재 1종 출력, 롤플레이 시나리오 30종 구현 및 검수 / 11.25. 중간보고</w:t>
            </w:r>
          </w:p>
        </w:tc>
        <w:tc>
          <w:tcPr>
            <w:tcW w:type="dxa" w:w="3628"/>
          </w:tcPr>
          <w:p>
            <w:pPr>
              <w:spacing w:after="0" w:line="312" w:lineRule="auto"/>
            </w:pPr>
            <w:r/>
            <w:r>
              <w:rPr>
                <w:rFonts w:ascii="맑은 고딕" w:hAnsi="맑은 고딕" w:eastAsia="맑은 고딕"/>
                <w:b w:val="0"/>
                <w:sz w:val="18"/>
              </w:rPr>
              <w:t>전자책·인쇄용 PDF, 롤플레이 시나리오 세트, 중간보고서</w:t>
            </w:r>
          </w:p>
        </w:tc>
      </w:tr>
      <w:tr>
        <w:tc>
          <w:tcPr>
            <w:tcW w:type="dxa" w:w="907"/>
          </w:tcPr>
          <w:p>
            <w:pPr>
              <w:spacing w:after="0" w:line="312" w:lineRule="auto"/>
              <w:jc w:val="center"/>
            </w:pPr>
            <w:r/>
            <w:r>
              <w:rPr>
                <w:rFonts w:ascii="맑은 고딕" w:hAnsi="맑은 고딕" w:eastAsia="맑은 고딕"/>
                <w:b w:val="0"/>
                <w:sz w:val="18"/>
              </w:rPr>
              <w:t>12월</w:t>
            </w:r>
          </w:p>
        </w:tc>
        <w:tc>
          <w:tcPr>
            <w:tcW w:type="dxa" w:w="4876"/>
          </w:tcPr>
          <w:p>
            <w:pPr>
              <w:spacing w:after="0" w:line="312" w:lineRule="auto"/>
            </w:pPr>
            <w:r/>
            <w:r>
              <w:rPr>
                <w:rFonts w:ascii="맑은 고딕" w:hAnsi="맑은 고딕" w:eastAsia="맑은 고딕"/>
                <w:b w:val="0"/>
                <w:sz w:val="18"/>
              </w:rPr>
              <w:t>재학생 파일럿 실증(30명), 역량 리포트 산출, 정량 목표 대비 성능 검증, 12.31. 이전 특허 출원신청서 제출, 논문 투고</w:t>
            </w:r>
          </w:p>
        </w:tc>
        <w:tc>
          <w:tcPr>
            <w:tcW w:type="dxa" w:w="3628"/>
          </w:tcPr>
          <w:p>
            <w:pPr>
              <w:spacing w:after="0" w:line="312" w:lineRule="auto"/>
            </w:pPr>
            <w:r/>
            <w:r>
              <w:rPr>
                <w:rFonts w:ascii="맑은 고딕" w:hAnsi="맑은 고딕" w:eastAsia="맑은 고딕"/>
                <w:b w:val="0"/>
                <w:sz w:val="18"/>
              </w:rPr>
              <w:t>실증 결과보고서, 개인별 역량 리포트, 특허 출원신청서, 논문 원고</w:t>
            </w:r>
          </w:p>
        </w:tc>
      </w:tr>
      <w:tr>
        <w:tc>
          <w:tcPr>
            <w:tcW w:type="dxa" w:w="907"/>
          </w:tcPr>
          <w:p>
            <w:pPr>
              <w:spacing w:after="0" w:line="312" w:lineRule="auto"/>
              <w:jc w:val="center"/>
            </w:pPr>
            <w:r/>
            <w:r>
              <w:rPr>
                <w:rFonts w:ascii="맑은 고딕" w:hAnsi="맑은 고딕" w:eastAsia="맑은 고딕"/>
                <w:b w:val="0"/>
                <w:sz w:val="18"/>
              </w:rPr>
              <w:t>27.01.</w:t>
            </w:r>
          </w:p>
        </w:tc>
        <w:tc>
          <w:tcPr>
            <w:tcW w:type="dxa" w:w="4876"/>
          </w:tcPr>
          <w:p>
            <w:pPr>
              <w:spacing w:after="0" w:line="312" w:lineRule="auto"/>
            </w:pPr>
            <w:r/>
            <w:r>
              <w:rPr>
                <w:rFonts w:ascii="맑은 고딕" w:hAnsi="맑은 고딕" w:eastAsia="맑은 고딕"/>
                <w:b w:val="0"/>
                <w:sz w:val="18"/>
              </w:rPr>
              <w:t>01.08. 최종보고서 제출 및 결과보고회(학생연구원 성과 발표)</w:t>
            </w:r>
          </w:p>
        </w:tc>
        <w:tc>
          <w:tcPr>
            <w:tcW w:type="dxa" w:w="3628"/>
          </w:tcPr>
          <w:p>
            <w:pPr>
              <w:spacing w:after="0" w:line="312" w:lineRule="auto"/>
              <w:jc w:val="center"/>
            </w:pPr>
            <w:r/>
            <w:r>
              <w:rPr>
                <w:rFonts w:ascii="맑은 고딕" w:hAnsi="맑은 고딕" w:eastAsia="맑은 고딕"/>
                <w:b w:val="0"/>
                <w:sz w:val="18"/>
              </w:rPr>
              <w:t>최종보고서, 성과발표 자료</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46"/>
      </w:tblGrid>
      <w:tr>
        <w:tc>
          <w:tcPr>
            <w:tcW w:type="dxa" w:w="9411"/>
            <w:shd w:val="clear" w:color="auto" w:fill="F2F2F2"/>
          </w:tcPr>
          <w:p>
            <w:pPr>
              <w:spacing w:after="0" w:line="300" w:lineRule="auto"/>
            </w:pPr>
            <w:r/>
            <w:r>
              <w:rPr>
                <w:rFonts w:ascii="맑은 고딕" w:hAnsi="맑은 고딕" w:eastAsia="맑은 고딕"/>
                <w:b w:val="0"/>
                <w:sz w:val="17"/>
              </w:rPr>
              <w:t>【작성방법】아래 내용을 포함하여 기술</w:t>
            </w:r>
          </w:p>
          <w:p>
            <w:pPr>
              <w:spacing w:after="0" w:line="300" w:lineRule="auto"/>
            </w:pPr>
            <w:r>
              <w:rPr>
                <w:rFonts w:ascii="맑은 고딕" w:hAnsi="맑은 고딕" w:eastAsia="맑은 고딕"/>
                <w:b w:val="0"/>
                <w:sz w:val="17"/>
              </w:rPr>
              <w:t xml:space="preserve">  ① 기술개발과제의 목표 및 내용</w:t>
            </w:r>
          </w:p>
          <w:p>
            <w:pPr>
              <w:spacing w:after="0" w:line="300" w:lineRule="auto"/>
            </w:pPr>
            <w:r>
              <w:rPr>
                <w:rFonts w:ascii="맑은 고딕" w:hAnsi="맑은 고딕" w:eastAsia="맑은 고딕"/>
                <w:b w:val="0"/>
                <w:sz w:val="17"/>
              </w:rPr>
              <w:t xml:space="preserve">  ※ 지식재산권 신청서 제출 기한: 12월 31일 종료 이전(필수)</w:t>
            </w:r>
          </w:p>
        </w:tc>
      </w:tr>
    </w:tbl>
    <w:p>
      <w:pPr>
        <w:spacing w:before="0" w:after="80" w:line="348" w:lineRule="auto"/>
      </w:pPr>
    </w:p>
    <w:p>
      <w:pPr>
        <w:spacing w:before="80" w:after="60" w:line="348" w:lineRule="auto"/>
      </w:pPr>
      <w:r>
        <w:rPr>
          <w:rFonts w:ascii="맑은 고딕" w:hAnsi="맑은 고딕" w:eastAsia="맑은 고딕"/>
          <w:b/>
          <w:sz w:val="20"/>
        </w:rPr>
        <w:t>[성과지표]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9"/>
        <w:gridCol w:w="1949"/>
        <w:gridCol w:w="1949"/>
        <w:gridCol w:w="1949"/>
        <w:gridCol w:w="1949"/>
      </w:tblGrid>
      <w:tr>
        <w:tc>
          <w:tcPr>
            <w:tcW w:type="dxa" w:w="1247"/>
            <w:shd w:val="clear" w:color="auto" w:fill="E8E8E8"/>
          </w:tcPr>
          <w:p>
            <w:pPr>
              <w:spacing w:after="0" w:line="312" w:lineRule="auto"/>
              <w:jc w:val="center"/>
            </w:pPr>
            <w:r/>
            <w:r>
              <w:rPr>
                <w:rFonts w:ascii="맑은 고딕" w:hAnsi="맑은 고딕" w:eastAsia="맑은 고딕"/>
                <w:b/>
                <w:sz w:val="17"/>
              </w:rPr>
              <w:t>구분</w:t>
            </w:r>
          </w:p>
        </w:tc>
        <w:tc>
          <w:tcPr>
            <w:tcW w:type="dxa" w:w="1928"/>
            <w:shd w:val="clear" w:color="auto" w:fill="E8E8E8"/>
          </w:tcPr>
          <w:p>
            <w:pPr>
              <w:spacing w:after="0" w:line="312" w:lineRule="auto"/>
              <w:jc w:val="center"/>
            </w:pPr>
            <w:r/>
            <w:r>
              <w:rPr>
                <w:rFonts w:ascii="맑은 고딕" w:hAnsi="맑은 고딕" w:eastAsia="맑은 고딕"/>
                <w:b/>
                <w:sz w:val="17"/>
              </w:rPr>
              <w:t>지표</w:t>
            </w:r>
          </w:p>
        </w:tc>
        <w:tc>
          <w:tcPr>
            <w:tcW w:type="dxa" w:w="1474"/>
            <w:shd w:val="clear" w:color="auto" w:fill="E8E8E8"/>
          </w:tcPr>
          <w:p>
            <w:pPr>
              <w:spacing w:after="0" w:line="312" w:lineRule="auto"/>
              <w:jc w:val="center"/>
            </w:pPr>
            <w:r/>
            <w:r>
              <w:rPr>
                <w:rFonts w:ascii="맑은 고딕" w:hAnsi="맑은 고딕" w:eastAsia="맑은 고딕"/>
                <w:b/>
                <w:sz w:val="17"/>
              </w:rPr>
              <w:t>목표값</w:t>
            </w:r>
          </w:p>
        </w:tc>
        <w:tc>
          <w:tcPr>
            <w:tcW w:type="dxa" w:w="2268"/>
            <w:shd w:val="clear" w:color="auto" w:fill="E8E8E8"/>
          </w:tcPr>
          <w:p>
            <w:pPr>
              <w:spacing w:after="0" w:line="312" w:lineRule="auto"/>
              <w:jc w:val="center"/>
            </w:pPr>
            <w:r/>
            <w:r>
              <w:rPr>
                <w:rFonts w:ascii="맑은 고딕" w:hAnsi="맑은 고딕" w:eastAsia="맑은 고딕"/>
                <w:b/>
                <w:sz w:val="17"/>
              </w:rPr>
              <w:t>달성 시점</w:t>
            </w:r>
          </w:p>
        </w:tc>
        <w:tc>
          <w:tcPr>
            <w:tcW w:type="dxa" w:w="2494"/>
            <w:shd w:val="clear" w:color="auto" w:fill="E8E8E8"/>
          </w:tcPr>
          <w:p>
            <w:pPr>
              <w:spacing w:after="0" w:line="312" w:lineRule="auto"/>
              <w:jc w:val="center"/>
            </w:pPr>
            <w:r/>
            <w:r>
              <w:rPr>
                <w:rFonts w:ascii="맑은 고딕" w:hAnsi="맑은 고딕" w:eastAsia="맑은 고딕"/>
                <w:b/>
                <w:sz w:val="17"/>
              </w:rPr>
              <w:t>산출 근거</w:t>
            </w:r>
          </w:p>
        </w:tc>
      </w:tr>
      <w:tr>
        <w:tc>
          <w:tcPr>
            <w:tcW w:type="dxa" w:w="1247"/>
          </w:tcPr>
          <w:p>
            <w:pPr>
              <w:spacing w:after="0" w:line="312" w:lineRule="auto"/>
              <w:jc w:val="center"/>
            </w:pPr>
            <w:r/>
            <w:r>
              <w:rPr>
                <w:rFonts w:ascii="맑은 고딕" w:hAnsi="맑은 고딕" w:eastAsia="맑은 고딕"/>
                <w:b w:val="0"/>
                <w:sz w:val="17"/>
              </w:rPr>
              <w:t>핵심성과 지표</w:t>
            </w:r>
          </w:p>
        </w:tc>
        <w:tc>
          <w:tcPr>
            <w:tcW w:type="dxa" w:w="1928"/>
          </w:tcPr>
          <w:p>
            <w:pPr>
              <w:spacing w:after="0" w:line="312" w:lineRule="auto"/>
              <w:jc w:val="center"/>
            </w:pPr>
            <w:r/>
            <w:r>
              <w:rPr>
                <w:rFonts w:ascii="맑은 고딕" w:hAnsi="맑은 고딕" w:eastAsia="맑은 고딕"/>
                <w:b w:val="0"/>
                <w:sz w:val="17"/>
              </w:rPr>
              <w:t>지식재산권 출원</w:t>
            </w:r>
          </w:p>
        </w:tc>
        <w:tc>
          <w:tcPr>
            <w:tcW w:type="dxa" w:w="1474"/>
          </w:tcPr>
          <w:p>
            <w:pPr>
              <w:spacing w:after="0" w:line="312" w:lineRule="auto"/>
              <w:jc w:val="center"/>
            </w:pPr>
            <w:r/>
            <w:r>
              <w:rPr>
                <w:rFonts w:ascii="맑은 고딕" w:hAnsi="맑은 고딕" w:eastAsia="맑은 고딕"/>
                <w:b w:val="0"/>
                <w:sz w:val="17"/>
              </w:rPr>
              <w:t>1건</w:t>
            </w:r>
          </w:p>
        </w:tc>
        <w:tc>
          <w:tcPr>
            <w:tcW w:type="dxa" w:w="2268"/>
          </w:tcPr>
          <w:p>
            <w:pPr>
              <w:spacing w:after="0" w:line="312" w:lineRule="auto"/>
            </w:pPr>
            <w:r/>
            <w:r>
              <w:rPr>
                <w:rFonts w:ascii="맑은 고딕" w:hAnsi="맑은 고딕" w:eastAsia="맑은 고딕"/>
                <w:b w:val="0"/>
                <w:sz w:val="17"/>
              </w:rPr>
              <w:t>출원신청서 2026.12.31. 이전 제출(필수)</w:t>
            </w:r>
          </w:p>
        </w:tc>
        <w:tc>
          <w:tcPr>
            <w:tcW w:type="dxa" w:w="2494"/>
          </w:tcPr>
          <w:p>
            <w:pPr>
              <w:spacing w:after="0" w:line="312" w:lineRule="auto"/>
            </w:pPr>
            <w:r/>
            <w:r>
              <w:rPr>
                <w:rFonts w:ascii="맑은 고딕" w:hAnsi="맑은 고딕" w:eastAsia="맑은 고딕"/>
                <w:b w:val="0"/>
                <w:sz w:val="17"/>
              </w:rPr>
              <w:t>모듈 1·2·4·5의 기술적 신규성</w:t>
            </w:r>
          </w:p>
        </w:tc>
      </w:tr>
      <w:tr>
        <w:tc>
          <w:tcPr>
            <w:tcW w:type="dxa" w:w="1247"/>
          </w:tcPr>
          <w:p>
            <w:pPr>
              <w:spacing w:after="0" w:line="312" w:lineRule="auto"/>
              <w:jc w:val="center"/>
            </w:pPr>
            <w:r/>
            <w:r>
              <w:rPr>
                <w:rFonts w:ascii="맑은 고딕" w:hAnsi="맑은 고딕" w:eastAsia="맑은 고딕"/>
                <w:b w:val="0"/>
                <w:sz w:val="17"/>
              </w:rPr>
              <w:t>핵심성과 지표</w:t>
            </w:r>
          </w:p>
        </w:tc>
        <w:tc>
          <w:tcPr>
            <w:tcW w:type="dxa" w:w="1928"/>
          </w:tcPr>
          <w:p>
            <w:pPr>
              <w:spacing w:after="0" w:line="312" w:lineRule="auto"/>
              <w:jc w:val="center"/>
            </w:pPr>
            <w:r/>
            <w:r>
              <w:rPr>
                <w:rFonts w:ascii="맑은 고딕" w:hAnsi="맑은 고딕" w:eastAsia="맑은 고딕"/>
                <w:b w:val="0"/>
                <w:sz w:val="17"/>
              </w:rPr>
              <w:t>논문 게재</w:t>
            </w:r>
          </w:p>
        </w:tc>
        <w:tc>
          <w:tcPr>
            <w:tcW w:type="dxa" w:w="1474"/>
          </w:tcPr>
          <w:p>
            <w:pPr>
              <w:spacing w:after="0" w:line="312" w:lineRule="auto"/>
              <w:jc w:val="center"/>
            </w:pPr>
            <w:r/>
            <w:r>
              <w:rPr>
                <w:rFonts w:ascii="맑은 고딕" w:hAnsi="맑은 고딕" w:eastAsia="맑은 고딕"/>
                <w:b w:val="0"/>
                <w:sz w:val="17"/>
              </w:rPr>
              <w:t>1편</w:t>
            </w:r>
          </w:p>
        </w:tc>
        <w:tc>
          <w:tcPr>
            <w:tcW w:type="dxa" w:w="2268"/>
          </w:tcPr>
          <w:p>
            <w:pPr>
              <w:spacing w:after="0" w:line="312" w:lineRule="auto"/>
              <w:jc w:val="center"/>
            </w:pPr>
            <w:r/>
            <w:r>
              <w:rPr>
                <w:rFonts w:ascii="맑은 고딕" w:hAnsi="맑은 고딕" w:eastAsia="맑은 고딕"/>
                <w:b w:val="0"/>
                <w:sz w:val="17"/>
              </w:rPr>
              <w:t>~2027.02.</w:t>
            </w:r>
          </w:p>
        </w:tc>
        <w:tc>
          <w:tcPr>
            <w:tcW w:type="dxa" w:w="2494"/>
          </w:tcPr>
          <w:p>
            <w:pPr>
              <w:spacing w:after="0" w:line="312" w:lineRule="auto"/>
            </w:pPr>
            <w:r/>
            <w:r>
              <w:rPr>
                <w:rFonts w:ascii="맑은 고딕" w:hAnsi="맑은 고딕" w:eastAsia="맑은 고딕"/>
                <w:b w:val="0"/>
                <w:sz w:val="17"/>
              </w:rPr>
              <w:t>실증 결과 기반 교육 효과 분석</w:t>
            </w:r>
          </w:p>
        </w:tc>
      </w:tr>
      <w:tr>
        <w:tc>
          <w:tcPr>
            <w:tcW w:type="dxa" w:w="1247"/>
          </w:tcPr>
          <w:p>
            <w:pPr>
              <w:spacing w:after="0" w:line="312" w:lineRule="auto"/>
              <w:jc w:val="center"/>
            </w:pPr>
            <w:r/>
            <w:r>
              <w:rPr>
                <w:rFonts w:ascii="맑은 고딕" w:hAnsi="맑은 고딕" w:eastAsia="맑은 고딕"/>
                <w:b w:val="0"/>
                <w:sz w:val="17"/>
              </w:rPr>
              <w:t>자율 지표</w:t>
            </w:r>
          </w:p>
        </w:tc>
        <w:tc>
          <w:tcPr>
            <w:tcW w:type="dxa" w:w="1928"/>
          </w:tcPr>
          <w:p>
            <w:pPr>
              <w:spacing w:after="0" w:line="312" w:lineRule="auto"/>
              <w:jc w:val="center"/>
            </w:pPr>
            <w:r/>
            <w:r>
              <w:rPr>
                <w:rFonts w:ascii="맑은 고딕" w:hAnsi="맑은 고딕" w:eastAsia="맑은 고딕"/>
                <w:b w:val="0"/>
                <w:sz w:val="17"/>
              </w:rPr>
              <w:t>유료가족회사 가입</w:t>
            </w:r>
          </w:p>
        </w:tc>
        <w:tc>
          <w:tcPr>
            <w:tcW w:type="dxa" w:w="1474"/>
          </w:tcPr>
          <w:p>
            <w:pPr>
              <w:spacing w:after="0" w:line="312" w:lineRule="auto"/>
              <w:jc w:val="center"/>
            </w:pPr>
            <w:r/>
            <w:r>
              <w:rPr>
                <w:rFonts w:ascii="맑은 고딕" w:hAnsi="맑은 고딕" w:eastAsia="맑은 고딕"/>
                <w:b w:val="0"/>
                <w:sz w:val="17"/>
              </w:rPr>
              <w:t>1개사</w:t>
            </w:r>
          </w:p>
        </w:tc>
        <w:tc>
          <w:tcPr>
            <w:tcW w:type="dxa" w:w="2268"/>
          </w:tcPr>
          <w:p>
            <w:pPr>
              <w:spacing w:after="0" w:line="312" w:lineRule="auto"/>
              <w:jc w:val="center"/>
            </w:pPr>
            <w:r/>
            <w:r>
              <w:rPr>
                <w:rFonts w:ascii="맑은 고딕" w:hAnsi="맑은 고딕" w:eastAsia="맑은 고딕"/>
                <w:b w:val="0"/>
                <w:sz w:val="17"/>
              </w:rPr>
              <w:t>과제 신청 전</w:t>
            </w:r>
          </w:p>
        </w:tc>
        <w:tc>
          <w:tcPr>
            <w:tcW w:type="dxa" w:w="2494"/>
          </w:tcPr>
          <w:p>
            <w:pPr>
              <w:spacing w:after="0" w:line="312" w:lineRule="auto"/>
              <w:jc w:val="center"/>
            </w:pPr>
            <w:r/>
            <w:r>
              <w:rPr>
                <w:rFonts w:ascii="맑은 고딕" w:hAnsi="맑은 고딕" w:eastAsia="맑은 고딕"/>
                <w:b w:val="0"/>
                <w:sz w:val="17"/>
              </w:rPr>
              <w:t>참여기업 오이지</w:t>
            </w:r>
          </w:p>
        </w:tc>
      </w:tr>
      <w:tr>
        <w:tc>
          <w:tcPr>
            <w:tcW w:type="dxa" w:w="1247"/>
          </w:tcPr>
          <w:p>
            <w:pPr>
              <w:spacing w:after="0" w:line="312" w:lineRule="auto"/>
              <w:jc w:val="center"/>
            </w:pPr>
            <w:r/>
            <w:r>
              <w:rPr>
                <w:rFonts w:ascii="맑은 고딕" w:hAnsi="맑은 고딕" w:eastAsia="맑은 고딕"/>
                <w:b w:val="0"/>
                <w:sz w:val="17"/>
              </w:rPr>
              <w:t>자율 지표</w:t>
            </w:r>
          </w:p>
        </w:tc>
        <w:tc>
          <w:tcPr>
            <w:tcW w:type="dxa" w:w="1928"/>
          </w:tcPr>
          <w:p>
            <w:pPr>
              <w:spacing w:after="0" w:line="312" w:lineRule="auto"/>
              <w:jc w:val="center"/>
            </w:pPr>
            <w:r/>
            <w:r>
              <w:rPr>
                <w:rFonts w:ascii="맑은 고딕" w:hAnsi="맑은 고딕" w:eastAsia="맑은 고딕"/>
                <w:b w:val="0"/>
                <w:sz w:val="17"/>
              </w:rPr>
              <w:t>캡스톤디자인 참여</w:t>
            </w:r>
          </w:p>
        </w:tc>
        <w:tc>
          <w:tcPr>
            <w:tcW w:type="dxa" w:w="1474"/>
          </w:tcPr>
          <w:p>
            <w:pPr>
              <w:spacing w:after="0" w:line="312" w:lineRule="auto"/>
              <w:jc w:val="center"/>
            </w:pPr>
            <w:r/>
            <w:r>
              <w:rPr>
                <w:rFonts w:ascii="맑은 고딕" w:hAnsi="맑은 고딕" w:eastAsia="맑은 고딕"/>
                <w:b w:val="0"/>
                <w:sz w:val="17"/>
              </w:rPr>
              <w:t>학생 2명 이상</w:t>
            </w:r>
          </w:p>
        </w:tc>
        <w:tc>
          <w:tcPr>
            <w:tcW w:type="dxa" w:w="2268"/>
          </w:tcPr>
          <w:p>
            <w:pPr>
              <w:spacing w:after="0" w:line="312" w:lineRule="auto"/>
              <w:jc w:val="center"/>
            </w:pPr>
            <w:r/>
            <w:r>
              <w:rPr>
                <w:rFonts w:ascii="맑은 고딕" w:hAnsi="맑은 고딕" w:eastAsia="맑은 고딕"/>
                <w:b w:val="0"/>
                <w:sz w:val="17"/>
              </w:rPr>
              <w:t>2026.12.</w:t>
            </w:r>
          </w:p>
        </w:tc>
        <w:tc>
          <w:tcPr>
            <w:tcW w:type="dxa" w:w="2494"/>
          </w:tcPr>
          <w:p>
            <w:pPr>
              <w:spacing w:after="0" w:line="312" w:lineRule="auto"/>
            </w:pPr>
            <w:r/>
            <w:r>
              <w:rPr>
                <w:rFonts w:ascii="맑은 고딕" w:hAnsi="맑은 고딕" w:eastAsia="맑은 고딕"/>
                <w:b w:val="0"/>
                <w:sz w:val="17"/>
              </w:rPr>
              <w:t>AI·데이터융합학부 학습데이터 분석 과제</w:t>
            </w:r>
          </w:p>
        </w:tc>
      </w:tr>
      <w:tr>
        <w:tc>
          <w:tcPr>
            <w:tcW w:type="dxa" w:w="1247"/>
          </w:tcPr>
          <w:p>
            <w:pPr>
              <w:spacing w:after="0" w:line="312" w:lineRule="auto"/>
              <w:jc w:val="center"/>
            </w:pPr>
            <w:r/>
            <w:r>
              <w:rPr>
                <w:rFonts w:ascii="맑은 고딕" w:hAnsi="맑은 고딕" w:eastAsia="맑은 고딕"/>
                <w:b w:val="0"/>
                <w:sz w:val="17"/>
              </w:rPr>
              <w:t>자율 지표</w:t>
            </w:r>
          </w:p>
        </w:tc>
        <w:tc>
          <w:tcPr>
            <w:tcW w:type="dxa" w:w="1928"/>
          </w:tcPr>
          <w:p>
            <w:pPr>
              <w:spacing w:after="0" w:line="312" w:lineRule="auto"/>
              <w:jc w:val="center"/>
            </w:pPr>
            <w:r/>
            <w:r>
              <w:rPr>
                <w:rFonts w:ascii="맑은 고딕" w:hAnsi="맑은 고딕" w:eastAsia="맑은 고딕"/>
                <w:b w:val="0"/>
                <w:sz w:val="17"/>
              </w:rPr>
              <w:t>산업체 재직자 교육</w:t>
            </w:r>
          </w:p>
        </w:tc>
        <w:tc>
          <w:tcPr>
            <w:tcW w:type="dxa" w:w="1474"/>
          </w:tcPr>
          <w:p>
            <w:pPr>
              <w:spacing w:after="0" w:line="312" w:lineRule="auto"/>
              <w:jc w:val="center"/>
            </w:pPr>
            <w:r/>
            <w:r>
              <w:rPr>
                <w:rFonts w:ascii="맑은 고딕" w:hAnsi="맑은 고딕" w:eastAsia="맑은 고딕"/>
                <w:b w:val="0"/>
                <w:sz w:val="17"/>
              </w:rPr>
              <w:t>1회</w:t>
            </w:r>
          </w:p>
        </w:tc>
        <w:tc>
          <w:tcPr>
            <w:tcW w:type="dxa" w:w="2268"/>
          </w:tcPr>
          <w:p>
            <w:pPr>
              <w:spacing w:after="0" w:line="312" w:lineRule="auto"/>
              <w:jc w:val="center"/>
            </w:pPr>
            <w:r/>
            <w:r>
              <w:rPr>
                <w:rFonts w:ascii="맑은 고딕" w:hAnsi="맑은 고딕" w:eastAsia="맑은 고딕"/>
                <w:b w:val="0"/>
                <w:sz w:val="17"/>
              </w:rPr>
              <w:t>2026.12.</w:t>
            </w:r>
          </w:p>
        </w:tc>
        <w:tc>
          <w:tcPr>
            <w:tcW w:type="dxa" w:w="2494"/>
          </w:tcPr>
          <w:p>
            <w:pPr>
              <w:spacing w:after="0" w:line="312" w:lineRule="auto"/>
            </w:pPr>
            <w:r/>
            <w:r>
              <w:rPr>
                <w:rFonts w:ascii="맑은 고딕" w:hAnsi="맑은 고딕" w:eastAsia="맑은 고딕"/>
                <w:b w:val="0"/>
                <w:sz w:val="17"/>
              </w:rPr>
              <w:t>개발 결과물 활용 호텔·관광 재직자 시범 교육</w:t>
            </w:r>
          </w:p>
        </w:tc>
      </w:tr>
      <w:tr>
        <w:tc>
          <w:tcPr>
            <w:tcW w:type="dxa" w:w="1247"/>
          </w:tcPr>
          <w:p>
            <w:pPr>
              <w:spacing w:after="0" w:line="312" w:lineRule="auto"/>
              <w:jc w:val="center"/>
            </w:pPr>
            <w:r/>
            <w:r>
              <w:rPr>
                <w:rFonts w:ascii="맑은 고딕" w:hAnsi="맑은 고딕" w:eastAsia="맑은 고딕"/>
                <w:b w:val="0"/>
                <w:sz w:val="17"/>
              </w:rPr>
              <w:t>자율 지표</w:t>
            </w:r>
          </w:p>
        </w:tc>
        <w:tc>
          <w:tcPr>
            <w:tcW w:type="dxa" w:w="1928"/>
          </w:tcPr>
          <w:p>
            <w:pPr>
              <w:spacing w:after="0" w:line="312" w:lineRule="auto"/>
              <w:jc w:val="center"/>
            </w:pPr>
            <w:r/>
            <w:r>
              <w:rPr>
                <w:rFonts w:ascii="맑은 고딕" w:hAnsi="맑은 고딕" w:eastAsia="맑은 고딕"/>
                <w:b w:val="0"/>
                <w:sz w:val="17"/>
              </w:rPr>
              <w:t>공용장비 활용</w:t>
            </w:r>
          </w:p>
        </w:tc>
        <w:tc>
          <w:tcPr>
            <w:tcW w:type="dxa" w:w="1474"/>
          </w:tcPr>
          <w:p>
            <w:pPr>
              <w:spacing w:after="0" w:line="312" w:lineRule="auto"/>
              <w:jc w:val="center"/>
            </w:pPr>
            <w:r/>
            <w:r>
              <w:rPr>
                <w:rFonts w:ascii="맑은 고딕" w:hAnsi="맑은 고딕" w:eastAsia="맑은 고딕"/>
                <w:b w:val="0"/>
                <w:sz w:val="17"/>
              </w:rPr>
              <w:t>어학실습실 활용</w:t>
            </w:r>
          </w:p>
        </w:tc>
        <w:tc>
          <w:tcPr>
            <w:tcW w:type="dxa" w:w="2268"/>
          </w:tcPr>
          <w:p>
            <w:pPr>
              <w:spacing w:after="0" w:line="312" w:lineRule="auto"/>
              <w:jc w:val="center"/>
            </w:pPr>
            <w:r/>
            <w:r>
              <w:rPr>
                <w:rFonts w:ascii="맑은 고딕" w:hAnsi="맑은 고딕" w:eastAsia="맑은 고딕"/>
                <w:b w:val="0"/>
                <w:sz w:val="17"/>
              </w:rPr>
              <w:t>과제기간</w:t>
            </w:r>
          </w:p>
        </w:tc>
        <w:tc>
          <w:tcPr>
            <w:tcW w:type="dxa" w:w="2494"/>
          </w:tcPr>
          <w:p>
            <w:pPr>
              <w:spacing w:after="0" w:line="312" w:lineRule="auto"/>
              <w:jc w:val="center"/>
            </w:pPr>
            <w:r/>
            <w:r>
              <w:rPr>
                <w:rFonts w:ascii="맑은 고딕" w:hAnsi="맑은 고딕" w:eastAsia="맑은 고딕"/>
                <w:b w:val="0"/>
                <w:sz w:val="17"/>
              </w:rPr>
              <w:t>말하기 실습 파일럿 진행</w:t>
            </w:r>
          </w:p>
        </w:tc>
      </w:tr>
    </w:tbl>
    <w:p>
      <w:pPr>
        <w:spacing w:before="120" w:after="60" w:line="348" w:lineRule="auto"/>
      </w:pPr>
      <w:r>
        <w:rPr>
          <w:rFonts w:ascii="맑은 고딕" w:hAnsi="맑은 고딕" w:eastAsia="맑은 고딕"/>
          <w:b/>
          <w:sz w:val="20"/>
        </w:rPr>
        <w:t>[지식재산권 출원 주제 후보]</w:t>
      </w:r>
    </w:p>
    <w:p>
      <w:pPr>
        <w:spacing w:before="0" w:after="40" w:line="348" w:lineRule="auto"/>
      </w:pPr>
      <w:r>
        <w:rPr>
          <w:rFonts w:ascii="맑은 고딕" w:hAnsi="맑은 고딕" w:eastAsia="맑은 고딕"/>
          <w:b w:val="0"/>
          <w:sz w:val="20"/>
        </w:rPr>
        <w:t>선행기술 조사(9월) 결과에 따라 아래 3안 중 1건을 확정하여 출원한다.</w:t>
      </w:r>
    </w:p>
    <w:p>
      <w:pPr>
        <w:spacing w:after="40" w:line="336" w:lineRule="auto"/>
        <w:ind w:left="283" w:hanging="238"/>
      </w:pPr>
      <w:r>
        <w:rPr>
          <w:rFonts w:ascii="맑은 고딕" w:hAnsi="맑은 고딕" w:eastAsia="맑은 고딕"/>
          <w:sz w:val="19"/>
        </w:rPr>
        <w:t>① 후보 1 — 직무 상황 시드 기반 외국어 학습 콘텐츠 자동 생성 및 난이도 정합 방법</w:t>
      </w:r>
    </w:p>
    <w:p>
      <w:pPr>
        <w:spacing w:after="40" w:line="336" w:lineRule="auto"/>
        <w:ind w:left="283" w:hanging="238"/>
      </w:pPr>
      <w:r>
        <w:rPr>
          <w:rFonts w:ascii="맑은 고딕" w:hAnsi="맑은 고딕" w:eastAsia="맑은 고딕"/>
          <w:sz w:val="19"/>
        </w:rPr>
        <w:t>② 후보 2 — 단일 원본에서 학습화면·전자책·인쇄물을 동시 생성하는 교재 출력 방법 및 식별코드 결속 시스템</w:t>
      </w:r>
    </w:p>
    <w:p>
      <w:pPr>
        <w:spacing w:after="40" w:line="336" w:lineRule="auto"/>
        <w:ind w:left="283" w:hanging="238"/>
      </w:pPr>
      <w:r>
        <w:rPr>
          <w:rFonts w:ascii="맑은 고딕" w:hAnsi="맑은 고딕" w:eastAsia="맑은 고딕"/>
          <w:sz w:val="19"/>
        </w:rPr>
        <w:t>③ 후보 3 — 언어 비종속 구조의 직무 롤플레이 발화 평가 방법</w:t>
      </w:r>
    </w:p>
    <w:p>
      <w:pPr>
        <w:spacing w:after="80" w:before="60"/>
      </w:pPr>
      <w:r>
        <w:rPr>
          <w:rFonts w:ascii="맑은 고딕" w:hAnsi="맑은 고딕" w:eastAsia="맑은 고딕"/>
          <w:color w:val="C00000"/>
          <w:sz w:val="17"/>
        </w:rPr>
        <w:t>※ 논문 투고 대상 학술지와 게재 일정은 연구책임자 확정 후 기재 필요. 2027.02. 게재 기준으로 역산 요망.</w:t>
      </w:r>
    </w:p>
    <w:p>
      <w:r>
        <w:br w:type="page"/>
      </w:r>
    </w:p>
    <w:p>
      <w:pPr>
        <w:spacing w:before="120" w:after="160"/>
      </w:pPr>
      <w:r>
        <w:rPr>
          <w:rFonts w:ascii="맑은 고딕" w:hAnsi="맑은 고딕" w:eastAsia="맑은 고딕"/>
          <w:b/>
          <w:sz w:val="28"/>
        </w:rPr>
        <w:t>3. 연구개발과제의 추진전략ㆍ방법 및 추진체계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46"/>
      </w:tblGrid>
      <w:tr>
        <w:tc>
          <w:tcPr>
            <w:tcW w:type="dxa" w:w="9411"/>
            <w:shd w:val="clear" w:color="auto" w:fill="F2F2F2"/>
          </w:tcPr>
          <w:p>
            <w:pPr>
              <w:spacing w:after="0" w:line="300" w:lineRule="auto"/>
            </w:pPr>
            <w:r/>
            <w:r>
              <w:rPr>
                <w:rFonts w:ascii="맑은 고딕" w:hAnsi="맑은 고딕" w:eastAsia="맑은 고딕"/>
                <w:b w:val="0"/>
                <w:sz w:val="17"/>
              </w:rPr>
              <w:t>【작성방법】연구개발 최종 목표 달성을 위하여 기술적인 측면을 아래 내용을 포함하여 기술</w:t>
            </w:r>
          </w:p>
          <w:p>
            <w:pPr>
              <w:spacing w:after="0" w:line="300" w:lineRule="auto"/>
            </w:pPr>
            <w:r>
              <w:rPr>
                <w:rFonts w:ascii="맑은 고딕" w:hAnsi="맑은 고딕" w:eastAsia="맑은 고딕"/>
                <w:b w:val="0"/>
                <w:sz w:val="17"/>
              </w:rPr>
              <w:t xml:space="preserve">  ① 참여기업과의 역할 분담</w:t>
            </w:r>
          </w:p>
          <w:p>
            <w:pPr>
              <w:spacing w:after="0" w:line="300" w:lineRule="auto"/>
            </w:pPr>
            <w:r>
              <w:rPr>
                <w:rFonts w:ascii="맑은 고딕" w:hAnsi="맑은 고딕" w:eastAsia="맑은 고딕"/>
                <w:b w:val="0"/>
                <w:sz w:val="17"/>
              </w:rPr>
              <w:t xml:space="preserve">  ② 인재양성을 위한 주관기관-참여기업 간 교류 및 협력 방안</w:t>
            </w:r>
          </w:p>
          <w:p>
            <w:pPr>
              <w:spacing w:after="0" w:line="300" w:lineRule="auto"/>
            </w:pPr>
            <w:r>
              <w:rPr>
                <w:rFonts w:ascii="맑은 고딕" w:hAnsi="맑은 고딕" w:eastAsia="맑은 고딕"/>
                <w:b w:val="0"/>
                <w:sz w:val="17"/>
              </w:rPr>
              <w:t xml:space="preserve">  ③ 대학 보유 장비·기자재 보유 및 활용 계획</w:t>
            </w:r>
          </w:p>
        </w:tc>
      </w:tr>
    </w:tbl>
    <w:p>
      <w:pPr>
        <w:spacing w:before="0" w:after="80" w:line="348" w:lineRule="auto"/>
      </w:pPr>
    </w:p>
    <w:p>
      <w:pPr>
        <w:spacing w:before="240" w:after="100"/>
      </w:pPr>
      <w:r>
        <w:rPr>
          <w:rFonts w:ascii="맑은 고딕" w:hAnsi="맑은 고딕" w:eastAsia="맑은 고딕"/>
          <w:b/>
          <w:sz w:val="23"/>
        </w:rPr>
        <w:t>1) 연구개발과제의 추진전략ㆍ방법</w:t>
      </w:r>
    </w:p>
    <w:p>
      <w:pPr>
        <w:spacing w:before="120" w:after="60" w:line="348" w:lineRule="auto"/>
      </w:pPr>
      <w:r>
        <w:rPr>
          <w:rFonts w:ascii="맑은 고딕" w:hAnsi="맑은 고딕" w:eastAsia="맑은 고딕"/>
          <w:b/>
          <w:sz w:val="20"/>
        </w:rPr>
        <w:t>가. 기본 추진 전략</w:t>
      </w:r>
    </w:p>
    <w:p>
      <w:pPr>
        <w:spacing w:before="0" w:after="60" w:line="348" w:lineRule="auto"/>
      </w:pPr>
      <w:r>
        <w:rPr>
          <w:rFonts w:ascii="맑은 고딕" w:hAnsi="맑은 고딕" w:eastAsia="맑은 고딕"/>
          <w:b w:val="0"/>
          <w:sz w:val="20"/>
        </w:rPr>
        <w:t>본 과제는 4개월이라는 제한된 기간에 저작·출판·실습·증명의 전 파이프라인을 관통 검증하는 것을 전략으로 삼는다. 다수 학과·다수 언어로 넓게 벌리는 대신, 1개 학과·1개 언어로 좁히되 어느 단계도 생략하지 않는다. 이렇게 해야 각 모듈의 접합부에서 발생하는 문제를 과제 기간 안에 드러내고 해결할 수 있으며, 확장 시 반복될 위험을 미리 제거할 수 있다.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587"/>
            <w:shd w:val="clear" w:color="auto" w:fill="E8E8E8"/>
          </w:tcPr>
          <w:p>
            <w:pPr>
              <w:spacing w:after="0" w:line="312" w:lineRule="auto"/>
              <w:jc w:val="center"/>
            </w:pPr>
            <w:r/>
            <w:r>
              <w:rPr>
                <w:rFonts w:ascii="맑은 고딕" w:hAnsi="맑은 고딕" w:eastAsia="맑은 고딕"/>
                <w:b/>
                <w:sz w:val="18"/>
              </w:rPr>
              <w:t>구분</w:t>
            </w:r>
          </w:p>
        </w:tc>
        <w:tc>
          <w:tcPr>
            <w:tcW w:type="dxa" w:w="4535"/>
            <w:shd w:val="clear" w:color="auto" w:fill="E8E8E8"/>
          </w:tcPr>
          <w:p>
            <w:pPr>
              <w:spacing w:after="0" w:line="312" w:lineRule="auto"/>
              <w:jc w:val="center"/>
            </w:pPr>
            <w:r/>
            <w:r>
              <w:rPr>
                <w:rFonts w:ascii="맑은 고딕" w:hAnsi="맑은 고딕" w:eastAsia="맑은 고딕"/>
                <w:b/>
                <w:sz w:val="18"/>
              </w:rPr>
              <w:t>본 과제(4개월) 범위</w:t>
            </w:r>
          </w:p>
        </w:tc>
        <w:tc>
          <w:tcPr>
            <w:tcW w:type="dxa" w:w="3288"/>
            <w:shd w:val="clear" w:color="auto" w:fill="E8E8E8"/>
          </w:tcPr>
          <w:p>
            <w:pPr>
              <w:spacing w:after="0" w:line="312" w:lineRule="auto"/>
              <w:jc w:val="center"/>
            </w:pPr>
            <w:r/>
            <w:r>
              <w:rPr>
                <w:rFonts w:ascii="맑은 고딕" w:hAnsi="맑은 고딕" w:eastAsia="맑은 고딕"/>
                <w:b/>
                <w:sz w:val="18"/>
              </w:rPr>
              <w:t>과제 종료 이후</w:t>
            </w:r>
          </w:p>
        </w:tc>
      </w:tr>
      <w:tr>
        <w:tc>
          <w:tcPr>
            <w:tcW w:type="dxa" w:w="1587"/>
          </w:tcPr>
          <w:p>
            <w:pPr>
              <w:spacing w:after="0" w:line="312" w:lineRule="auto"/>
              <w:jc w:val="center"/>
            </w:pPr>
            <w:r/>
            <w:r>
              <w:rPr>
                <w:rFonts w:ascii="맑은 고딕" w:hAnsi="맑은 고딕" w:eastAsia="맑은 고딕"/>
                <w:b w:val="0"/>
                <w:sz w:val="18"/>
              </w:rPr>
              <w:t>저작 엔진</w:t>
            </w:r>
          </w:p>
        </w:tc>
        <w:tc>
          <w:tcPr>
            <w:tcW w:type="dxa" w:w="4535"/>
          </w:tcPr>
          <w:p>
            <w:pPr>
              <w:spacing w:after="0" w:line="312" w:lineRule="auto"/>
            </w:pPr>
            <w:r/>
            <w:r>
              <w:rPr>
                <w:rFonts w:ascii="맑은 고딕" w:hAnsi="맑은 고딕" w:eastAsia="맑은 고딕"/>
                <w:b w:val="0"/>
                <w:sz w:val="18"/>
              </w:rPr>
              <w:t>1개 직무 도메인 시드 기반 프로토타입</w:t>
            </w:r>
          </w:p>
        </w:tc>
        <w:tc>
          <w:tcPr>
            <w:tcW w:type="dxa" w:w="3288"/>
          </w:tcPr>
          <w:p>
            <w:pPr>
              <w:spacing w:after="0" w:line="312" w:lineRule="auto"/>
              <w:jc w:val="center"/>
            </w:pPr>
            <w:r/>
            <w:r>
              <w:rPr>
                <w:rFonts w:ascii="맑은 고딕" w:hAnsi="맑은 고딕" w:eastAsia="맑은 고딕"/>
                <w:b w:val="0"/>
                <w:sz w:val="18"/>
              </w:rPr>
              <w:t>전 학과 확대</w:t>
            </w:r>
          </w:p>
        </w:tc>
      </w:tr>
      <w:tr>
        <w:tc>
          <w:tcPr>
            <w:tcW w:type="dxa" w:w="1587"/>
          </w:tcPr>
          <w:p>
            <w:pPr>
              <w:spacing w:after="0" w:line="312" w:lineRule="auto"/>
              <w:jc w:val="center"/>
            </w:pPr>
            <w:r/>
            <w:r>
              <w:rPr>
                <w:rFonts w:ascii="맑은 고딕" w:hAnsi="맑은 고딕" w:eastAsia="맑은 고딕"/>
                <w:b w:val="0"/>
                <w:sz w:val="18"/>
              </w:rPr>
              <w:t>난이도 추정</w:t>
            </w:r>
          </w:p>
        </w:tc>
        <w:tc>
          <w:tcPr>
            <w:tcW w:type="dxa" w:w="4535"/>
          </w:tcPr>
          <w:p>
            <w:pPr>
              <w:spacing w:after="0" w:line="312" w:lineRule="auto"/>
            </w:pPr>
            <w:r/>
            <w:r>
              <w:rPr>
                <w:rFonts w:ascii="맑은 고딕" w:hAnsi="맑은 고딕" w:eastAsia="맑은 고딕"/>
                <w:b w:val="0"/>
                <w:sz w:val="18"/>
              </w:rPr>
              <w:t>CEFR 매핑 모듈 1차 버전 및 정확도 검증</w:t>
            </w:r>
          </w:p>
        </w:tc>
        <w:tc>
          <w:tcPr>
            <w:tcW w:type="dxa" w:w="3288"/>
          </w:tcPr>
          <w:p>
            <w:pPr>
              <w:spacing w:after="0" w:line="312" w:lineRule="auto"/>
              <w:jc w:val="center"/>
            </w:pPr>
            <w:r/>
            <w:r>
              <w:rPr>
                <w:rFonts w:ascii="맑은 고딕" w:hAnsi="맑은 고딕" w:eastAsia="맑은 고딕"/>
                <w:b w:val="0"/>
                <w:sz w:val="18"/>
              </w:rPr>
              <w:t>학습 반응 기반 보정 고도화</w:t>
            </w:r>
          </w:p>
        </w:tc>
      </w:tr>
      <w:tr>
        <w:tc>
          <w:tcPr>
            <w:tcW w:type="dxa" w:w="1587"/>
          </w:tcPr>
          <w:p>
            <w:pPr>
              <w:spacing w:after="0" w:line="312" w:lineRule="auto"/>
              <w:jc w:val="center"/>
            </w:pPr>
            <w:r/>
            <w:r>
              <w:rPr>
                <w:rFonts w:ascii="맑은 고딕" w:hAnsi="맑은 고딕" w:eastAsia="맑은 고딕"/>
                <w:b w:val="0"/>
                <w:sz w:val="18"/>
              </w:rPr>
              <w:t>출판</w:t>
            </w:r>
          </w:p>
        </w:tc>
        <w:tc>
          <w:tcPr>
            <w:tcW w:type="dxa" w:w="4535"/>
          </w:tcPr>
          <w:p>
            <w:pPr>
              <w:spacing w:after="0" w:line="312" w:lineRule="auto"/>
            </w:pPr>
            <w:r/>
            <w:r>
              <w:rPr>
                <w:rFonts w:ascii="맑은 고딕" w:hAnsi="맑은 고딕" w:eastAsia="맑은 고딕"/>
                <w:b w:val="0"/>
                <w:sz w:val="18"/>
              </w:rPr>
              <w:t>파이프라인 검증 및 시범 교재 1종 출력</w:t>
            </w:r>
          </w:p>
        </w:tc>
        <w:tc>
          <w:tcPr>
            <w:tcW w:type="dxa" w:w="3288"/>
          </w:tcPr>
          <w:p>
            <w:pPr>
              <w:spacing w:after="0" w:line="312" w:lineRule="auto"/>
            </w:pPr>
            <w:r/>
            <w:r>
              <w:rPr>
                <w:rFonts w:ascii="맑은 고딕" w:hAnsi="맑은 고딕" w:eastAsia="맑은 고딕"/>
                <w:b w:val="0"/>
                <w:sz w:val="18"/>
              </w:rPr>
              <w:t>ISBN 부착·주문형 인쇄 유통</w:t>
            </w:r>
          </w:p>
        </w:tc>
      </w:tr>
      <w:tr>
        <w:tc>
          <w:tcPr>
            <w:tcW w:type="dxa" w:w="1587"/>
          </w:tcPr>
          <w:p>
            <w:pPr>
              <w:spacing w:after="0" w:line="312" w:lineRule="auto"/>
              <w:jc w:val="center"/>
            </w:pPr>
            <w:r/>
            <w:r>
              <w:rPr>
                <w:rFonts w:ascii="맑은 고딕" w:hAnsi="맑은 고딕" w:eastAsia="맑은 고딕"/>
                <w:b w:val="0"/>
                <w:sz w:val="18"/>
              </w:rPr>
              <w:t>말하기 실습</w:t>
            </w:r>
          </w:p>
        </w:tc>
        <w:tc>
          <w:tcPr>
            <w:tcW w:type="dxa" w:w="4535"/>
          </w:tcPr>
          <w:p>
            <w:pPr>
              <w:spacing w:after="0" w:line="312" w:lineRule="auto"/>
            </w:pPr>
            <w:r/>
            <w:r>
              <w:rPr>
                <w:rFonts w:ascii="맑은 고딕" w:hAnsi="맑은 고딕" w:eastAsia="맑은 고딕"/>
                <w:b w:val="0"/>
                <w:sz w:val="18"/>
              </w:rPr>
              <w:t>롤플레이 시나리오 세트 + 영어 1개 언어 실증</w:t>
            </w:r>
          </w:p>
        </w:tc>
        <w:tc>
          <w:tcPr>
            <w:tcW w:type="dxa" w:w="3288"/>
          </w:tcPr>
          <w:p>
            <w:pPr>
              <w:spacing w:after="0" w:line="312" w:lineRule="auto"/>
              <w:jc w:val="center"/>
            </w:pPr>
            <w:r/>
            <w:r>
              <w:rPr>
                <w:rFonts w:ascii="맑은 고딕" w:hAnsi="맑은 고딕" w:eastAsia="맑은 고딕"/>
                <w:b w:val="0"/>
                <w:sz w:val="18"/>
              </w:rPr>
              <w:t>중국어·일본어 커리큘럼 확장</w:t>
            </w:r>
          </w:p>
        </w:tc>
      </w:tr>
      <w:tr>
        <w:tc>
          <w:tcPr>
            <w:tcW w:type="dxa" w:w="1587"/>
          </w:tcPr>
          <w:p>
            <w:pPr>
              <w:spacing w:after="0" w:line="312" w:lineRule="auto"/>
              <w:jc w:val="center"/>
            </w:pPr>
            <w:r/>
            <w:r>
              <w:rPr>
                <w:rFonts w:ascii="맑은 고딕" w:hAnsi="맑은 고딕" w:eastAsia="맑은 고딕"/>
                <w:b w:val="0"/>
                <w:sz w:val="18"/>
              </w:rPr>
              <w:t>실증</w:t>
            </w:r>
          </w:p>
        </w:tc>
        <w:tc>
          <w:tcPr>
            <w:tcW w:type="dxa" w:w="4535"/>
          </w:tcPr>
          <w:p>
            <w:pPr>
              <w:spacing w:after="0" w:line="312" w:lineRule="auto"/>
            </w:pPr>
            <w:r/>
            <w:r>
              <w:rPr>
                <w:rFonts w:ascii="맑은 고딕" w:hAnsi="맑은 고딕" w:eastAsia="맑은 고딕"/>
                <w:b w:val="0"/>
                <w:sz w:val="18"/>
              </w:rPr>
              <w:t>1개 반 규모 파일럿 및 역량 리포트 산출</w:t>
            </w:r>
          </w:p>
        </w:tc>
        <w:tc>
          <w:tcPr>
            <w:tcW w:type="dxa" w:w="3288"/>
          </w:tcPr>
          <w:p>
            <w:pPr>
              <w:spacing w:after="0" w:line="312" w:lineRule="auto"/>
              <w:jc w:val="center"/>
            </w:pPr>
            <w:r/>
            <w:r>
              <w:rPr>
                <w:rFonts w:ascii="맑은 고딕" w:hAnsi="맑은 고딕" w:eastAsia="맑은 고딕"/>
                <w:b w:val="0"/>
                <w:sz w:val="18"/>
              </w:rPr>
              <w:t>교과 정식 편성</w:t>
            </w:r>
          </w:p>
        </w:tc>
      </w:tr>
    </w:tbl>
    <w:p>
      <w:pPr>
        <w:spacing w:before="200" w:after="60" w:line="348" w:lineRule="auto"/>
      </w:pPr>
      <w:r>
        <w:rPr>
          <w:rFonts w:ascii="맑은 고딕" w:hAnsi="맑은 고딕" w:eastAsia="맑은 고딕"/>
          <w:b/>
          <w:sz w:val="20"/>
        </w:rPr>
        <w:t>나. ① 참여기업과의 역할 분담</w:t>
      </w:r>
    </w:p>
    <w:p>
      <w:pPr>
        <w:spacing w:before="0" w:after="60" w:line="348" w:lineRule="auto"/>
      </w:pPr>
      <w:r>
        <w:rPr>
          <w:rFonts w:ascii="맑은 고딕" w:hAnsi="맑은 고딕" w:eastAsia="맑은 고딕"/>
          <w:b w:val="0"/>
          <w:sz w:val="20"/>
        </w:rPr>
        <w:t>한양여자대학교와 오이지가 보유한 자산은 정확히 상보적이며, 어느 한쪽만으로는 본 과제가 성립하지 않는다. 대학은 "무엇을 가르쳐야 하는가"를, 기업은 "그것을 어떻게 자동으로 만들고 측정하는가"를 담당한다.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247"/>
            <w:shd w:val="clear" w:color="auto" w:fill="E8E8E8"/>
          </w:tcPr>
          <w:p>
            <w:pPr>
              <w:spacing w:after="0" w:line="312" w:lineRule="auto"/>
              <w:jc w:val="center"/>
            </w:pPr>
            <w:r/>
            <w:r>
              <w:rPr>
                <w:rFonts w:ascii="맑은 고딕" w:hAnsi="맑은 고딕" w:eastAsia="맑은 고딕"/>
                <w:b/>
                <w:sz w:val="18"/>
              </w:rPr>
              <w:t>영역</w:t>
            </w:r>
          </w:p>
        </w:tc>
        <w:tc>
          <w:tcPr>
            <w:tcW w:type="dxa" w:w="4195"/>
            <w:shd w:val="clear" w:color="auto" w:fill="E8E8E8"/>
          </w:tcPr>
          <w:p>
            <w:pPr>
              <w:spacing w:after="0" w:line="312" w:lineRule="auto"/>
              <w:jc w:val="center"/>
            </w:pPr>
            <w:r/>
            <w:r>
              <w:rPr>
                <w:rFonts w:ascii="맑은 고딕" w:hAnsi="맑은 고딕" w:eastAsia="맑은 고딕"/>
                <w:b/>
                <w:sz w:val="18"/>
              </w:rPr>
              <w:t>한양여자대학교 (주관연구기관)</w:t>
            </w:r>
          </w:p>
        </w:tc>
        <w:tc>
          <w:tcPr>
            <w:tcW w:type="dxa" w:w="3969"/>
            <w:shd w:val="clear" w:color="auto" w:fill="E8E8E8"/>
          </w:tcPr>
          <w:p>
            <w:pPr>
              <w:spacing w:after="0" w:line="312" w:lineRule="auto"/>
              <w:jc w:val="center"/>
            </w:pPr>
            <w:r/>
            <w:r>
              <w:rPr>
                <w:rFonts w:ascii="맑은 고딕" w:hAnsi="맑은 고딕" w:eastAsia="맑은 고딕"/>
                <w:b/>
                <w:sz w:val="18"/>
              </w:rPr>
              <w:t>주식회사 오이지 (참여기업)</w:t>
            </w:r>
          </w:p>
        </w:tc>
      </w:tr>
      <w:tr>
        <w:tc>
          <w:tcPr>
            <w:tcW w:type="dxa" w:w="1247"/>
          </w:tcPr>
          <w:p>
            <w:pPr>
              <w:spacing w:after="0" w:line="312" w:lineRule="auto"/>
              <w:jc w:val="center"/>
            </w:pPr>
            <w:r/>
            <w:r>
              <w:rPr>
                <w:rFonts w:ascii="맑은 고딕" w:hAnsi="맑은 고딕" w:eastAsia="맑은 고딕"/>
                <w:b w:val="0"/>
                <w:sz w:val="18"/>
              </w:rPr>
              <w:t>콘텐츠</w:t>
            </w:r>
          </w:p>
        </w:tc>
        <w:tc>
          <w:tcPr>
            <w:tcW w:type="dxa" w:w="4195"/>
          </w:tcPr>
          <w:p>
            <w:pPr>
              <w:spacing w:after="0" w:line="312" w:lineRule="auto"/>
            </w:pPr>
            <w:r/>
            <w:r>
              <w:rPr>
                <w:rFonts w:ascii="맑은 고딕" w:hAnsi="맑은 고딕" w:eastAsia="맑은 고딕"/>
                <w:b w:val="0"/>
                <w:sz w:val="18"/>
              </w:rPr>
              <w:t>전공 직무 도메인 지식 시드 제공, 직무 상황·용어·시나리오 도출, 교수 저작 및 품질 검수, 교육적 타당성 판정</w:t>
            </w:r>
          </w:p>
        </w:tc>
        <w:tc>
          <w:tcPr>
            <w:tcW w:type="dxa" w:w="3969"/>
          </w:tcPr>
          <w:p>
            <w:pPr>
              <w:spacing w:after="0" w:line="312" w:lineRule="auto"/>
            </w:pPr>
            <w:r/>
            <w:r>
              <w:rPr>
                <w:rFonts w:ascii="맑은 고딕" w:hAnsi="맑은 고딕" w:eastAsia="맑은 고딕"/>
                <w:b w:val="0"/>
                <w:sz w:val="18"/>
              </w:rPr>
              <w:t>생성 자동화, 난이도 레벨링, 조판·구조화, 형식 템플릿 구현</w:t>
            </w:r>
          </w:p>
        </w:tc>
      </w:tr>
      <w:tr>
        <w:tc>
          <w:tcPr>
            <w:tcW w:type="dxa" w:w="1247"/>
          </w:tcPr>
          <w:p>
            <w:pPr>
              <w:spacing w:after="0" w:line="312" w:lineRule="auto"/>
              <w:jc w:val="center"/>
            </w:pPr>
            <w:r/>
            <w:r>
              <w:rPr>
                <w:rFonts w:ascii="맑은 고딕" w:hAnsi="맑은 고딕" w:eastAsia="맑은 고딕"/>
                <w:b w:val="0"/>
                <w:sz w:val="18"/>
              </w:rPr>
              <w:t>제품·엔진</w:t>
            </w:r>
          </w:p>
        </w:tc>
        <w:tc>
          <w:tcPr>
            <w:tcW w:type="dxa" w:w="4195"/>
          </w:tcPr>
          <w:p>
            <w:pPr>
              <w:spacing w:after="0" w:line="312" w:lineRule="auto"/>
            </w:pPr>
            <w:r/>
            <w:r>
              <w:rPr>
                <w:rFonts w:ascii="맑은 고딕" w:hAnsi="맑은 고딕" w:eastAsia="맑은 고딕"/>
                <w:b w:val="0"/>
                <w:sz w:val="18"/>
              </w:rPr>
              <w:t>요구사항 정의, 사용성 피드백, 검수 UX 요건 제시</w:t>
            </w:r>
          </w:p>
        </w:tc>
        <w:tc>
          <w:tcPr>
            <w:tcW w:type="dxa" w:w="3969"/>
          </w:tcPr>
          <w:p>
            <w:pPr>
              <w:spacing w:after="0" w:line="312" w:lineRule="auto"/>
            </w:pPr>
            <w:r/>
            <w:r>
              <w:rPr>
                <w:rFonts w:ascii="맑은 고딕" w:hAnsi="맑은 고딕" w:eastAsia="맑은 고딕"/>
                <w:b w:val="0"/>
                <w:sz w:val="18"/>
              </w:rPr>
              <w:t>저작·출판·말하기·측정 엔진 개발, 앱·웹 구현 및 운영</w:t>
            </w:r>
          </w:p>
        </w:tc>
      </w:tr>
      <w:tr>
        <w:tc>
          <w:tcPr>
            <w:tcW w:type="dxa" w:w="1247"/>
          </w:tcPr>
          <w:p>
            <w:pPr>
              <w:spacing w:after="0" w:line="312" w:lineRule="auto"/>
              <w:jc w:val="center"/>
            </w:pPr>
            <w:r/>
            <w:r>
              <w:rPr>
                <w:rFonts w:ascii="맑은 고딕" w:hAnsi="맑은 고딕" w:eastAsia="맑은 고딕"/>
                <w:b w:val="0"/>
                <w:sz w:val="18"/>
              </w:rPr>
              <w:t>실증·현장</w:t>
            </w:r>
          </w:p>
        </w:tc>
        <w:tc>
          <w:tcPr>
            <w:tcW w:type="dxa" w:w="4195"/>
          </w:tcPr>
          <w:p>
            <w:pPr>
              <w:spacing w:after="0" w:line="312" w:lineRule="auto"/>
            </w:pPr>
            <w:r/>
            <w:r>
              <w:rPr>
                <w:rFonts w:ascii="맑은 고딕" w:hAnsi="맑은 고딕" w:eastAsia="맑은 고딕"/>
                <w:b w:val="0"/>
                <w:sz w:val="18"/>
              </w:rPr>
              <w:t>재학생 실증 현장 제공, 교육 운영, 참여자 모집, 산학 네트워크 연계</w:t>
            </w:r>
          </w:p>
        </w:tc>
        <w:tc>
          <w:tcPr>
            <w:tcW w:type="dxa" w:w="3969"/>
          </w:tcPr>
          <w:p>
            <w:pPr>
              <w:spacing w:after="0" w:line="312" w:lineRule="auto"/>
            </w:pPr>
            <w:r/>
            <w:r>
              <w:rPr>
                <w:rFonts w:ascii="맑은 고딕" w:hAnsi="맑은 고딕" w:eastAsia="맑은 고딕"/>
                <w:b w:val="0"/>
                <w:sz w:val="18"/>
              </w:rPr>
              <w:t>온보딩 도구, 학습 운영 도구, 데이터 수집 및 분석 지원</w:t>
            </w:r>
          </w:p>
        </w:tc>
      </w:tr>
      <w:tr>
        <w:tc>
          <w:tcPr>
            <w:tcW w:type="dxa" w:w="1247"/>
          </w:tcPr>
          <w:p>
            <w:pPr>
              <w:spacing w:after="0" w:line="312" w:lineRule="auto"/>
              <w:jc w:val="center"/>
            </w:pPr>
            <w:r/>
            <w:r>
              <w:rPr>
                <w:rFonts w:ascii="맑은 고딕" w:hAnsi="맑은 고딕" w:eastAsia="맑은 고딕"/>
                <w:b w:val="0"/>
                <w:sz w:val="18"/>
              </w:rPr>
              <w:t>출판</w:t>
            </w:r>
          </w:p>
        </w:tc>
        <w:tc>
          <w:tcPr>
            <w:tcW w:type="dxa" w:w="4195"/>
          </w:tcPr>
          <w:p>
            <w:pPr>
              <w:spacing w:after="0" w:line="312" w:lineRule="auto"/>
            </w:pPr>
            <w:r/>
            <w:r>
              <w:rPr>
                <w:rFonts w:ascii="맑은 고딕" w:hAnsi="맑은 고딕" w:eastAsia="맑은 고딕"/>
                <w:b w:val="0"/>
                <w:sz w:val="18"/>
              </w:rPr>
              <w:t>대학 브랜드, 저자 신뢰, 교재 채택 절차 검토</w:t>
            </w:r>
          </w:p>
        </w:tc>
        <w:tc>
          <w:tcPr>
            <w:tcW w:type="dxa" w:w="3969"/>
          </w:tcPr>
          <w:p>
            <w:pPr>
              <w:spacing w:after="0" w:line="312" w:lineRule="auto"/>
            </w:pPr>
            <w:r/>
            <w:r>
              <w:rPr>
                <w:rFonts w:ascii="맑은 고딕" w:hAnsi="맑은 고딕" w:eastAsia="맑은 고딕"/>
                <w:b w:val="0"/>
                <w:sz w:val="18"/>
              </w:rPr>
              <w:t>출력 파이프라인 구현(원본→전자책·인쇄 PDF), 인쇄 연계</w:t>
            </w:r>
          </w:p>
        </w:tc>
      </w:tr>
      <w:tr>
        <w:tc>
          <w:tcPr>
            <w:tcW w:type="dxa" w:w="1247"/>
          </w:tcPr>
          <w:p>
            <w:pPr>
              <w:spacing w:after="0" w:line="312" w:lineRule="auto"/>
              <w:jc w:val="center"/>
            </w:pPr>
            <w:r/>
            <w:r>
              <w:rPr>
                <w:rFonts w:ascii="맑은 고딕" w:hAnsi="맑은 고딕" w:eastAsia="맑은 고딕"/>
                <w:b w:val="0"/>
                <w:sz w:val="18"/>
              </w:rPr>
              <w:t>성과</w:t>
            </w:r>
          </w:p>
        </w:tc>
        <w:tc>
          <w:tcPr>
            <w:tcW w:type="dxa" w:w="4195"/>
          </w:tcPr>
          <w:p>
            <w:pPr>
              <w:spacing w:after="0" w:line="312" w:lineRule="auto"/>
            </w:pPr>
            <w:r/>
            <w:r>
              <w:rPr>
                <w:rFonts w:ascii="맑은 고딕" w:hAnsi="맑은 고딕" w:eastAsia="맑은 고딕"/>
                <w:b w:val="0"/>
                <w:sz w:val="18"/>
              </w:rPr>
              <w:t>논문 저술, 교육 효과 검증, 학생 지도</w:t>
            </w:r>
          </w:p>
        </w:tc>
        <w:tc>
          <w:tcPr>
            <w:tcW w:type="dxa" w:w="3969"/>
          </w:tcPr>
          <w:p>
            <w:pPr>
              <w:spacing w:after="0" w:line="312" w:lineRule="auto"/>
            </w:pPr>
            <w:r/>
            <w:r>
              <w:rPr>
                <w:rFonts w:ascii="맑은 고딕" w:hAnsi="맑은 고딕" w:eastAsia="맑은 고딕"/>
                <w:b w:val="0"/>
                <w:sz w:val="18"/>
              </w:rPr>
              <w:t>기술 구현 데이터 제공, 특허 명세 기술 지원</w:t>
            </w:r>
          </w:p>
        </w:tc>
      </w:tr>
    </w:tbl>
    <w:p>
      <w:pPr>
        <w:spacing w:before="60" w:after="60" w:line="348" w:lineRule="auto"/>
      </w:pPr>
      <w:r>
        <w:rPr>
          <w:rFonts w:ascii="맑은 고딕" w:hAnsi="맑은 고딕" w:eastAsia="맑은 고딕"/>
          <w:b w:val="0"/>
          <w:sz w:val="18"/>
        </w:rPr>
        <w:t>※ 상호 보완의 핵심은 다음과 같다. 대학은 콘텐츠 제작 자동화·출판 인프라·측정 환경이 없고, 기업은 전공 도메인 지식·저작 주체·초기 사용자가 없다. 본 과제는 양측의 결손을 정확히 교차 보완하는 구조로 설계되었다.</w:t>
      </w:r>
    </w:p>
    <w:p>
      <w:pPr>
        <w:spacing w:before="200" w:after="60" w:line="348" w:lineRule="auto"/>
      </w:pPr>
      <w:r>
        <w:rPr>
          <w:rFonts w:ascii="맑은 고딕" w:hAnsi="맑은 고딕" w:eastAsia="맑은 고딕"/>
          <w:b/>
          <w:sz w:val="20"/>
        </w:rPr>
        <w:t>다. ② 인재양성을 위한 주관기관-참여기업 간 교류 및 협력 방안</w:t>
      </w:r>
    </w:p>
    <w:p>
      <w:pPr>
        <w:spacing w:before="0" w:after="60" w:line="348" w:lineRule="auto"/>
      </w:pPr>
      <w:r>
        <w:rPr>
          <w:rFonts w:ascii="맑은 고딕" w:hAnsi="맑은 고딕" w:eastAsia="맑은 고딕"/>
          <w:b w:val="0"/>
          <w:sz w:val="20"/>
        </w:rPr>
        <w:t>본 과제는 개발 과정 자체가 인재양성 과정이 되도록 설계한다. 학생연구원은 단순 보조가 아니라 콘텐츠 검증과 사용성 평가의 주체로 참여하며, 기업 현장의 개발 프로세스를 직접 경험한다.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1814"/>
            <w:shd w:val="clear" w:color="auto" w:fill="E8E8E8"/>
          </w:tcPr>
          <w:p>
            <w:pPr>
              <w:spacing w:after="0" w:line="312" w:lineRule="auto"/>
              <w:jc w:val="center"/>
            </w:pPr>
            <w:r/>
            <w:r>
              <w:rPr>
                <w:rFonts w:ascii="맑은 고딕" w:hAnsi="맑은 고딕" w:eastAsia="맑은 고딕"/>
                <w:b/>
                <w:sz w:val="17"/>
              </w:rPr>
              <w:t>프로그램</w:t>
            </w:r>
          </w:p>
        </w:tc>
        <w:tc>
          <w:tcPr>
            <w:tcW w:type="dxa" w:w="4649"/>
            <w:shd w:val="clear" w:color="auto" w:fill="E8E8E8"/>
          </w:tcPr>
          <w:p>
            <w:pPr>
              <w:spacing w:after="0" w:line="312" w:lineRule="auto"/>
              <w:jc w:val="center"/>
            </w:pPr>
            <w:r/>
            <w:r>
              <w:rPr>
                <w:rFonts w:ascii="맑은 고딕" w:hAnsi="맑은 고딕" w:eastAsia="맑은 고딕"/>
                <w:b/>
                <w:sz w:val="17"/>
              </w:rPr>
              <w:t>내용</w:t>
            </w:r>
          </w:p>
        </w:tc>
        <w:tc>
          <w:tcPr>
            <w:tcW w:type="dxa" w:w="1587"/>
            <w:shd w:val="clear" w:color="auto" w:fill="E8E8E8"/>
          </w:tcPr>
          <w:p>
            <w:pPr>
              <w:spacing w:after="0" w:line="312" w:lineRule="auto"/>
              <w:jc w:val="center"/>
            </w:pPr>
            <w:r/>
            <w:r>
              <w:rPr>
                <w:rFonts w:ascii="맑은 고딕" w:hAnsi="맑은 고딕" w:eastAsia="맑은 고딕"/>
                <w:b/>
                <w:sz w:val="17"/>
              </w:rPr>
              <w:t>대상</w:t>
            </w:r>
          </w:p>
        </w:tc>
        <w:tc>
          <w:tcPr>
            <w:tcW w:type="dxa" w:w="1361"/>
            <w:shd w:val="clear" w:color="auto" w:fill="E8E8E8"/>
          </w:tcPr>
          <w:p>
            <w:pPr>
              <w:spacing w:after="0" w:line="312" w:lineRule="auto"/>
              <w:jc w:val="center"/>
            </w:pPr>
            <w:r/>
            <w:r>
              <w:rPr>
                <w:rFonts w:ascii="맑은 고딕" w:hAnsi="맑은 고딕" w:eastAsia="맑은 고딕"/>
                <w:b/>
                <w:sz w:val="17"/>
              </w:rPr>
              <w:t>시기</w:t>
            </w:r>
          </w:p>
        </w:tc>
      </w:tr>
      <w:tr>
        <w:tc>
          <w:tcPr>
            <w:tcW w:type="dxa" w:w="1814"/>
          </w:tcPr>
          <w:p>
            <w:pPr>
              <w:spacing w:after="0" w:line="312" w:lineRule="auto"/>
              <w:jc w:val="center"/>
            </w:pPr>
            <w:r/>
            <w:r>
              <w:rPr>
                <w:rFonts w:ascii="맑은 고딕" w:hAnsi="맑은 고딕" w:eastAsia="맑은 고딕"/>
                <w:b w:val="0"/>
                <w:sz w:val="17"/>
              </w:rPr>
              <w:t>직무 시드 워크숍</w:t>
            </w:r>
          </w:p>
        </w:tc>
        <w:tc>
          <w:tcPr>
            <w:tcW w:type="dxa" w:w="4649"/>
          </w:tcPr>
          <w:p>
            <w:pPr>
              <w:spacing w:after="0" w:line="312" w:lineRule="auto"/>
            </w:pPr>
            <w:r/>
            <w:r>
              <w:rPr>
                <w:rFonts w:ascii="맑은 고딕" w:hAnsi="맑은 고딕" w:eastAsia="맑은 고딕"/>
                <w:b w:val="0"/>
                <w:sz w:val="17"/>
              </w:rPr>
              <w:t>교수·기업 연구원·학생이 함께 직무 상황과 표현을 도출. 학생은 현장 실습 경험에 근거한 관점을 제공하고, 기업은 데이터 구조화 방법을 지도</w:t>
            </w:r>
          </w:p>
        </w:tc>
        <w:tc>
          <w:tcPr>
            <w:tcW w:type="dxa" w:w="1587"/>
          </w:tcPr>
          <w:p>
            <w:pPr>
              <w:spacing w:after="0" w:line="312" w:lineRule="auto"/>
              <w:jc w:val="center"/>
            </w:pPr>
            <w:r/>
            <w:r>
              <w:rPr>
                <w:rFonts w:ascii="맑은 고딕" w:hAnsi="맑은 고딕" w:eastAsia="맑은 고딕"/>
                <w:b w:val="0"/>
                <w:sz w:val="17"/>
              </w:rPr>
              <w:t>교수·학생·기업</w:t>
            </w:r>
          </w:p>
        </w:tc>
        <w:tc>
          <w:tcPr>
            <w:tcW w:type="dxa" w:w="1361"/>
          </w:tcPr>
          <w:p>
            <w:pPr>
              <w:spacing w:after="0" w:line="312" w:lineRule="auto"/>
              <w:jc w:val="center"/>
            </w:pPr>
            <w:r/>
            <w:r>
              <w:rPr>
                <w:rFonts w:ascii="맑은 고딕" w:hAnsi="맑은 고딕" w:eastAsia="맑은 고딕"/>
                <w:b w:val="0"/>
                <w:sz w:val="17"/>
              </w:rPr>
              <w:t>9월</w:t>
            </w:r>
          </w:p>
        </w:tc>
      </w:tr>
      <w:tr>
        <w:tc>
          <w:tcPr>
            <w:tcW w:type="dxa" w:w="1814"/>
          </w:tcPr>
          <w:p>
            <w:pPr>
              <w:spacing w:after="0" w:line="312" w:lineRule="auto"/>
              <w:jc w:val="center"/>
            </w:pPr>
            <w:r/>
            <w:r>
              <w:rPr>
                <w:rFonts w:ascii="맑은 고딕" w:hAnsi="맑은 고딕" w:eastAsia="맑은 고딕"/>
                <w:b w:val="0"/>
                <w:sz w:val="17"/>
              </w:rPr>
              <w:t>학생연구원 기업 참여</w:t>
            </w:r>
          </w:p>
        </w:tc>
        <w:tc>
          <w:tcPr>
            <w:tcW w:type="dxa" w:w="4649"/>
          </w:tcPr>
          <w:p>
            <w:pPr>
              <w:spacing w:after="0" w:line="312" w:lineRule="auto"/>
            </w:pPr>
            <w:r/>
            <w:r>
              <w:rPr>
                <w:rFonts w:ascii="맑은 고딕" w:hAnsi="맑은 고딕" w:eastAsia="맑은 고딕"/>
                <w:b w:val="0"/>
                <w:sz w:val="17"/>
              </w:rPr>
              <w:t>오이지 개발 스프린트에 학생연구원이 콘텐츠 검증·사용성 테스트 담당자로 참여. 기업 연구원이 1:1 멘토로 배정되어 개발 프로세스·데이터 분석 실무를 지도</w:t>
            </w:r>
          </w:p>
        </w:tc>
        <w:tc>
          <w:tcPr>
            <w:tcW w:type="dxa" w:w="1587"/>
          </w:tcPr>
          <w:p>
            <w:pPr>
              <w:spacing w:after="0" w:line="312" w:lineRule="auto"/>
              <w:jc w:val="center"/>
            </w:pPr>
            <w:r/>
            <w:r>
              <w:rPr>
                <w:rFonts w:ascii="맑은 고딕" w:hAnsi="맑은 고딕" w:eastAsia="맑은 고딕"/>
                <w:b w:val="0"/>
                <w:sz w:val="17"/>
              </w:rPr>
              <w:t>학생연구원 2명</w:t>
            </w:r>
          </w:p>
        </w:tc>
        <w:tc>
          <w:tcPr>
            <w:tcW w:type="dxa" w:w="1361"/>
          </w:tcPr>
          <w:p>
            <w:pPr>
              <w:spacing w:after="0" w:line="312" w:lineRule="auto"/>
              <w:jc w:val="center"/>
            </w:pPr>
            <w:r/>
            <w:r>
              <w:rPr>
                <w:rFonts w:ascii="맑은 고딕" w:hAnsi="맑은 고딕" w:eastAsia="맑은 고딕"/>
                <w:b w:val="0"/>
                <w:sz w:val="17"/>
              </w:rPr>
              <w:t>9~12월</w:t>
            </w:r>
          </w:p>
        </w:tc>
      </w:tr>
      <w:tr>
        <w:tc>
          <w:tcPr>
            <w:tcW w:type="dxa" w:w="1814"/>
          </w:tcPr>
          <w:p>
            <w:pPr>
              <w:spacing w:after="0" w:line="312" w:lineRule="auto"/>
              <w:jc w:val="center"/>
            </w:pPr>
            <w:r/>
            <w:r>
              <w:rPr>
                <w:rFonts w:ascii="맑은 고딕" w:hAnsi="맑은 고딕" w:eastAsia="맑은 고딕"/>
                <w:b w:val="0"/>
                <w:sz w:val="17"/>
              </w:rPr>
              <w:t>캡스톤디자인 연계</w:t>
            </w:r>
          </w:p>
        </w:tc>
        <w:tc>
          <w:tcPr>
            <w:tcW w:type="dxa" w:w="4649"/>
          </w:tcPr>
          <w:p>
            <w:pPr>
              <w:spacing w:after="0" w:line="312" w:lineRule="auto"/>
            </w:pPr>
            <w:r/>
            <w:r>
              <w:rPr>
                <w:rFonts w:ascii="맑은 고딕" w:hAnsi="맑은 고딕" w:eastAsia="맑은 고딕"/>
                <w:b w:val="0"/>
                <w:sz w:val="17"/>
              </w:rPr>
              <w:t>AI·데이터융합학부 학생이 본 과제에서 수집된 학습 데이터의 분석·시각화를 캡스톤디자인 과제로 수행</w:t>
            </w:r>
          </w:p>
        </w:tc>
        <w:tc>
          <w:tcPr>
            <w:tcW w:type="dxa" w:w="1587"/>
          </w:tcPr>
          <w:p>
            <w:pPr>
              <w:spacing w:after="0" w:line="312" w:lineRule="auto"/>
              <w:jc w:val="center"/>
            </w:pPr>
            <w:r/>
            <w:r>
              <w:rPr>
                <w:rFonts w:ascii="맑은 고딕" w:hAnsi="맑은 고딕" w:eastAsia="맑은 고딕"/>
                <w:b w:val="0"/>
                <w:sz w:val="17"/>
              </w:rPr>
              <w:t>융합학부 학생</w:t>
            </w:r>
          </w:p>
        </w:tc>
        <w:tc>
          <w:tcPr>
            <w:tcW w:type="dxa" w:w="1361"/>
          </w:tcPr>
          <w:p>
            <w:pPr>
              <w:spacing w:after="0" w:line="312" w:lineRule="auto"/>
              <w:jc w:val="center"/>
            </w:pPr>
            <w:r/>
            <w:r>
              <w:rPr>
                <w:rFonts w:ascii="맑은 고딕" w:hAnsi="맑은 고딕" w:eastAsia="맑은 고딕"/>
                <w:b w:val="0"/>
                <w:sz w:val="17"/>
              </w:rPr>
              <w:t>10~12월</w:t>
            </w:r>
          </w:p>
        </w:tc>
      </w:tr>
      <w:tr>
        <w:tc>
          <w:tcPr>
            <w:tcW w:type="dxa" w:w="1814"/>
          </w:tcPr>
          <w:p>
            <w:pPr>
              <w:spacing w:after="0" w:line="312" w:lineRule="auto"/>
            </w:pPr>
            <w:r/>
            <w:r>
              <w:rPr>
                <w:rFonts w:ascii="맑은 고딕" w:hAnsi="맑은 고딕" w:eastAsia="맑은 고딕"/>
                <w:b w:val="0"/>
                <w:sz w:val="17"/>
              </w:rPr>
              <w:t>직무 외국어 실습 파일럿</w:t>
            </w:r>
          </w:p>
        </w:tc>
        <w:tc>
          <w:tcPr>
            <w:tcW w:type="dxa" w:w="4649"/>
          </w:tcPr>
          <w:p>
            <w:pPr>
              <w:spacing w:after="0" w:line="312" w:lineRule="auto"/>
            </w:pPr>
            <w:r/>
            <w:r>
              <w:rPr>
                <w:rFonts w:ascii="맑은 고딕" w:hAnsi="맑은 고딕" w:eastAsia="맑은 고딕"/>
                <w:b w:val="0"/>
                <w:sz w:val="17"/>
              </w:rPr>
              <w:t>참여 학과 재학생이 롤플레이 실습에 참여하고 개인별 역량 리포트를 수령. 리포트는 취업 포트폴리오 자료로 활용</w:t>
            </w:r>
          </w:p>
        </w:tc>
        <w:tc>
          <w:tcPr>
            <w:tcW w:type="dxa" w:w="1587"/>
          </w:tcPr>
          <w:p>
            <w:pPr>
              <w:spacing w:after="0" w:line="312" w:lineRule="auto"/>
              <w:jc w:val="center"/>
            </w:pPr>
            <w:r/>
            <w:r>
              <w:rPr>
                <w:rFonts w:ascii="맑은 고딕" w:hAnsi="맑은 고딕" w:eastAsia="맑은 고딕"/>
                <w:b w:val="0"/>
                <w:sz w:val="17"/>
              </w:rPr>
              <w:t>재학생 30명</w:t>
            </w:r>
          </w:p>
        </w:tc>
        <w:tc>
          <w:tcPr>
            <w:tcW w:type="dxa" w:w="1361"/>
          </w:tcPr>
          <w:p>
            <w:pPr>
              <w:spacing w:after="0" w:line="312" w:lineRule="auto"/>
              <w:jc w:val="center"/>
            </w:pPr>
            <w:r/>
            <w:r>
              <w:rPr>
                <w:rFonts w:ascii="맑은 고딕" w:hAnsi="맑은 고딕" w:eastAsia="맑은 고딕"/>
                <w:b w:val="0"/>
                <w:sz w:val="17"/>
              </w:rPr>
              <w:t>12월</w:t>
            </w:r>
          </w:p>
        </w:tc>
      </w:tr>
      <w:tr>
        <w:tc>
          <w:tcPr>
            <w:tcW w:type="dxa" w:w="1814"/>
          </w:tcPr>
          <w:p>
            <w:pPr>
              <w:spacing w:after="0" w:line="312" w:lineRule="auto"/>
              <w:jc w:val="center"/>
            </w:pPr>
            <w:r/>
            <w:r>
              <w:rPr>
                <w:rFonts w:ascii="맑은 고딕" w:hAnsi="맑은 고딕" w:eastAsia="맑은 고딕"/>
                <w:b w:val="0"/>
                <w:sz w:val="17"/>
              </w:rPr>
              <w:t>산업체 재직자 교육</w:t>
            </w:r>
          </w:p>
        </w:tc>
        <w:tc>
          <w:tcPr>
            <w:tcW w:type="dxa" w:w="4649"/>
          </w:tcPr>
          <w:p>
            <w:pPr>
              <w:spacing w:after="0" w:line="312" w:lineRule="auto"/>
            </w:pPr>
            <w:r/>
            <w:r>
              <w:rPr>
                <w:rFonts w:ascii="맑은 고딕" w:hAnsi="맑은 고딕" w:eastAsia="맑은 고딕"/>
                <w:b w:val="0"/>
                <w:sz w:val="17"/>
              </w:rPr>
              <w:t>개발 결과물을 활용해 호텔·관광 산업 재직자 대상 시범 교육 1회 운영. 재학생이 보조 진행자로 참여</w:t>
            </w:r>
          </w:p>
        </w:tc>
        <w:tc>
          <w:tcPr>
            <w:tcW w:type="dxa" w:w="1587"/>
          </w:tcPr>
          <w:p>
            <w:pPr>
              <w:spacing w:after="0" w:line="312" w:lineRule="auto"/>
              <w:jc w:val="center"/>
            </w:pPr>
            <w:r/>
            <w:r>
              <w:rPr>
                <w:rFonts w:ascii="맑은 고딕" w:hAnsi="맑은 고딕" w:eastAsia="맑은 고딕"/>
                <w:b w:val="0"/>
                <w:sz w:val="17"/>
              </w:rPr>
              <w:t>산업체 재직자</w:t>
            </w:r>
          </w:p>
        </w:tc>
        <w:tc>
          <w:tcPr>
            <w:tcW w:type="dxa" w:w="1361"/>
          </w:tcPr>
          <w:p>
            <w:pPr>
              <w:spacing w:after="0" w:line="312" w:lineRule="auto"/>
              <w:jc w:val="center"/>
            </w:pPr>
            <w:r/>
            <w:r>
              <w:rPr>
                <w:rFonts w:ascii="맑은 고딕" w:hAnsi="맑은 고딕" w:eastAsia="맑은 고딕"/>
                <w:b w:val="0"/>
                <w:sz w:val="17"/>
              </w:rPr>
              <w:t>12월</w:t>
            </w:r>
          </w:p>
        </w:tc>
      </w:tr>
      <w:tr>
        <w:tc>
          <w:tcPr>
            <w:tcW w:type="dxa" w:w="1814"/>
          </w:tcPr>
          <w:p>
            <w:pPr>
              <w:spacing w:after="0" w:line="312" w:lineRule="auto"/>
              <w:jc w:val="center"/>
            </w:pPr>
            <w:r/>
            <w:r>
              <w:rPr>
                <w:rFonts w:ascii="맑은 고딕" w:hAnsi="맑은 고딕" w:eastAsia="맑은 고딕"/>
                <w:b w:val="0"/>
                <w:sz w:val="17"/>
              </w:rPr>
              <w:t>성과공유회</w:t>
            </w:r>
          </w:p>
        </w:tc>
        <w:tc>
          <w:tcPr>
            <w:tcW w:type="dxa" w:w="4649"/>
          </w:tcPr>
          <w:p>
            <w:pPr>
              <w:spacing w:after="0" w:line="312" w:lineRule="auto"/>
            </w:pPr>
            <w:r/>
            <w:r>
              <w:rPr>
                <w:rFonts w:ascii="맑은 고딕" w:hAnsi="맑은 고딕" w:eastAsia="맑은 고딕"/>
                <w:b w:val="0"/>
                <w:sz w:val="17"/>
              </w:rPr>
              <w:t>결과보고회에서 학생연구원이 참여 성과를 직접 발표하여 발표 실적 확보</w:t>
            </w:r>
          </w:p>
        </w:tc>
        <w:tc>
          <w:tcPr>
            <w:tcW w:type="dxa" w:w="1587"/>
          </w:tcPr>
          <w:p>
            <w:pPr>
              <w:spacing w:after="0" w:line="312" w:lineRule="auto"/>
              <w:jc w:val="center"/>
            </w:pPr>
            <w:r/>
            <w:r>
              <w:rPr>
                <w:rFonts w:ascii="맑은 고딕" w:hAnsi="맑은 고딕" w:eastAsia="맑은 고딕"/>
                <w:b w:val="0"/>
                <w:sz w:val="17"/>
              </w:rPr>
              <w:t>전체</w:t>
            </w:r>
          </w:p>
        </w:tc>
        <w:tc>
          <w:tcPr>
            <w:tcW w:type="dxa" w:w="1361"/>
          </w:tcPr>
          <w:p>
            <w:pPr>
              <w:spacing w:after="0" w:line="312" w:lineRule="auto"/>
              <w:jc w:val="center"/>
            </w:pPr>
            <w:r/>
            <w:r>
              <w:rPr>
                <w:rFonts w:ascii="맑은 고딕" w:hAnsi="맑은 고딕" w:eastAsia="맑은 고딕"/>
                <w:b w:val="0"/>
                <w:sz w:val="17"/>
              </w:rPr>
              <w:t>27.01.</w:t>
            </w:r>
          </w:p>
        </w:tc>
      </w:tr>
    </w:tbl>
    <w:p>
      <w:pPr>
        <w:spacing w:after="40" w:line="336" w:lineRule="auto"/>
        <w:ind w:left="283" w:hanging="238"/>
      </w:pPr>
      <w:r>
        <w:rPr>
          <w:rFonts w:ascii="맑은 고딕" w:hAnsi="맑은 고딕" w:eastAsia="맑은 고딕"/>
          <w:sz w:val="20"/>
        </w:rPr>
        <w:t>◦ 학생연구원에게는 기업 현장 개발 프로세스 경험, 본인의 역량 리포트, 결과보고회 발표 실적이 남는다.</w:t>
      </w:r>
    </w:p>
    <w:p>
      <w:pPr>
        <w:spacing w:after="40" w:line="336" w:lineRule="auto"/>
        <w:ind w:left="283" w:hanging="238"/>
      </w:pPr>
      <w:r>
        <w:rPr>
          <w:rFonts w:ascii="맑은 고딕" w:hAnsi="맑은 고딕" w:eastAsia="맑은 고딕"/>
          <w:sz w:val="20"/>
        </w:rPr>
        <w:t>◦ 오이지는 과제 수행 중 우수 학생연구원에 대해 인턴십 및 채용 연계를 검토한다.</w:t>
      </w:r>
    </w:p>
    <w:p>
      <w:pPr>
        <w:spacing w:after="40" w:line="336" w:lineRule="auto"/>
        <w:ind w:left="283" w:hanging="238"/>
      </w:pPr>
      <w:r>
        <w:rPr>
          <w:rFonts w:ascii="맑은 고딕" w:hAnsi="맑은 고딕" w:eastAsia="맑은 고딕"/>
          <w:sz w:val="20"/>
        </w:rPr>
        <w:t>◦ 교수에게는 본인 명의 교재와 저술 실적이, 대학에는 대학 브랜드 교재 자산이 남는다.</w:t>
      </w:r>
    </w:p>
    <w:p>
      <w:pPr>
        <w:spacing w:before="200" w:after="60" w:line="348" w:lineRule="auto"/>
      </w:pPr>
      <w:r>
        <w:rPr>
          <w:rFonts w:ascii="맑은 고딕" w:hAnsi="맑은 고딕" w:eastAsia="맑은 고딕"/>
          <w:b/>
          <w:sz w:val="20"/>
        </w:rPr>
        <w:t>라. ③ 대학 보유 장비·기자재 보유 및 활용 계획</w:t>
      </w:r>
    </w:p>
    <w:p>
      <w:pPr>
        <w:spacing w:before="0" w:after="60" w:line="348" w:lineRule="auto"/>
      </w:pPr>
      <w:r>
        <w:rPr>
          <w:rFonts w:ascii="맑은 고딕" w:hAnsi="맑은 고딕" w:eastAsia="맑은 고딕"/>
          <w:b w:val="0"/>
          <w:sz w:val="20"/>
        </w:rPr>
        <w:t>본 과제는 소프트웨어 개발 및 콘텐츠 저작 과제로, 신규 기자재 구입 없이 대학 보유 장비만을 활용하는 것을 원칙으로 한다. 연구시설·장비 설치 및 운영은 대학 내에서 수행한다.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2268"/>
            <w:shd w:val="clear" w:color="auto" w:fill="E8E8E8"/>
          </w:tcPr>
          <w:p>
            <w:pPr>
              <w:spacing w:after="0" w:line="312" w:lineRule="auto"/>
              <w:jc w:val="center"/>
            </w:pPr>
            <w:r/>
            <w:r>
              <w:rPr>
                <w:rFonts w:ascii="맑은 고딕" w:hAnsi="맑은 고딕" w:eastAsia="맑은 고딕"/>
                <w:b/>
                <w:sz w:val="18"/>
              </w:rPr>
              <w:t>보유 장비·기자재</w:t>
            </w:r>
          </w:p>
        </w:tc>
        <w:tc>
          <w:tcPr>
            <w:tcW w:type="dxa" w:w="4649"/>
            <w:shd w:val="clear" w:color="auto" w:fill="E8E8E8"/>
          </w:tcPr>
          <w:p>
            <w:pPr>
              <w:spacing w:after="0" w:line="312" w:lineRule="auto"/>
              <w:jc w:val="center"/>
            </w:pPr>
            <w:r/>
            <w:r>
              <w:rPr>
                <w:rFonts w:ascii="맑은 고딕" w:hAnsi="맑은 고딕" w:eastAsia="맑은 고딕"/>
                <w:b/>
                <w:sz w:val="18"/>
              </w:rPr>
              <w:t>활용 용도</w:t>
            </w:r>
          </w:p>
        </w:tc>
        <w:tc>
          <w:tcPr>
            <w:tcW w:type="dxa" w:w="2494"/>
            <w:shd w:val="clear" w:color="auto" w:fill="E8E8E8"/>
          </w:tcPr>
          <w:p>
            <w:pPr>
              <w:spacing w:after="0" w:line="312" w:lineRule="auto"/>
              <w:jc w:val="center"/>
            </w:pPr>
            <w:r/>
            <w:r>
              <w:rPr>
                <w:rFonts w:ascii="맑은 고딕" w:hAnsi="맑은 고딕" w:eastAsia="맑은 고딕"/>
                <w:b/>
                <w:sz w:val="18"/>
              </w:rPr>
              <w:t>보유 현황</w:t>
            </w:r>
          </w:p>
        </w:tc>
      </w:tr>
      <w:tr>
        <w:tc>
          <w:tcPr>
            <w:tcW w:type="dxa" w:w="2268"/>
          </w:tcPr>
          <w:p>
            <w:pPr>
              <w:spacing w:after="0" w:line="312" w:lineRule="auto"/>
              <w:jc w:val="center"/>
            </w:pPr>
            <w:r/>
            <w:r>
              <w:rPr>
                <w:rFonts w:ascii="맑은 고딕" w:hAnsi="맑은 고딕" w:eastAsia="맑은 고딕"/>
                <w:b w:val="0"/>
                <w:sz w:val="18"/>
              </w:rPr>
              <w:t>어학실습실</w:t>
            </w:r>
          </w:p>
        </w:tc>
        <w:tc>
          <w:tcPr>
            <w:tcW w:type="dxa" w:w="4649"/>
          </w:tcPr>
          <w:p>
            <w:pPr>
              <w:spacing w:after="0" w:line="312" w:lineRule="auto"/>
            </w:pPr>
            <w:r/>
            <w:r>
              <w:rPr>
                <w:rFonts w:ascii="맑은 고딕" w:hAnsi="맑은 고딕" w:eastAsia="맑은 고딕"/>
                <w:b w:val="0"/>
                <w:sz w:val="18"/>
              </w:rPr>
              <w:t>말하기 실습 파일럿 진행, 음성 녹음 환경 확보</w:t>
            </w:r>
          </w:p>
        </w:tc>
        <w:tc>
          <w:tcPr>
            <w:tcW w:type="dxa" w:w="2494"/>
          </w:tcPr>
          <w:p>
            <w:pPr>
              <w:spacing w:after="0" w:line="312" w:lineRule="auto"/>
              <w:jc w:val="center"/>
            </w:pPr>
            <w:r/>
            <w:r>
              <w:rPr>
                <w:rFonts w:ascii="맑은 고딕" w:hAnsi="맑은 고딕" w:eastAsia="맑은 고딕"/>
                <w:b w:val="0"/>
                <w:sz w:val="18"/>
              </w:rPr>
              <w:t>(장비명·규격 기재 필요)</w:t>
            </w:r>
          </w:p>
        </w:tc>
      </w:tr>
      <w:tr>
        <w:tc>
          <w:tcPr>
            <w:tcW w:type="dxa" w:w="2268"/>
          </w:tcPr>
          <w:p>
            <w:pPr>
              <w:spacing w:after="0" w:line="312" w:lineRule="auto"/>
              <w:jc w:val="center"/>
            </w:pPr>
            <w:r/>
            <w:r>
              <w:rPr>
                <w:rFonts w:ascii="맑은 고딕" w:hAnsi="맑은 고딕" w:eastAsia="맑은 고딕"/>
                <w:b w:val="0"/>
                <w:sz w:val="18"/>
              </w:rPr>
              <w:t>컴퓨터 실습실</w:t>
            </w:r>
          </w:p>
        </w:tc>
        <w:tc>
          <w:tcPr>
            <w:tcW w:type="dxa" w:w="4649"/>
          </w:tcPr>
          <w:p>
            <w:pPr>
              <w:spacing w:after="0" w:line="312" w:lineRule="auto"/>
            </w:pPr>
            <w:r/>
            <w:r>
              <w:rPr>
                <w:rFonts w:ascii="맑은 고딕" w:hAnsi="맑은 고딕" w:eastAsia="맑은 고딕"/>
                <w:b w:val="0"/>
                <w:sz w:val="18"/>
              </w:rPr>
              <w:t>학생 학습 실증, 사용성 테스트, 데이터 수집</w:t>
            </w:r>
          </w:p>
        </w:tc>
        <w:tc>
          <w:tcPr>
            <w:tcW w:type="dxa" w:w="2494"/>
          </w:tcPr>
          <w:p>
            <w:pPr>
              <w:spacing w:after="0" w:line="312" w:lineRule="auto"/>
              <w:jc w:val="center"/>
            </w:pPr>
            <w:r/>
            <w:r>
              <w:rPr>
                <w:rFonts w:ascii="맑은 고딕" w:hAnsi="맑은 고딕" w:eastAsia="맑은 고딕"/>
                <w:b w:val="0"/>
                <w:sz w:val="18"/>
              </w:rPr>
              <w:t>(장비명·규격 기재 필요)</w:t>
            </w:r>
          </w:p>
        </w:tc>
      </w:tr>
      <w:tr>
        <w:tc>
          <w:tcPr>
            <w:tcW w:type="dxa" w:w="2268"/>
          </w:tcPr>
          <w:p>
            <w:pPr>
              <w:spacing w:after="0" w:line="312" w:lineRule="auto"/>
              <w:jc w:val="center"/>
            </w:pPr>
            <w:r/>
            <w:r>
              <w:rPr>
                <w:rFonts w:ascii="맑은 고딕" w:hAnsi="맑은 고딕" w:eastAsia="맑은 고딕"/>
                <w:b w:val="0"/>
                <w:sz w:val="18"/>
              </w:rPr>
              <w:t>세미나실·회의 공간</w:t>
            </w:r>
          </w:p>
        </w:tc>
        <w:tc>
          <w:tcPr>
            <w:tcW w:type="dxa" w:w="4649"/>
          </w:tcPr>
          <w:p>
            <w:pPr>
              <w:spacing w:after="0" w:line="312" w:lineRule="auto"/>
            </w:pPr>
            <w:r/>
            <w:r>
              <w:rPr>
                <w:rFonts w:ascii="맑은 고딕" w:hAnsi="맑은 고딕" w:eastAsia="맑은 고딕"/>
                <w:b w:val="0"/>
                <w:sz w:val="18"/>
              </w:rPr>
              <w:t>직무 시드 워크숍, 정례 검수 회의, 결과보고회</w:t>
            </w:r>
          </w:p>
        </w:tc>
        <w:tc>
          <w:tcPr>
            <w:tcW w:type="dxa" w:w="2494"/>
          </w:tcPr>
          <w:p>
            <w:pPr>
              <w:spacing w:after="0" w:line="312" w:lineRule="auto"/>
              <w:jc w:val="center"/>
            </w:pPr>
            <w:r/>
            <w:r>
              <w:rPr>
                <w:rFonts w:ascii="맑은 고딕" w:hAnsi="맑은 고딕" w:eastAsia="맑은 고딕"/>
                <w:b w:val="0"/>
                <w:sz w:val="18"/>
              </w:rPr>
              <w:t>(장비명·규격 기재 필요)</w:t>
            </w:r>
          </w:p>
        </w:tc>
      </w:tr>
    </w:tbl>
    <w:p>
      <w:pPr>
        <w:spacing w:after="80" w:before="60"/>
      </w:pPr>
      <w:r>
        <w:rPr>
          <w:rFonts w:ascii="맑은 고딕" w:hAnsi="맑은 고딕" w:eastAsia="맑은 고딕"/>
          <w:color w:val="C00000"/>
          <w:sz w:val="17"/>
        </w:rPr>
        <w:t>※ 실제 보유 장비명·규격·수량 기재 필요. 신규 기자재 구입이 필요한 경우 앵커 운영위원회 승인 절차가 별도로 요구됨.</w:t>
      </w:r>
    </w:p>
    <w:p>
      <w:pPr>
        <w:spacing w:before="240" w:after="100"/>
      </w:pPr>
      <w:r>
        <w:rPr>
          <w:rFonts w:ascii="맑은 고딕" w:hAnsi="맑은 고딕" w:eastAsia="맑은 고딕"/>
          <w:b/>
          <w:sz w:val="23"/>
        </w:rPr>
        <w:t>2) 연구개발과제의 추진체계</w:t>
      </w:r>
    </w:p>
    <w:p>
      <w:pPr>
        <w:spacing w:before="120" w:after="60" w:line="348" w:lineRule="auto"/>
      </w:pPr>
      <w:r>
        <w:rPr>
          <w:rFonts w:ascii="맑은 고딕" w:hAnsi="맑은 고딕" w:eastAsia="맑은 고딕"/>
          <w:b/>
          <w:sz w:val="20"/>
        </w:rPr>
        <w:t>가. 조직 구성</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2041"/>
            <w:shd w:val="clear" w:color="auto" w:fill="E8E8E8"/>
          </w:tcPr>
          <w:p>
            <w:pPr>
              <w:spacing w:after="0" w:line="312" w:lineRule="auto"/>
              <w:jc w:val="center"/>
            </w:pPr>
            <w:r/>
            <w:r>
              <w:rPr>
                <w:rFonts w:ascii="맑은 고딕" w:hAnsi="맑은 고딕" w:eastAsia="맑은 고딕"/>
                <w:b/>
                <w:sz w:val="18"/>
              </w:rPr>
              <w:t>구분</w:t>
            </w:r>
          </w:p>
        </w:tc>
        <w:tc>
          <w:tcPr>
            <w:tcW w:type="dxa" w:w="7370"/>
            <w:shd w:val="clear" w:color="auto" w:fill="E8E8E8"/>
          </w:tcPr>
          <w:p>
            <w:pPr>
              <w:spacing w:after="0" w:line="312" w:lineRule="auto"/>
              <w:jc w:val="center"/>
            </w:pPr>
            <w:r/>
            <w:r>
              <w:rPr>
                <w:rFonts w:ascii="맑은 고딕" w:hAnsi="맑은 고딕" w:eastAsia="맑은 고딕"/>
                <w:b/>
                <w:sz w:val="18"/>
              </w:rPr>
              <w:t>구성 및 역할</w:t>
            </w:r>
          </w:p>
        </w:tc>
      </w:tr>
      <w:tr>
        <w:tc>
          <w:tcPr>
            <w:tcW w:type="dxa" w:w="2041"/>
          </w:tcPr>
          <w:p>
            <w:pPr>
              <w:spacing w:after="0" w:line="312" w:lineRule="auto"/>
              <w:jc w:val="center"/>
            </w:pPr>
            <w:r/>
            <w:r>
              <w:rPr>
                <w:rFonts w:ascii="맑은 고딕" w:hAnsi="맑은 고딕" w:eastAsia="맑은 고딕"/>
                <w:b w:val="0"/>
                <w:sz w:val="18"/>
              </w:rPr>
              <w:t>한양여대 앵커사업단</w:t>
            </w:r>
          </w:p>
        </w:tc>
        <w:tc>
          <w:tcPr>
            <w:tcW w:type="dxa" w:w="7370"/>
          </w:tcPr>
          <w:p>
            <w:pPr>
              <w:spacing w:after="0" w:line="312" w:lineRule="auto"/>
            </w:pPr>
            <w:r/>
            <w:r>
              <w:rPr>
                <w:rFonts w:ascii="맑은 고딕" w:hAnsi="맑은 고딕" w:eastAsia="맑은 고딕"/>
                <w:b w:val="0"/>
                <w:sz w:val="18"/>
              </w:rPr>
              <w:t>과제 관리·평가·협약 체결, 중간·최종 보고 접수</w:t>
            </w:r>
          </w:p>
        </w:tc>
      </w:tr>
      <w:tr>
        <w:tc>
          <w:tcPr>
            <w:tcW w:type="dxa" w:w="2041"/>
          </w:tcPr>
          <w:p>
            <w:pPr>
              <w:spacing w:after="0" w:line="312" w:lineRule="auto"/>
            </w:pPr>
            <w:r/>
            <w:r>
              <w:rPr>
                <w:rFonts w:ascii="맑은 고딕" w:hAnsi="맑은 고딕" w:eastAsia="맑은 고딕"/>
                <w:b w:val="0"/>
                <w:sz w:val="18"/>
              </w:rPr>
              <w:t>주관연구기관</w:t>
            </w:r>
          </w:p>
          <w:p>
            <w:pPr>
              <w:spacing w:after="0" w:line="312" w:lineRule="auto"/>
            </w:pPr>
            <w:r>
              <w:rPr>
                <w:rFonts w:ascii="맑은 고딕" w:hAnsi="맑은 고딕" w:eastAsia="맑은 고딕"/>
                <w:b w:val="0"/>
                <w:sz w:val="18"/>
              </w:rPr>
              <w:t>한양여자대학교</w:t>
            </w:r>
          </w:p>
        </w:tc>
        <w:tc>
          <w:tcPr>
            <w:tcW w:type="dxa" w:w="7370"/>
          </w:tcPr>
          <w:p>
            <w:pPr>
              <w:spacing w:after="0" w:line="312" w:lineRule="auto"/>
            </w:pPr>
            <w:r/>
            <w:r>
              <w:rPr>
                <w:rFonts w:ascii="맑은 고딕" w:hAnsi="맑은 고딕" w:eastAsia="맑은 고딕"/>
                <w:b w:val="0"/>
                <w:sz w:val="18"/>
              </w:rPr>
              <w:t>· 연구책임자(참여학과 교수, 참여율 19%) — 과제 총괄, 직무 시드 제공, 콘텐츠 검수, 논문 저술</w:t>
            </w:r>
          </w:p>
          <w:p>
            <w:pPr>
              <w:spacing w:after="0" w:line="312" w:lineRule="auto"/>
            </w:pPr>
            <w:r>
              <w:rPr>
                <w:rFonts w:ascii="맑은 고딕" w:hAnsi="맑은 고딕" w:eastAsia="맑은 고딕"/>
                <w:b w:val="0"/>
                <w:sz w:val="18"/>
              </w:rPr>
              <w:t>· 공동연구교수(AI·데이터융합학부, 참여율 19%) — 학습 데이터 분석, 성능 검증, 캡스톤 지도</w:t>
            </w:r>
          </w:p>
          <w:p>
            <w:pPr>
              <w:spacing w:after="0" w:line="312" w:lineRule="auto"/>
            </w:pPr>
            <w:r>
              <w:rPr>
                <w:rFonts w:ascii="맑은 고딕" w:hAnsi="맑은 고딕" w:eastAsia="맑은 고딕"/>
                <w:b w:val="0"/>
                <w:sz w:val="18"/>
              </w:rPr>
              <w:t>· 학생연구원 2명 — 콘텐츠 검증, 사용성 테스트, 실증 운영 보조</w:t>
            </w:r>
          </w:p>
        </w:tc>
      </w:tr>
      <w:tr>
        <w:tc>
          <w:tcPr>
            <w:tcW w:type="dxa" w:w="2041"/>
          </w:tcPr>
          <w:p>
            <w:pPr>
              <w:spacing w:after="0" w:line="312" w:lineRule="auto"/>
            </w:pPr>
            <w:r/>
            <w:r>
              <w:rPr>
                <w:rFonts w:ascii="맑은 고딕" w:hAnsi="맑은 고딕" w:eastAsia="맑은 고딕"/>
                <w:b w:val="0"/>
                <w:sz w:val="18"/>
              </w:rPr>
              <w:t>참여기업</w:t>
            </w:r>
          </w:p>
          <w:p>
            <w:pPr>
              <w:spacing w:after="0" w:line="312" w:lineRule="auto"/>
            </w:pPr>
            <w:r>
              <w:rPr>
                <w:rFonts w:ascii="맑은 고딕" w:hAnsi="맑은 고딕" w:eastAsia="맑은 고딕"/>
                <w:b w:val="0"/>
                <w:sz w:val="18"/>
              </w:rPr>
              <w:t>주식회사 오이지</w:t>
            </w:r>
          </w:p>
        </w:tc>
        <w:tc>
          <w:tcPr>
            <w:tcW w:type="dxa" w:w="7370"/>
          </w:tcPr>
          <w:p>
            <w:pPr>
              <w:spacing w:after="0" w:line="312" w:lineRule="auto"/>
            </w:pPr>
            <w:r/>
            <w:r>
              <w:rPr>
                <w:rFonts w:ascii="맑은 고딕" w:hAnsi="맑은 고딕" w:eastAsia="맑은 고딕"/>
                <w:b w:val="0"/>
                <w:sz w:val="18"/>
              </w:rPr>
              <w:t>· 대표 참여연구자 — 저작·출판·말하기 엔진 설계 및 개발 총괄</w:t>
            </w:r>
          </w:p>
          <w:p>
            <w:pPr>
              <w:spacing w:after="0" w:line="312" w:lineRule="auto"/>
            </w:pPr>
            <w:r>
              <w:rPr>
                <w:rFonts w:ascii="맑은 고딕" w:hAnsi="맑은 고딕" w:eastAsia="맑은 고딕"/>
                <w:b w:val="0"/>
                <w:sz w:val="18"/>
              </w:rPr>
              <w:t>· 참여연구원 1명 — 구현, 데이터 파이프라인 구축</w:t>
            </w:r>
          </w:p>
          <w:p>
            <w:pPr>
              <w:spacing w:after="0" w:line="312" w:lineRule="auto"/>
            </w:pPr>
            <w:r>
              <w:rPr>
                <w:rFonts w:ascii="맑은 고딕" w:hAnsi="맑은 고딕" w:eastAsia="맑은 고딕"/>
                <w:b w:val="0"/>
                <w:sz w:val="18"/>
              </w:rPr>
              <w:t>· 학생연구원 멘토링 및 현장 참여 지원</w:t>
            </w:r>
          </w:p>
        </w:tc>
      </w:tr>
      <w:tr>
        <w:tc>
          <w:tcPr>
            <w:tcW w:type="dxa" w:w="2041"/>
          </w:tcPr>
          <w:p>
            <w:pPr>
              <w:spacing w:after="0" w:line="312" w:lineRule="auto"/>
              <w:jc w:val="center"/>
            </w:pPr>
            <w:r/>
            <w:r>
              <w:rPr>
                <w:rFonts w:ascii="맑은 고딕" w:hAnsi="맑은 고딕" w:eastAsia="맑은 고딕"/>
                <w:b w:val="0"/>
                <w:sz w:val="18"/>
              </w:rPr>
              <w:t>외부 인력</w:t>
            </w:r>
          </w:p>
        </w:tc>
        <w:tc>
          <w:tcPr>
            <w:tcW w:type="dxa" w:w="7370"/>
          </w:tcPr>
          <w:p>
            <w:pPr>
              <w:spacing w:after="0" w:line="312" w:lineRule="auto"/>
            </w:pPr>
            <w:r/>
            <w:r>
              <w:rPr>
                <w:rFonts w:ascii="맑은 고딕" w:hAnsi="맑은 고딕" w:eastAsia="맑은 고딕"/>
                <w:b w:val="0"/>
                <w:sz w:val="18"/>
              </w:rPr>
              <w:t>· 프리랜서 개발·디자인 1명 — 조판·UI 구현 지원</w:t>
            </w:r>
          </w:p>
        </w:tc>
      </w:tr>
      <w:tr>
        <w:tc>
          <w:tcPr>
            <w:tcW w:type="dxa" w:w="2041"/>
          </w:tcPr>
          <w:p>
            <w:pPr>
              <w:spacing w:after="0" w:line="312" w:lineRule="auto"/>
              <w:jc w:val="center"/>
            </w:pPr>
            <w:r/>
            <w:r>
              <w:rPr>
                <w:rFonts w:ascii="맑은 고딕" w:hAnsi="맑은 고딕" w:eastAsia="맑은 고딕"/>
                <w:b w:val="0"/>
                <w:sz w:val="18"/>
              </w:rPr>
              <w:t>실증 대상</w:t>
            </w:r>
          </w:p>
        </w:tc>
        <w:tc>
          <w:tcPr>
            <w:tcW w:type="dxa" w:w="7370"/>
          </w:tcPr>
          <w:p>
            <w:pPr>
              <w:spacing w:after="0" w:line="312" w:lineRule="auto"/>
            </w:pPr>
            <w:r/>
            <w:r>
              <w:rPr>
                <w:rFonts w:ascii="맑은 고딕" w:hAnsi="맑은 고딕" w:eastAsia="맑은 고딕"/>
                <w:b w:val="0"/>
                <w:sz w:val="18"/>
              </w:rPr>
              <w:t>· 참여학과 재학생 30명 — 학습·말하기 실습 파일럿 참여, 역량 리포트 수령</w:t>
            </w:r>
          </w:p>
        </w:tc>
      </w:tr>
    </w:tbl>
    <w:p>
      <w:pPr>
        <w:spacing w:before="200" w:after="60" w:line="348" w:lineRule="auto"/>
      </w:pPr>
      <w:r>
        <w:rPr>
          <w:rFonts w:ascii="맑은 고딕" w:hAnsi="맑은 고딕" w:eastAsia="맑은 고딕"/>
          <w:b/>
          <w:sz w:val="20"/>
        </w:rPr>
        <w:t>나. 협력 및 의사결정 체계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1928"/>
            <w:shd w:val="clear" w:color="auto" w:fill="E8E8E8"/>
          </w:tcPr>
          <w:p>
            <w:pPr>
              <w:spacing w:after="0" w:line="312" w:lineRule="auto"/>
              <w:jc w:val="center"/>
            </w:pPr>
            <w:r/>
            <w:r>
              <w:rPr>
                <w:rFonts w:ascii="맑은 고딕" w:hAnsi="맑은 고딕" w:eastAsia="맑은 고딕"/>
                <w:b/>
                <w:sz w:val="18"/>
              </w:rPr>
              <w:t>항목</w:t>
            </w:r>
          </w:p>
        </w:tc>
        <w:tc>
          <w:tcPr>
            <w:tcW w:type="dxa" w:w="7483"/>
            <w:shd w:val="clear" w:color="auto" w:fill="E8E8E8"/>
          </w:tcPr>
          <w:p>
            <w:pPr>
              <w:spacing w:after="0" w:line="312" w:lineRule="auto"/>
              <w:jc w:val="center"/>
            </w:pPr>
            <w:r/>
            <w:r>
              <w:rPr>
                <w:rFonts w:ascii="맑은 고딕" w:hAnsi="맑은 고딕" w:eastAsia="맑은 고딕"/>
                <w:b/>
                <w:sz w:val="18"/>
              </w:rPr>
              <w:t>내용</w:t>
            </w:r>
          </w:p>
        </w:tc>
      </w:tr>
      <w:tr>
        <w:tc>
          <w:tcPr>
            <w:tcW w:type="dxa" w:w="1928"/>
          </w:tcPr>
          <w:p>
            <w:pPr>
              <w:spacing w:after="0" w:line="312" w:lineRule="auto"/>
              <w:jc w:val="center"/>
            </w:pPr>
            <w:r/>
            <w:r>
              <w:rPr>
                <w:rFonts w:ascii="맑은 고딕" w:hAnsi="맑은 고딕" w:eastAsia="맑은 고딕"/>
                <w:b w:val="0"/>
                <w:sz w:val="18"/>
              </w:rPr>
              <w:t>정례 회의</w:t>
            </w:r>
          </w:p>
        </w:tc>
        <w:tc>
          <w:tcPr>
            <w:tcW w:type="dxa" w:w="7483"/>
          </w:tcPr>
          <w:p>
            <w:pPr>
              <w:spacing w:after="0" w:line="312" w:lineRule="auto"/>
            </w:pPr>
            <w:r/>
            <w:r>
              <w:rPr>
                <w:rFonts w:ascii="맑은 고딕" w:hAnsi="맑은 고딕" w:eastAsia="맑은 고딕"/>
                <w:b w:val="0"/>
                <w:sz w:val="18"/>
              </w:rPr>
              <w:t>격주 1회 대학·기업 합동 진행회의 (온·오프라인 병행). 진척 점검 및 이슈 해소</w:t>
            </w:r>
          </w:p>
        </w:tc>
      </w:tr>
      <w:tr>
        <w:tc>
          <w:tcPr>
            <w:tcW w:type="dxa" w:w="1928"/>
          </w:tcPr>
          <w:p>
            <w:pPr>
              <w:spacing w:after="0" w:line="312" w:lineRule="auto"/>
              <w:jc w:val="center"/>
            </w:pPr>
            <w:r/>
            <w:r>
              <w:rPr>
                <w:rFonts w:ascii="맑은 고딕" w:hAnsi="맑은 고딕" w:eastAsia="맑은 고딕"/>
                <w:b w:val="0"/>
                <w:sz w:val="18"/>
              </w:rPr>
              <w:t>콘텐츠 검수 주기</w:t>
            </w:r>
          </w:p>
        </w:tc>
        <w:tc>
          <w:tcPr>
            <w:tcW w:type="dxa" w:w="7483"/>
          </w:tcPr>
          <w:p>
            <w:pPr>
              <w:spacing w:after="0" w:line="312" w:lineRule="auto"/>
            </w:pPr>
            <w:r/>
            <w:r>
              <w:rPr>
                <w:rFonts w:ascii="맑은 고딕" w:hAnsi="맑은 고딕" w:eastAsia="맑은 고딕"/>
                <w:b w:val="0"/>
                <w:sz w:val="18"/>
              </w:rPr>
              <w:t>생성 콘텐츠에 대해 주 1회 교수 일괄 검수. 검수 결과는 다음 생성 프롬프트에 환류</w:t>
            </w:r>
          </w:p>
        </w:tc>
      </w:tr>
      <w:tr>
        <w:tc>
          <w:tcPr>
            <w:tcW w:type="dxa" w:w="1928"/>
          </w:tcPr>
          <w:p>
            <w:pPr>
              <w:spacing w:after="0" w:line="312" w:lineRule="auto"/>
              <w:jc w:val="center"/>
            </w:pPr>
            <w:r/>
            <w:r>
              <w:rPr>
                <w:rFonts w:ascii="맑은 고딕" w:hAnsi="맑은 고딕" w:eastAsia="맑은 고딕"/>
                <w:b w:val="0"/>
                <w:sz w:val="18"/>
              </w:rPr>
              <w:t>의사결정</w:t>
            </w:r>
          </w:p>
        </w:tc>
        <w:tc>
          <w:tcPr>
            <w:tcW w:type="dxa" w:w="7483"/>
          </w:tcPr>
          <w:p>
            <w:pPr>
              <w:spacing w:after="0" w:line="312" w:lineRule="auto"/>
            </w:pPr>
            <w:r/>
            <w:r>
              <w:rPr>
                <w:rFonts w:ascii="맑은 고딕" w:hAnsi="맑은 고딕" w:eastAsia="맑은 고딕"/>
                <w:b w:val="0"/>
                <w:sz w:val="18"/>
              </w:rPr>
              <w:t>기술 구현 방식은 기업이, 교육적 타당성·콘텐츠 채택은 대학이 최종 결정</w:t>
            </w:r>
          </w:p>
        </w:tc>
      </w:tr>
      <w:tr>
        <w:tc>
          <w:tcPr>
            <w:tcW w:type="dxa" w:w="1928"/>
          </w:tcPr>
          <w:p>
            <w:pPr>
              <w:spacing w:after="0" w:line="312" w:lineRule="auto"/>
              <w:jc w:val="center"/>
            </w:pPr>
            <w:r/>
            <w:r>
              <w:rPr>
                <w:rFonts w:ascii="맑은 고딕" w:hAnsi="맑은 고딕" w:eastAsia="맑은 고딕"/>
                <w:b w:val="0"/>
                <w:sz w:val="18"/>
              </w:rPr>
              <w:t>산출물 관리</w:t>
            </w:r>
          </w:p>
        </w:tc>
        <w:tc>
          <w:tcPr>
            <w:tcW w:type="dxa" w:w="7483"/>
          </w:tcPr>
          <w:p>
            <w:pPr>
              <w:spacing w:after="0" w:line="312" w:lineRule="auto"/>
            </w:pPr>
            <w:r/>
            <w:r>
              <w:rPr>
                <w:rFonts w:ascii="맑은 고딕" w:hAnsi="맑은 고딕" w:eastAsia="맑은 고딕"/>
                <w:b w:val="0"/>
                <w:sz w:val="18"/>
              </w:rPr>
              <w:t>「국가연구개발사업 연구노트 지침」에 준하여 연구노트를 기록·관리</w:t>
            </w:r>
          </w:p>
        </w:tc>
      </w:tr>
      <w:tr>
        <w:tc>
          <w:tcPr>
            <w:tcW w:type="dxa" w:w="1928"/>
          </w:tcPr>
          <w:p>
            <w:pPr>
              <w:spacing w:after="0" w:line="312" w:lineRule="auto"/>
              <w:jc w:val="center"/>
            </w:pPr>
            <w:r/>
            <w:r>
              <w:rPr>
                <w:rFonts w:ascii="맑은 고딕" w:hAnsi="맑은 고딕" w:eastAsia="맑은 고딕"/>
                <w:b w:val="0"/>
                <w:sz w:val="18"/>
              </w:rPr>
              <w:t>중간 점검</w:t>
            </w:r>
          </w:p>
        </w:tc>
        <w:tc>
          <w:tcPr>
            <w:tcW w:type="dxa" w:w="7483"/>
          </w:tcPr>
          <w:p>
            <w:pPr>
              <w:spacing w:after="0" w:line="312" w:lineRule="auto"/>
            </w:pPr>
            <w:r/>
            <w:r>
              <w:rPr>
                <w:rFonts w:ascii="맑은 고딕" w:hAnsi="맑은 고딕" w:eastAsia="맑은 고딕"/>
                <w:b w:val="0"/>
                <w:sz w:val="18"/>
              </w:rPr>
              <w:t>11.25. 중간보고 시점에 정량 목표 대비 달성률을 점검하고, 12월 실증 스코프를 조정</w:t>
            </w:r>
          </w:p>
        </w:tc>
      </w:tr>
      <w:tr>
        <w:tc>
          <w:tcPr>
            <w:tcW w:type="dxa" w:w="1928"/>
          </w:tcPr>
          <w:p>
            <w:pPr>
              <w:spacing w:after="0" w:line="312" w:lineRule="auto"/>
              <w:jc w:val="center"/>
            </w:pPr>
            <w:r/>
            <w:r>
              <w:rPr>
                <w:rFonts w:ascii="맑은 고딕" w:hAnsi="맑은 고딕" w:eastAsia="맑은 고딕"/>
                <w:b w:val="0"/>
                <w:sz w:val="18"/>
              </w:rPr>
              <w:t>성과 귀속</w:t>
            </w:r>
          </w:p>
        </w:tc>
        <w:tc>
          <w:tcPr>
            <w:tcW w:type="dxa" w:w="7483"/>
          </w:tcPr>
          <w:p>
            <w:pPr>
              <w:spacing w:after="0" w:line="312" w:lineRule="auto"/>
            </w:pPr>
            <w:r/>
            <w:r>
              <w:rPr>
                <w:rFonts w:ascii="맑은 고딕" w:hAnsi="맑은 고딕" w:eastAsia="맑은 고딕"/>
                <w:b w:val="0"/>
                <w:sz w:val="18"/>
              </w:rPr>
              <w:t>연구개발성과의 소유·활용은 관리매뉴얼에 따라 협약 단계에서 확정. 참여 유형과 기여 비중에 따른 공동 소유 여부를 사전 합의</w:t>
            </w:r>
          </w:p>
        </w:tc>
      </w:tr>
    </w:tbl>
    <w:p>
      <w:pPr>
        <w:spacing w:after="80" w:before="60"/>
      </w:pPr>
      <w:r>
        <w:rPr>
          <w:rFonts w:ascii="맑은 고딕" w:hAnsi="맑은 고딕" w:eastAsia="맑은 고딕"/>
          <w:color w:val="C00000"/>
          <w:sz w:val="17"/>
        </w:rPr>
        <w:t>※ 참여기업이 보유한 기존 기술 자산과 본 과제 산출물의 경계를 협약서에 명시할 필요가 있음(사업단 협의 사항).</w:t>
      </w:r>
    </w:p>
    <w:p>
      <w:pPr>
        <w:spacing w:before="200" w:after="60" w:line="348" w:lineRule="auto"/>
      </w:pPr>
      <w:r>
        <w:rPr>
          <w:rFonts w:ascii="맑은 고딕" w:hAnsi="맑은 고딕" w:eastAsia="맑은 고딕"/>
          <w:b/>
          <w:sz w:val="20"/>
        </w:rPr>
        <w:t>다. 추진 절차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1020"/>
            <w:shd w:val="clear" w:color="auto" w:fill="E8E8E8"/>
          </w:tcPr>
          <w:p>
            <w:pPr>
              <w:spacing w:after="0" w:line="312" w:lineRule="auto"/>
              <w:jc w:val="center"/>
            </w:pPr>
            <w:r/>
            <w:r>
              <w:rPr>
                <w:rFonts w:ascii="맑은 고딕" w:hAnsi="맑은 고딕" w:eastAsia="맑은 고딕"/>
                <w:b/>
                <w:sz w:val="18"/>
              </w:rPr>
              <w:t>단계</w:t>
            </w:r>
          </w:p>
        </w:tc>
        <w:tc>
          <w:tcPr>
            <w:tcW w:type="dxa" w:w="5896"/>
            <w:shd w:val="clear" w:color="auto" w:fill="E8E8E8"/>
          </w:tcPr>
          <w:p>
            <w:pPr>
              <w:spacing w:after="0" w:line="312" w:lineRule="auto"/>
              <w:jc w:val="center"/>
            </w:pPr>
            <w:r/>
            <w:r>
              <w:rPr>
                <w:rFonts w:ascii="맑은 고딕" w:hAnsi="맑은 고딕" w:eastAsia="맑은 고딕"/>
                <w:b/>
                <w:sz w:val="18"/>
              </w:rPr>
              <w:t>절차</w:t>
            </w:r>
          </w:p>
        </w:tc>
        <w:tc>
          <w:tcPr>
            <w:tcW w:type="dxa" w:w="2494"/>
            <w:shd w:val="clear" w:color="auto" w:fill="E8E8E8"/>
          </w:tcPr>
          <w:p>
            <w:pPr>
              <w:spacing w:after="0" w:line="312" w:lineRule="auto"/>
              <w:jc w:val="center"/>
            </w:pPr>
            <w:r/>
            <w:r>
              <w:rPr>
                <w:rFonts w:ascii="맑은 고딕" w:hAnsi="맑은 고딕" w:eastAsia="맑은 고딕"/>
                <w:b/>
                <w:sz w:val="18"/>
              </w:rPr>
              <w:t>산출</w:t>
            </w:r>
          </w:p>
        </w:tc>
      </w:tr>
      <w:tr>
        <w:tc>
          <w:tcPr>
            <w:tcW w:type="dxa" w:w="1020"/>
          </w:tcPr>
          <w:p>
            <w:pPr>
              <w:spacing w:after="0" w:line="312" w:lineRule="auto"/>
              <w:jc w:val="center"/>
            </w:pPr>
            <w:r/>
            <w:r>
              <w:rPr>
                <w:rFonts w:ascii="맑은 고딕" w:hAnsi="맑은 고딕" w:eastAsia="맑은 고딕"/>
                <w:b w:val="0"/>
                <w:sz w:val="18"/>
              </w:rPr>
              <w:t>1단계</w:t>
            </w:r>
          </w:p>
        </w:tc>
        <w:tc>
          <w:tcPr>
            <w:tcW w:type="dxa" w:w="5896"/>
          </w:tcPr>
          <w:p>
            <w:pPr>
              <w:spacing w:after="0" w:line="312" w:lineRule="auto"/>
            </w:pPr>
            <w:r/>
            <w:r>
              <w:rPr>
                <w:rFonts w:ascii="맑은 고딕" w:hAnsi="맑은 고딕" w:eastAsia="맑은 고딕"/>
                <w:b w:val="0"/>
                <w:sz w:val="18"/>
              </w:rPr>
              <w:t>직무 시드 확보 — 교수·기업·학생 공동 워크숍으로 직무 상황·용어·시나리오 도출</w:t>
            </w:r>
          </w:p>
        </w:tc>
        <w:tc>
          <w:tcPr>
            <w:tcW w:type="dxa" w:w="2494"/>
          </w:tcPr>
          <w:p>
            <w:pPr>
              <w:spacing w:after="0" w:line="312" w:lineRule="auto"/>
              <w:jc w:val="center"/>
            </w:pPr>
            <w:r/>
            <w:r>
              <w:rPr>
                <w:rFonts w:ascii="맑은 고딕" w:hAnsi="맑은 고딕" w:eastAsia="맑은 고딕"/>
                <w:b w:val="0"/>
                <w:sz w:val="18"/>
              </w:rPr>
              <w:t>직무 스코프 정의</w:t>
            </w:r>
          </w:p>
        </w:tc>
      </w:tr>
      <w:tr>
        <w:tc>
          <w:tcPr>
            <w:tcW w:type="dxa" w:w="1020"/>
          </w:tcPr>
          <w:p>
            <w:pPr>
              <w:spacing w:after="0" w:line="312" w:lineRule="auto"/>
              <w:jc w:val="center"/>
            </w:pPr>
            <w:r/>
            <w:r>
              <w:rPr>
                <w:rFonts w:ascii="맑은 고딕" w:hAnsi="맑은 고딕" w:eastAsia="맑은 고딕"/>
                <w:b w:val="0"/>
                <w:sz w:val="18"/>
              </w:rPr>
              <w:t>2단계</w:t>
            </w:r>
          </w:p>
        </w:tc>
        <w:tc>
          <w:tcPr>
            <w:tcW w:type="dxa" w:w="5896"/>
          </w:tcPr>
          <w:p>
            <w:pPr>
              <w:spacing w:after="0" w:line="312" w:lineRule="auto"/>
            </w:pPr>
            <w:r/>
            <w:r>
              <w:rPr>
                <w:rFonts w:ascii="맑은 고딕" w:hAnsi="맑은 고딕" w:eastAsia="맑은 고딕"/>
                <w:b w:val="0"/>
                <w:sz w:val="18"/>
              </w:rPr>
              <w:t>콘텐츠 생성·검수 — 시드 기반 AI 생성 → 난이도 자동 추정 → 교수 검수 → 라이브러리 축적</w:t>
            </w:r>
          </w:p>
        </w:tc>
        <w:tc>
          <w:tcPr>
            <w:tcW w:type="dxa" w:w="2494"/>
          </w:tcPr>
          <w:p>
            <w:pPr>
              <w:spacing w:after="0" w:line="312" w:lineRule="auto"/>
              <w:jc w:val="center"/>
            </w:pPr>
            <w:r/>
            <w:r>
              <w:rPr>
                <w:rFonts w:ascii="맑은 고딕" w:hAnsi="맑은 고딕" w:eastAsia="맑은 고딕"/>
                <w:b w:val="0"/>
                <w:sz w:val="18"/>
              </w:rPr>
              <w:t>승인 콘텐츠 20단원</w:t>
            </w:r>
          </w:p>
        </w:tc>
      </w:tr>
      <w:tr>
        <w:tc>
          <w:tcPr>
            <w:tcW w:type="dxa" w:w="1020"/>
          </w:tcPr>
          <w:p>
            <w:pPr>
              <w:spacing w:after="0" w:line="312" w:lineRule="auto"/>
              <w:jc w:val="center"/>
            </w:pPr>
            <w:r/>
            <w:r>
              <w:rPr>
                <w:rFonts w:ascii="맑은 고딕" w:hAnsi="맑은 고딕" w:eastAsia="맑은 고딕"/>
                <w:b w:val="0"/>
                <w:sz w:val="18"/>
              </w:rPr>
              <w:t>3단계</w:t>
            </w:r>
          </w:p>
        </w:tc>
        <w:tc>
          <w:tcPr>
            <w:tcW w:type="dxa" w:w="5896"/>
          </w:tcPr>
          <w:p>
            <w:pPr>
              <w:spacing w:after="0" w:line="312" w:lineRule="auto"/>
            </w:pPr>
            <w:r/>
            <w:r>
              <w:rPr>
                <w:rFonts w:ascii="맑은 고딕" w:hAnsi="맑은 고딕" w:eastAsia="맑은 고딕"/>
                <w:b w:val="0"/>
                <w:sz w:val="18"/>
              </w:rPr>
              <w:t>교재 출간 — 북빌더 목차 구성 → 단일 원본 확정 → 전자책·인쇄 PDF 동시 출력</w:t>
            </w:r>
          </w:p>
        </w:tc>
        <w:tc>
          <w:tcPr>
            <w:tcW w:type="dxa" w:w="2494"/>
          </w:tcPr>
          <w:p>
            <w:pPr>
              <w:spacing w:after="0" w:line="312" w:lineRule="auto"/>
              <w:jc w:val="center"/>
            </w:pPr>
            <w:r/>
            <w:r>
              <w:rPr>
                <w:rFonts w:ascii="맑은 고딕" w:hAnsi="맑은 고딕" w:eastAsia="맑은 고딕"/>
                <w:b w:val="0"/>
                <w:sz w:val="18"/>
              </w:rPr>
              <w:t>시범 교재 1종</w:t>
            </w:r>
          </w:p>
        </w:tc>
      </w:tr>
      <w:tr>
        <w:tc>
          <w:tcPr>
            <w:tcW w:type="dxa" w:w="1020"/>
          </w:tcPr>
          <w:p>
            <w:pPr>
              <w:spacing w:after="0" w:line="312" w:lineRule="auto"/>
              <w:jc w:val="center"/>
            </w:pPr>
            <w:r/>
            <w:r>
              <w:rPr>
                <w:rFonts w:ascii="맑은 고딕" w:hAnsi="맑은 고딕" w:eastAsia="맑은 고딕"/>
                <w:b w:val="0"/>
                <w:sz w:val="18"/>
              </w:rPr>
              <w:t>4단계</w:t>
            </w:r>
          </w:p>
        </w:tc>
        <w:tc>
          <w:tcPr>
            <w:tcW w:type="dxa" w:w="5896"/>
          </w:tcPr>
          <w:p>
            <w:pPr>
              <w:spacing w:after="0" w:line="312" w:lineRule="auto"/>
            </w:pPr>
            <w:r/>
            <w:r>
              <w:rPr>
                <w:rFonts w:ascii="맑은 고딕" w:hAnsi="맑은 고딕" w:eastAsia="맑은 고딕"/>
                <w:b w:val="0"/>
                <w:sz w:val="18"/>
              </w:rPr>
              <w:t>실습 실행 — 교재 연동 학습 및 직무 롤플레이 수행, 과정 데이터 수집</w:t>
            </w:r>
          </w:p>
        </w:tc>
        <w:tc>
          <w:tcPr>
            <w:tcW w:type="dxa" w:w="2494"/>
          </w:tcPr>
          <w:p>
            <w:pPr>
              <w:spacing w:after="0" w:line="312" w:lineRule="auto"/>
              <w:jc w:val="center"/>
            </w:pPr>
            <w:r/>
            <w:r>
              <w:rPr>
                <w:rFonts w:ascii="맑은 고딕" w:hAnsi="맑은 고딕" w:eastAsia="맑은 고딕"/>
                <w:b w:val="0"/>
                <w:sz w:val="18"/>
              </w:rPr>
              <w:t>실증 데이터</w:t>
            </w:r>
          </w:p>
        </w:tc>
      </w:tr>
      <w:tr>
        <w:tc>
          <w:tcPr>
            <w:tcW w:type="dxa" w:w="1020"/>
          </w:tcPr>
          <w:p>
            <w:pPr>
              <w:spacing w:after="0" w:line="312" w:lineRule="auto"/>
              <w:jc w:val="center"/>
            </w:pPr>
            <w:r/>
            <w:r>
              <w:rPr>
                <w:rFonts w:ascii="맑은 고딕" w:hAnsi="맑은 고딕" w:eastAsia="맑은 고딕"/>
                <w:b w:val="0"/>
                <w:sz w:val="18"/>
              </w:rPr>
              <w:t>5단계</w:t>
            </w:r>
          </w:p>
        </w:tc>
        <w:tc>
          <w:tcPr>
            <w:tcW w:type="dxa" w:w="5896"/>
          </w:tcPr>
          <w:p>
            <w:pPr>
              <w:spacing w:after="0" w:line="312" w:lineRule="auto"/>
            </w:pPr>
            <w:r/>
            <w:r>
              <w:rPr>
                <w:rFonts w:ascii="맑은 고딕" w:hAnsi="맑은 고딕" w:eastAsia="맑은 고딕"/>
                <w:b w:val="0"/>
                <w:sz w:val="18"/>
              </w:rPr>
              <w:t>성과 증명 — 수집 데이터로 역량 리포트 산출, 정량 목표 대비 검증</w:t>
            </w:r>
          </w:p>
        </w:tc>
        <w:tc>
          <w:tcPr>
            <w:tcW w:type="dxa" w:w="2494"/>
          </w:tcPr>
          <w:p>
            <w:pPr>
              <w:spacing w:after="0" w:line="312" w:lineRule="auto"/>
              <w:jc w:val="center"/>
            </w:pPr>
            <w:r/>
            <w:r>
              <w:rPr>
                <w:rFonts w:ascii="맑은 고딕" w:hAnsi="맑은 고딕" w:eastAsia="맑은 고딕"/>
                <w:b w:val="0"/>
                <w:sz w:val="18"/>
              </w:rPr>
              <w:t>역량 리포트, 검증 보고서</w:t>
            </w:r>
          </w:p>
        </w:tc>
      </w:tr>
      <w:tr>
        <w:tc>
          <w:tcPr>
            <w:tcW w:type="dxa" w:w="1020"/>
          </w:tcPr>
          <w:p>
            <w:pPr>
              <w:spacing w:after="0" w:line="312" w:lineRule="auto"/>
              <w:jc w:val="center"/>
            </w:pPr>
            <w:r/>
            <w:r>
              <w:rPr>
                <w:rFonts w:ascii="맑은 고딕" w:hAnsi="맑은 고딕" w:eastAsia="맑은 고딕"/>
                <w:b w:val="0"/>
                <w:sz w:val="18"/>
              </w:rPr>
              <w:t>환류</w:t>
            </w:r>
          </w:p>
        </w:tc>
        <w:tc>
          <w:tcPr>
            <w:tcW w:type="dxa" w:w="5896"/>
          </w:tcPr>
          <w:p>
            <w:pPr>
              <w:spacing w:after="0" w:line="312" w:lineRule="auto"/>
            </w:pPr>
            <w:r/>
            <w:r>
              <w:rPr>
                <w:rFonts w:ascii="맑은 고딕" w:hAnsi="맑은 고딕" w:eastAsia="맑은 고딕"/>
                <w:b w:val="0"/>
                <w:sz w:val="18"/>
              </w:rPr>
              <w:t>검증 결과를 콘텐츠 개정과 생성 프롬프트에 반영</w:t>
            </w:r>
          </w:p>
        </w:tc>
        <w:tc>
          <w:tcPr>
            <w:tcW w:type="dxa" w:w="2494"/>
          </w:tcPr>
          <w:p>
            <w:pPr>
              <w:spacing w:after="0" w:line="312" w:lineRule="auto"/>
              <w:jc w:val="center"/>
            </w:pPr>
            <w:r/>
            <w:r>
              <w:rPr>
                <w:rFonts w:ascii="맑은 고딕" w:hAnsi="맑은 고딕" w:eastAsia="맑은 고딕"/>
                <w:b w:val="0"/>
                <w:sz w:val="18"/>
              </w:rPr>
              <w:t>개정 이력</w:t>
            </w:r>
          </w:p>
        </w:tc>
      </w:tr>
    </w:tbl>
    <w:p>
      <w:r>
        <w:br w:type="page"/>
      </w:r>
    </w:p>
    <w:p>
      <w:pPr>
        <w:spacing w:before="120" w:after="160"/>
      </w:pPr>
      <w:r>
        <w:rPr>
          <w:rFonts w:ascii="맑은 고딕" w:hAnsi="맑은 고딕" w:eastAsia="맑은 고딕"/>
          <w:b/>
          <w:sz w:val="28"/>
        </w:rPr>
        <w:t>4. 연구개발성과의 활용방안 및 기대효과</w:t>
      </w:r>
    </w:p>
    <w:p>
      <w:pPr>
        <w:spacing w:before="240" w:after="100"/>
      </w:pPr>
      <w:r>
        <w:rPr>
          <w:rFonts w:ascii="맑은 고딕" w:hAnsi="맑은 고딕" w:eastAsia="맑은 고딕"/>
          <w:b/>
          <w:sz w:val="23"/>
        </w:rPr>
        <w:t>1) 연구개발성과의 활용방안</w:t>
      </w:r>
    </w:p>
    <w:p>
      <w:pPr>
        <w:spacing w:before="120" w:after="60" w:line="348" w:lineRule="auto"/>
      </w:pPr>
      <w:r>
        <w:rPr>
          <w:rFonts w:ascii="맑은 고딕" w:hAnsi="맑은 고딕" w:eastAsia="맑은 고딕"/>
          <w:b/>
          <w:sz w:val="20"/>
        </w:rPr>
        <w:t>가. 성과물별 활용 계획</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2381"/>
            <w:shd w:val="clear" w:color="auto" w:fill="E8E8E8"/>
          </w:tcPr>
          <w:p>
            <w:pPr>
              <w:spacing w:after="0" w:line="312" w:lineRule="auto"/>
              <w:jc w:val="center"/>
            </w:pPr>
            <w:r/>
            <w:r>
              <w:rPr>
                <w:rFonts w:ascii="맑은 고딕" w:hAnsi="맑은 고딕" w:eastAsia="맑은 고딕"/>
                <w:b/>
                <w:sz w:val="18"/>
              </w:rPr>
              <w:t>연구개발성과</w:t>
            </w:r>
          </w:p>
        </w:tc>
        <w:tc>
          <w:tcPr>
            <w:tcW w:type="dxa" w:w="2381"/>
            <w:shd w:val="clear" w:color="auto" w:fill="E8E8E8"/>
          </w:tcPr>
          <w:p>
            <w:pPr>
              <w:spacing w:after="0" w:line="312" w:lineRule="auto"/>
              <w:jc w:val="center"/>
            </w:pPr>
            <w:r/>
            <w:r>
              <w:rPr>
                <w:rFonts w:ascii="맑은 고딕" w:hAnsi="맑은 고딕" w:eastAsia="맑은 고딕"/>
                <w:b/>
                <w:sz w:val="18"/>
              </w:rPr>
              <w:t>수요처</w:t>
            </w:r>
          </w:p>
        </w:tc>
        <w:tc>
          <w:tcPr>
            <w:tcW w:type="dxa" w:w="4649"/>
            <w:shd w:val="clear" w:color="auto" w:fill="E8E8E8"/>
          </w:tcPr>
          <w:p>
            <w:pPr>
              <w:spacing w:after="0" w:line="312" w:lineRule="auto"/>
              <w:jc w:val="center"/>
            </w:pPr>
            <w:r/>
            <w:r>
              <w:rPr>
                <w:rFonts w:ascii="맑은 고딕" w:hAnsi="맑은 고딕" w:eastAsia="맑은 고딕"/>
                <w:b/>
                <w:sz w:val="18"/>
              </w:rPr>
              <w:t>활용 내용</w:t>
            </w:r>
          </w:p>
        </w:tc>
      </w:tr>
      <w:tr>
        <w:tc>
          <w:tcPr>
            <w:tcW w:type="dxa" w:w="2381"/>
          </w:tcPr>
          <w:p>
            <w:pPr>
              <w:spacing w:after="0" w:line="312" w:lineRule="auto"/>
            </w:pPr>
            <w:r/>
            <w:r>
              <w:rPr>
                <w:rFonts w:ascii="맑은 고딕" w:hAnsi="맑은 고딕" w:eastAsia="맑은 고딕"/>
                <w:b w:val="0"/>
                <w:sz w:val="18"/>
              </w:rPr>
              <w:t>콘텐츠 저작 엔진 및 검수 시스템</w:t>
            </w:r>
          </w:p>
        </w:tc>
        <w:tc>
          <w:tcPr>
            <w:tcW w:type="dxa" w:w="2381"/>
          </w:tcPr>
          <w:p>
            <w:pPr>
              <w:spacing w:after="0" w:line="312" w:lineRule="auto"/>
            </w:pPr>
            <w:r/>
            <w:r>
              <w:rPr>
                <w:rFonts w:ascii="맑은 고딕" w:hAnsi="맑은 고딕" w:eastAsia="맑은 고딕"/>
                <w:b w:val="0"/>
                <w:sz w:val="18"/>
              </w:rPr>
              <w:t>참여학과 및 교내 타 학과 교수</w:t>
            </w:r>
          </w:p>
        </w:tc>
        <w:tc>
          <w:tcPr>
            <w:tcW w:type="dxa" w:w="4649"/>
          </w:tcPr>
          <w:p>
            <w:pPr>
              <w:spacing w:after="0" w:line="312" w:lineRule="auto"/>
            </w:pPr>
            <w:r/>
            <w:r>
              <w:rPr>
                <w:rFonts w:ascii="맑은 고딕" w:hAnsi="맑은 고딕" w:eastAsia="맑은 고딕"/>
                <w:b w:val="0"/>
                <w:sz w:val="18"/>
              </w:rPr>
              <w:t>학기별 강의자료 제작에 상시 활용. 학과 확대 시 동일 엔진 재사용</w:t>
            </w:r>
          </w:p>
        </w:tc>
      </w:tr>
      <w:tr>
        <w:tc>
          <w:tcPr>
            <w:tcW w:type="dxa" w:w="2381"/>
          </w:tcPr>
          <w:p>
            <w:pPr>
              <w:spacing w:after="0" w:line="312" w:lineRule="auto"/>
            </w:pPr>
            <w:r/>
            <w:r>
              <w:rPr>
                <w:rFonts w:ascii="맑은 고딕" w:hAnsi="맑은 고딕" w:eastAsia="맑은 고딕"/>
                <w:b w:val="0"/>
                <w:sz w:val="18"/>
              </w:rPr>
              <w:t>ESP 콘텐츠 라이브러리 (20단원)</w:t>
            </w:r>
          </w:p>
        </w:tc>
        <w:tc>
          <w:tcPr>
            <w:tcW w:type="dxa" w:w="2381"/>
          </w:tcPr>
          <w:p>
            <w:pPr>
              <w:spacing w:after="0" w:line="312" w:lineRule="auto"/>
              <w:jc w:val="center"/>
            </w:pPr>
            <w:r/>
            <w:r>
              <w:rPr>
                <w:rFonts w:ascii="맑은 고딕" w:hAnsi="맑은 고딕" w:eastAsia="맑은 고딕"/>
                <w:b w:val="0"/>
                <w:sz w:val="18"/>
              </w:rPr>
              <w:t>참여학과 교과·비교과 과정</w:t>
            </w:r>
          </w:p>
        </w:tc>
        <w:tc>
          <w:tcPr>
            <w:tcW w:type="dxa" w:w="4649"/>
          </w:tcPr>
          <w:p>
            <w:pPr>
              <w:spacing w:after="0" w:line="312" w:lineRule="auto"/>
            </w:pPr>
            <w:r/>
            <w:r>
              <w:rPr>
                <w:rFonts w:ascii="맑은 고딕" w:hAnsi="맑은 고딕" w:eastAsia="맑은 고딕"/>
                <w:b w:val="0"/>
                <w:sz w:val="18"/>
              </w:rPr>
              <w:t>교재 단원 및 온라인 학습 콘텐츠로 편성</w:t>
            </w:r>
          </w:p>
        </w:tc>
      </w:tr>
      <w:tr>
        <w:tc>
          <w:tcPr>
            <w:tcW w:type="dxa" w:w="2381"/>
          </w:tcPr>
          <w:p>
            <w:pPr>
              <w:spacing w:after="0" w:line="312" w:lineRule="auto"/>
            </w:pPr>
            <w:r/>
            <w:r>
              <w:rPr>
                <w:rFonts w:ascii="맑은 고딕" w:hAnsi="맑은 고딕" w:eastAsia="맑은 고딕"/>
                <w:b w:val="0"/>
                <w:sz w:val="18"/>
              </w:rPr>
              <w:t>시범 교재 1종 (전자책·인쇄용)</w:t>
            </w:r>
          </w:p>
        </w:tc>
        <w:tc>
          <w:tcPr>
            <w:tcW w:type="dxa" w:w="2381"/>
          </w:tcPr>
          <w:p>
            <w:pPr>
              <w:spacing w:after="0" w:line="312" w:lineRule="auto"/>
              <w:jc w:val="center"/>
            </w:pPr>
            <w:r/>
            <w:r>
              <w:rPr>
                <w:rFonts w:ascii="맑은 고딕" w:hAnsi="맑은 고딕" w:eastAsia="맑은 고딕"/>
                <w:b w:val="0"/>
                <w:sz w:val="18"/>
              </w:rPr>
              <w:t>재학생 → 타 대학·전문대</w:t>
            </w:r>
          </w:p>
        </w:tc>
        <w:tc>
          <w:tcPr>
            <w:tcW w:type="dxa" w:w="4649"/>
          </w:tcPr>
          <w:p>
            <w:pPr>
              <w:spacing w:after="0" w:line="312" w:lineRule="auto"/>
            </w:pPr>
            <w:r/>
            <w:r>
              <w:rPr>
                <w:rFonts w:ascii="맑은 고딕" w:hAnsi="맑은 고딕" w:eastAsia="맑은 고딕"/>
                <w:b w:val="0"/>
                <w:sz w:val="18"/>
              </w:rPr>
              <w:t>교내 교재로 채택 후, ISBN 부착 및 주문형 인쇄로 외부 공급</w:t>
            </w:r>
          </w:p>
        </w:tc>
      </w:tr>
      <w:tr>
        <w:tc>
          <w:tcPr>
            <w:tcW w:type="dxa" w:w="2381"/>
          </w:tcPr>
          <w:p>
            <w:pPr>
              <w:spacing w:after="0" w:line="312" w:lineRule="auto"/>
            </w:pPr>
            <w:r/>
            <w:r>
              <w:rPr>
                <w:rFonts w:ascii="맑은 고딕" w:hAnsi="맑은 고딕" w:eastAsia="맑은 고딕"/>
                <w:b w:val="0"/>
                <w:sz w:val="18"/>
              </w:rPr>
              <w:t>롤플레이 시나리오 세트 (30종)</w:t>
            </w:r>
          </w:p>
        </w:tc>
        <w:tc>
          <w:tcPr>
            <w:tcW w:type="dxa" w:w="2381"/>
          </w:tcPr>
          <w:p>
            <w:pPr>
              <w:spacing w:after="0" w:line="312" w:lineRule="auto"/>
              <w:jc w:val="center"/>
            </w:pPr>
            <w:r/>
            <w:r>
              <w:rPr>
                <w:rFonts w:ascii="맑은 고딕" w:hAnsi="맑은 고딕" w:eastAsia="맑은 고딕"/>
                <w:b w:val="0"/>
                <w:sz w:val="18"/>
              </w:rPr>
              <w:t>재학생, 산업체 재직자</w:t>
            </w:r>
          </w:p>
        </w:tc>
        <w:tc>
          <w:tcPr>
            <w:tcW w:type="dxa" w:w="4649"/>
          </w:tcPr>
          <w:p>
            <w:pPr>
              <w:spacing w:after="0" w:line="312" w:lineRule="auto"/>
            </w:pPr>
            <w:r/>
            <w:r>
              <w:rPr>
                <w:rFonts w:ascii="맑은 고딕" w:hAnsi="맑은 고딕" w:eastAsia="맑은 고딕"/>
                <w:b w:val="0"/>
                <w:sz w:val="18"/>
              </w:rPr>
              <w:t>말하기 실습 교보재 및 재직자 교육 콘텐츠</w:t>
            </w:r>
          </w:p>
        </w:tc>
      </w:tr>
      <w:tr>
        <w:tc>
          <w:tcPr>
            <w:tcW w:type="dxa" w:w="2381"/>
          </w:tcPr>
          <w:p>
            <w:pPr>
              <w:spacing w:after="0" w:line="312" w:lineRule="auto"/>
              <w:jc w:val="center"/>
            </w:pPr>
            <w:r/>
            <w:r>
              <w:rPr>
                <w:rFonts w:ascii="맑은 고딕" w:hAnsi="맑은 고딕" w:eastAsia="맑은 고딕"/>
                <w:b w:val="0"/>
                <w:sz w:val="18"/>
              </w:rPr>
              <w:t>역량 리포트 체계</w:t>
            </w:r>
          </w:p>
        </w:tc>
        <w:tc>
          <w:tcPr>
            <w:tcW w:type="dxa" w:w="2381"/>
          </w:tcPr>
          <w:p>
            <w:pPr>
              <w:spacing w:after="0" w:line="312" w:lineRule="auto"/>
              <w:jc w:val="center"/>
            </w:pPr>
            <w:r/>
            <w:r>
              <w:rPr>
                <w:rFonts w:ascii="맑은 고딕" w:hAnsi="맑은 고딕" w:eastAsia="맑은 고딕"/>
                <w:b w:val="0"/>
                <w:sz w:val="18"/>
              </w:rPr>
              <w:t>학생, 대학, 산업체</w:t>
            </w:r>
          </w:p>
        </w:tc>
        <w:tc>
          <w:tcPr>
            <w:tcW w:type="dxa" w:w="4649"/>
          </w:tcPr>
          <w:p>
            <w:pPr>
              <w:spacing w:after="0" w:line="312" w:lineRule="auto"/>
            </w:pPr>
            <w:r/>
            <w:r>
              <w:rPr>
                <w:rFonts w:ascii="맑은 고딕" w:hAnsi="맑은 고딕" w:eastAsia="맑은 고딕"/>
                <w:b w:val="0"/>
                <w:sz w:val="18"/>
              </w:rPr>
              <w:t>학생 취업 증빙, 대학 교육성과 지표, 기업 채용 변별 정보</w:t>
            </w:r>
          </w:p>
        </w:tc>
      </w:tr>
      <w:tr>
        <w:tc>
          <w:tcPr>
            <w:tcW w:type="dxa" w:w="2381"/>
          </w:tcPr>
          <w:p>
            <w:pPr>
              <w:spacing w:after="0" w:line="312" w:lineRule="auto"/>
              <w:jc w:val="center"/>
            </w:pPr>
            <w:r/>
            <w:r>
              <w:rPr>
                <w:rFonts w:ascii="맑은 고딕" w:hAnsi="맑은 고딕" w:eastAsia="맑은 고딕"/>
                <w:b w:val="0"/>
                <w:sz w:val="18"/>
              </w:rPr>
              <w:t>지식재산권 1건</w:t>
            </w:r>
          </w:p>
        </w:tc>
        <w:tc>
          <w:tcPr>
            <w:tcW w:type="dxa" w:w="2381"/>
          </w:tcPr>
          <w:p>
            <w:pPr>
              <w:spacing w:after="0" w:line="312" w:lineRule="auto"/>
              <w:jc w:val="center"/>
            </w:pPr>
            <w:r/>
            <w:r>
              <w:rPr>
                <w:rFonts w:ascii="맑은 고딕" w:hAnsi="맑은 고딕" w:eastAsia="맑은 고딕"/>
                <w:b w:val="0"/>
                <w:sz w:val="18"/>
              </w:rPr>
              <w:t>대학·참여기업</w:t>
            </w:r>
          </w:p>
        </w:tc>
        <w:tc>
          <w:tcPr>
            <w:tcW w:type="dxa" w:w="4649"/>
          </w:tcPr>
          <w:p>
            <w:pPr>
              <w:spacing w:after="0" w:line="312" w:lineRule="auto"/>
            </w:pPr>
            <w:r/>
            <w:r>
              <w:rPr>
                <w:rFonts w:ascii="맑은 고딕" w:hAnsi="맑은 고딕" w:eastAsia="맑은 고딕"/>
                <w:b w:val="0"/>
                <w:sz w:val="18"/>
              </w:rPr>
              <w:t>기술 보호 및 후속 사업화 근거</w:t>
            </w:r>
          </w:p>
        </w:tc>
      </w:tr>
    </w:tbl>
    <w:p>
      <w:pPr>
        <w:spacing w:before="200" w:after="60" w:line="348" w:lineRule="auto"/>
      </w:pPr>
      <w:r>
        <w:rPr>
          <w:rFonts w:ascii="맑은 고딕" w:hAnsi="맑은 고딕" w:eastAsia="맑은 고딕"/>
          <w:b/>
          <w:sz w:val="20"/>
        </w:rPr>
        <w:t>나. 3단계 확산 경로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1361"/>
            <w:shd w:val="clear" w:color="auto" w:fill="E8E8E8"/>
          </w:tcPr>
          <w:p>
            <w:pPr>
              <w:spacing w:after="0" w:line="312" w:lineRule="auto"/>
              <w:jc w:val="center"/>
            </w:pPr>
            <w:r/>
            <w:r>
              <w:rPr>
                <w:rFonts w:ascii="맑은 고딕" w:hAnsi="맑은 고딕" w:eastAsia="맑은 고딕"/>
                <w:b/>
                <w:sz w:val="18"/>
              </w:rPr>
              <w:t>단계</w:t>
            </w:r>
          </w:p>
        </w:tc>
        <w:tc>
          <w:tcPr>
            <w:tcW w:type="dxa" w:w="2494"/>
            <w:shd w:val="clear" w:color="auto" w:fill="E8E8E8"/>
          </w:tcPr>
          <w:p>
            <w:pPr>
              <w:spacing w:after="0" w:line="312" w:lineRule="auto"/>
              <w:jc w:val="center"/>
            </w:pPr>
            <w:r/>
            <w:r>
              <w:rPr>
                <w:rFonts w:ascii="맑은 고딕" w:hAnsi="맑은 고딕" w:eastAsia="맑은 고딕"/>
                <w:b/>
                <w:sz w:val="18"/>
              </w:rPr>
              <w:t>대상</w:t>
            </w:r>
          </w:p>
        </w:tc>
        <w:tc>
          <w:tcPr>
            <w:tcW w:type="dxa" w:w="4082"/>
            <w:shd w:val="clear" w:color="auto" w:fill="E8E8E8"/>
          </w:tcPr>
          <w:p>
            <w:pPr>
              <w:spacing w:after="0" w:line="312" w:lineRule="auto"/>
              <w:jc w:val="center"/>
            </w:pPr>
            <w:r/>
            <w:r>
              <w:rPr>
                <w:rFonts w:ascii="맑은 고딕" w:hAnsi="맑은 고딕" w:eastAsia="맑은 고딕"/>
                <w:b/>
                <w:sz w:val="18"/>
              </w:rPr>
              <w:t>공급 형태</w:t>
            </w:r>
          </w:p>
        </w:tc>
        <w:tc>
          <w:tcPr>
            <w:tcW w:type="dxa" w:w="1474"/>
            <w:shd w:val="clear" w:color="auto" w:fill="E8E8E8"/>
          </w:tcPr>
          <w:p>
            <w:pPr>
              <w:spacing w:after="0" w:line="312" w:lineRule="auto"/>
              <w:jc w:val="center"/>
            </w:pPr>
            <w:r/>
            <w:r>
              <w:rPr>
                <w:rFonts w:ascii="맑은 고딕" w:hAnsi="맑은 고딕" w:eastAsia="맑은 고딕"/>
                <w:b/>
                <w:sz w:val="18"/>
              </w:rPr>
              <w:t>시기</w:t>
            </w:r>
          </w:p>
        </w:tc>
      </w:tr>
      <w:tr>
        <w:tc>
          <w:tcPr>
            <w:tcW w:type="dxa" w:w="1361"/>
          </w:tcPr>
          <w:p>
            <w:pPr>
              <w:spacing w:after="0" w:line="312" w:lineRule="auto"/>
              <w:jc w:val="center"/>
            </w:pPr>
            <w:r/>
            <w:r>
              <w:rPr>
                <w:rFonts w:ascii="맑은 고딕" w:hAnsi="맑은 고딕" w:eastAsia="맑은 고딕"/>
                <w:b w:val="0"/>
                <w:sz w:val="18"/>
              </w:rPr>
              <w:t>① 교내 정착</w:t>
            </w:r>
          </w:p>
        </w:tc>
        <w:tc>
          <w:tcPr>
            <w:tcW w:type="dxa" w:w="2494"/>
          </w:tcPr>
          <w:p>
            <w:pPr>
              <w:spacing w:after="0" w:line="312" w:lineRule="auto"/>
              <w:jc w:val="center"/>
            </w:pPr>
            <w:r/>
            <w:r>
              <w:rPr>
                <w:rFonts w:ascii="맑은 고딕" w:hAnsi="맑은 고딕" w:eastAsia="맑은 고딕"/>
                <w:b w:val="0"/>
                <w:sz w:val="18"/>
              </w:rPr>
              <w:t>참여학과 재학생</w:t>
            </w:r>
          </w:p>
        </w:tc>
        <w:tc>
          <w:tcPr>
            <w:tcW w:type="dxa" w:w="4082"/>
          </w:tcPr>
          <w:p>
            <w:pPr>
              <w:spacing w:after="0" w:line="312" w:lineRule="auto"/>
            </w:pPr>
            <w:r/>
            <w:r>
              <w:rPr>
                <w:rFonts w:ascii="맑은 고딕" w:hAnsi="맑은 고딕" w:eastAsia="맑은 고딕"/>
                <w:b w:val="0"/>
                <w:sz w:val="18"/>
              </w:rPr>
              <w:t>교재(전자책)와 온라인 학습·말하기 실습을 교과·비교과·평생교육에 편성</w:t>
            </w:r>
          </w:p>
        </w:tc>
        <w:tc>
          <w:tcPr>
            <w:tcW w:type="dxa" w:w="1474"/>
          </w:tcPr>
          <w:p>
            <w:pPr>
              <w:spacing w:after="0" w:line="312" w:lineRule="auto"/>
              <w:jc w:val="center"/>
            </w:pPr>
            <w:r/>
            <w:r>
              <w:rPr>
                <w:rFonts w:ascii="맑은 고딕" w:hAnsi="맑은 고딕" w:eastAsia="맑은 고딕"/>
                <w:b w:val="0"/>
                <w:sz w:val="18"/>
              </w:rPr>
              <w:t>과제 종료 직후</w:t>
            </w:r>
          </w:p>
        </w:tc>
      </w:tr>
      <w:tr>
        <w:tc>
          <w:tcPr>
            <w:tcW w:type="dxa" w:w="1361"/>
          </w:tcPr>
          <w:p>
            <w:pPr>
              <w:spacing w:after="0" w:line="312" w:lineRule="auto"/>
              <w:jc w:val="center"/>
            </w:pPr>
            <w:r/>
            <w:r>
              <w:rPr>
                <w:rFonts w:ascii="맑은 고딕" w:hAnsi="맑은 고딕" w:eastAsia="맑은 고딕"/>
                <w:b w:val="0"/>
                <w:sz w:val="18"/>
              </w:rPr>
              <w:t>② 콘텐츠 확산</w:t>
            </w:r>
          </w:p>
        </w:tc>
        <w:tc>
          <w:tcPr>
            <w:tcW w:type="dxa" w:w="2494"/>
          </w:tcPr>
          <w:p>
            <w:pPr>
              <w:spacing w:after="0" w:line="312" w:lineRule="auto"/>
            </w:pPr>
            <w:r/>
            <w:r>
              <w:rPr>
                <w:rFonts w:ascii="맑은 고딕" w:hAnsi="맑은 고딕" w:eastAsia="맑은 고딕"/>
                <w:b w:val="0"/>
                <w:sz w:val="18"/>
              </w:rPr>
              <w:t>동일 전공을 둔 전국 대학·전문대</w:t>
            </w:r>
          </w:p>
        </w:tc>
        <w:tc>
          <w:tcPr>
            <w:tcW w:type="dxa" w:w="4082"/>
          </w:tcPr>
          <w:p>
            <w:pPr>
              <w:spacing w:after="0" w:line="312" w:lineRule="auto"/>
            </w:pPr>
            <w:r/>
            <w:r>
              <w:rPr>
                <w:rFonts w:ascii="맑은 고딕" w:hAnsi="맑은 고딕" w:eastAsia="맑은 고딕"/>
                <w:b w:val="0"/>
                <w:sz w:val="18"/>
              </w:rPr>
              <w:t>교재 라이선스, 주문형 인쇄 및 ISBN 유통</w:t>
            </w:r>
          </w:p>
        </w:tc>
        <w:tc>
          <w:tcPr>
            <w:tcW w:type="dxa" w:w="1474"/>
          </w:tcPr>
          <w:p>
            <w:pPr>
              <w:spacing w:after="0" w:line="312" w:lineRule="auto"/>
              <w:jc w:val="center"/>
            </w:pPr>
            <w:r/>
            <w:r>
              <w:rPr>
                <w:rFonts w:ascii="맑은 고딕" w:hAnsi="맑은 고딕" w:eastAsia="맑은 고딕"/>
                <w:b w:val="0"/>
                <w:sz w:val="18"/>
              </w:rPr>
              <w:t>과제 종료 후 1년 내</w:t>
            </w:r>
          </w:p>
        </w:tc>
      </w:tr>
      <w:tr>
        <w:tc>
          <w:tcPr>
            <w:tcW w:type="dxa" w:w="1361"/>
          </w:tcPr>
          <w:p>
            <w:pPr>
              <w:spacing w:after="0" w:line="312" w:lineRule="auto"/>
              <w:jc w:val="center"/>
            </w:pPr>
            <w:r/>
            <w:r>
              <w:rPr>
                <w:rFonts w:ascii="맑은 고딕" w:hAnsi="맑은 고딕" w:eastAsia="맑은 고딕"/>
                <w:b w:val="0"/>
                <w:sz w:val="18"/>
              </w:rPr>
              <w:t>③ 산업체·해외</w:t>
            </w:r>
          </w:p>
        </w:tc>
        <w:tc>
          <w:tcPr>
            <w:tcW w:type="dxa" w:w="2494"/>
          </w:tcPr>
          <w:p>
            <w:pPr>
              <w:spacing w:after="0" w:line="312" w:lineRule="auto"/>
            </w:pPr>
            <w:r/>
            <w:r>
              <w:rPr>
                <w:rFonts w:ascii="맑은 고딕" w:hAnsi="맑은 고딕" w:eastAsia="맑은 고딕"/>
                <w:b w:val="0"/>
                <w:sz w:val="18"/>
              </w:rPr>
              <w:t>호텔·관광·항공 재직자, 해외 대학</w:t>
            </w:r>
          </w:p>
        </w:tc>
        <w:tc>
          <w:tcPr>
            <w:tcW w:type="dxa" w:w="4082"/>
          </w:tcPr>
          <w:p>
            <w:pPr>
              <w:spacing w:after="0" w:line="312" w:lineRule="auto"/>
            </w:pPr>
            <w:r/>
            <w:r>
              <w:rPr>
                <w:rFonts w:ascii="맑은 고딕" w:hAnsi="맑은 고딕" w:eastAsia="맑은 고딕"/>
                <w:b w:val="0"/>
                <w:sz w:val="18"/>
              </w:rPr>
              <w:t>직무 외국어 과정, 기업 대상 라이선스</w:t>
            </w:r>
          </w:p>
        </w:tc>
        <w:tc>
          <w:tcPr>
            <w:tcW w:type="dxa" w:w="1474"/>
          </w:tcPr>
          <w:p>
            <w:pPr>
              <w:spacing w:after="0" w:line="312" w:lineRule="auto"/>
              <w:jc w:val="center"/>
            </w:pPr>
            <w:r/>
            <w:r>
              <w:rPr>
                <w:rFonts w:ascii="맑은 고딕" w:hAnsi="맑은 고딕" w:eastAsia="맑은 고딕"/>
                <w:b w:val="0"/>
                <w:sz w:val="18"/>
              </w:rPr>
              <w:t>후속</w:t>
            </w:r>
          </w:p>
        </w:tc>
      </w:tr>
    </w:tbl>
    <w:p>
      <w:pPr>
        <w:spacing w:before="80" w:after="60" w:line="348" w:lineRule="auto"/>
      </w:pPr>
      <w:r>
        <w:rPr>
          <w:rFonts w:ascii="맑은 고딕" w:hAnsi="맑은 고딕" w:eastAsia="맑은 고딕"/>
          <w:b w:val="0"/>
          <w:sz w:val="20"/>
        </w:rPr>
        <w:t>확산은 두 축으로 이루어진다. 위 대상 확산에 더해 언어 축(영어 → 중국어·일본어)이 직교한다. 즉 "호텔 × 영어/중국어/일본어", "항공 × 영어/중국어/일본어"처럼 전공과 언어의 격자로 자산이 늘어나며, 저작·출판·실습 파이프라인은 언어와 무관하게 공통으로 재사용된다. 한 번 구축한 인프라 위에서 자산만 증식하는 구조다.</w:t>
      </w:r>
    </w:p>
    <w:p>
      <w:pPr>
        <w:spacing w:before="200" w:after="60" w:line="348" w:lineRule="auto"/>
      </w:pPr>
      <w:r>
        <w:rPr>
          <w:rFonts w:ascii="맑은 고딕" w:hAnsi="맑은 고딕" w:eastAsia="맑은 고딕"/>
          <w:b/>
          <w:sz w:val="20"/>
        </w:rPr>
        <w:t>다. 자립 운영 계획</w:t>
      </w:r>
    </w:p>
    <w:p>
      <w:pPr>
        <w:spacing w:after="40" w:line="336" w:lineRule="auto"/>
        <w:ind w:left="283" w:hanging="238"/>
      </w:pPr>
      <w:r>
        <w:rPr>
          <w:rFonts w:ascii="맑은 고딕" w:hAnsi="맑은 고딕" w:eastAsia="맑은 고딕"/>
          <w:sz w:val="20"/>
        </w:rPr>
        <w:t>◦ 과제 종료 후 교재는 대학 교재로 채택되어 학기별 수요가 반복 발생하므로, 별도 재원 없이 운영이 지속된다.</w:t>
      </w:r>
    </w:p>
    <w:p>
      <w:pPr>
        <w:spacing w:after="40" w:line="336" w:lineRule="auto"/>
        <w:ind w:left="283" w:hanging="238"/>
      </w:pPr>
      <w:r>
        <w:rPr>
          <w:rFonts w:ascii="맑은 고딕" w:hAnsi="맑은 고딕" w:eastAsia="맑은 고딕"/>
          <w:sz w:val="20"/>
        </w:rPr>
        <w:t>◦ 주문형 인쇄 방식은 재고 없이 주문 수량만큼 생산하므로 운영 리스크가 낮다.</w:t>
      </w:r>
    </w:p>
    <w:p>
      <w:pPr>
        <w:spacing w:after="40" w:line="336" w:lineRule="auto"/>
        <w:ind w:left="283" w:hanging="238"/>
      </w:pPr>
      <w:r>
        <w:rPr>
          <w:rFonts w:ascii="맑은 고딕" w:hAnsi="맑은 고딕" w:eastAsia="맑은 고딕"/>
          <w:sz w:val="20"/>
        </w:rPr>
        <w:t>◦ 타 대학 공급 시 발생하는 라이선스 수익은 콘텐츠 개정 및 언어 확장 재원으로 재투입한다.</w:t>
      </w:r>
    </w:p>
    <w:p>
      <w:pPr>
        <w:spacing w:after="40" w:line="336" w:lineRule="auto"/>
        <w:ind w:left="283" w:hanging="238"/>
      </w:pPr>
      <w:r>
        <w:rPr>
          <w:rFonts w:ascii="맑은 고딕" w:hAnsi="맑은 고딕" w:eastAsia="맑은 고딕"/>
          <w:sz w:val="20"/>
        </w:rPr>
        <w:t>◦ 콘텐츠 지식재산 귀속과 수익 배분 구조는 협약 단계에서 대학·교수·참여기업 간 사전 합의한다.</w:t>
      </w:r>
    </w:p>
    <w:p>
      <w:pPr>
        <w:spacing w:before="240" w:after="100"/>
      </w:pPr>
      <w:r>
        <w:rPr>
          <w:rFonts w:ascii="맑은 고딕" w:hAnsi="맑은 고딕" w:eastAsia="맑은 고딕"/>
          <w:b/>
          <w:sz w:val="23"/>
        </w:rPr>
        <w:t>2) 연구개발성과의 기대효과</w:t>
      </w:r>
    </w:p>
    <w:p>
      <w:pPr>
        <w:spacing w:before="120" w:after="60" w:line="348" w:lineRule="auto"/>
      </w:pPr>
      <w:r>
        <w:rPr>
          <w:rFonts w:ascii="맑은 고딕" w:hAnsi="맑은 고딕" w:eastAsia="맑은 고딕"/>
          <w:b/>
          <w:sz w:val="20"/>
        </w:rPr>
        <w:t>가. 교육적 기대효과</w:t>
      </w:r>
    </w:p>
    <w:p>
      <w:pPr>
        <w:spacing w:after="40" w:line="336" w:lineRule="auto"/>
        <w:ind w:left="283" w:hanging="238"/>
      </w:pPr>
      <w:r>
        <w:rPr>
          <w:rFonts w:ascii="맑은 고딕" w:hAnsi="맑은 고딕" w:eastAsia="맑은 고딕"/>
          <w:sz w:val="20"/>
        </w:rPr>
        <w:t>◦ 매 학기 소모적으로 재생산되던 강의자료 제작 노동이 누적 가능한 출판 자산으로 전환된다. 교수 개인의 노하우가 대학의 자산으로 축적된다.</w:t>
      </w:r>
    </w:p>
    <w:p>
      <w:pPr>
        <w:spacing w:after="40" w:line="336" w:lineRule="auto"/>
        <w:ind w:left="283" w:hanging="238"/>
      </w:pPr>
      <w:r>
        <w:rPr>
          <w:rFonts w:ascii="맑은 고딕" w:hAnsi="맑은 고딕" w:eastAsia="맑은 고딕"/>
          <w:sz w:val="20"/>
        </w:rPr>
        <w:t>◦ 교수의 역할이 "자료 제작자"에서 "감수자·저자"로 상향된다. 전공 지식은 교수에게, 콘텐츠 생산의 노동은 인공지능에게 배분하는 구조다.</w:t>
      </w:r>
    </w:p>
    <w:p>
      <w:pPr>
        <w:spacing w:after="40" w:line="336" w:lineRule="auto"/>
        <w:ind w:left="283" w:hanging="238"/>
      </w:pPr>
      <w:r>
        <w:rPr>
          <w:rFonts w:ascii="맑은 고딕" w:hAnsi="맑은 고딕" w:eastAsia="맑은 고딕"/>
          <w:sz w:val="20"/>
        </w:rPr>
        <w:t>◦ 학생은 교실에서 물리적으로 확보할 수 없던 1:1 말하기 반복 훈련을 시간 제약 없이 수행한다. 교원 확충으로 해결되지 않던 실습 병목이 해소된다.</w:t>
      </w:r>
    </w:p>
    <w:p>
      <w:pPr>
        <w:spacing w:after="40" w:line="336" w:lineRule="auto"/>
        <w:ind w:left="283" w:hanging="238"/>
      </w:pPr>
      <w:r>
        <w:rPr>
          <w:rFonts w:ascii="맑은 고딕" w:hAnsi="맑은 고딕" w:eastAsia="맑은 고딕"/>
          <w:sz w:val="20"/>
        </w:rPr>
        <w:t>◦ 학생의 성취가 취업 증빙 가능한 데이터로 남아, 학습 동기와 취업 준비가 하나로 연결된다.</w:t>
      </w:r>
    </w:p>
    <w:p>
      <w:pPr>
        <w:spacing w:after="40" w:line="336" w:lineRule="auto"/>
        <w:ind w:left="283" w:hanging="238"/>
      </w:pPr>
      <w:r>
        <w:rPr>
          <w:rFonts w:ascii="맑은 고딕" w:hAnsi="맑은 고딕" w:eastAsia="맑은 고딕"/>
          <w:sz w:val="20"/>
        </w:rPr>
        <w:t>◦ 참여 학생연구원은 산학 공동 개발 프로세스를 직접 경험하고 발표 실적을 확보한다.</w:t>
      </w:r>
    </w:p>
    <w:p>
      <w:pPr>
        <w:spacing w:before="200" w:after="60" w:line="348" w:lineRule="auto"/>
      </w:pPr>
      <w:r>
        <w:rPr>
          <w:rFonts w:ascii="맑은 고딕" w:hAnsi="맑은 고딕" w:eastAsia="맑은 고딕"/>
          <w:b/>
          <w:sz w:val="20"/>
        </w:rPr>
        <w:t>나. 산업적 기대효과</w:t>
      </w:r>
    </w:p>
    <w:p>
      <w:pPr>
        <w:spacing w:after="40" w:line="336" w:lineRule="auto"/>
        <w:ind w:left="283" w:hanging="238"/>
      </w:pPr>
      <w:r>
        <w:rPr>
          <w:rFonts w:ascii="맑은 고딕" w:hAnsi="맑은 고딕" w:eastAsia="맑은 고딕"/>
          <w:sz w:val="20"/>
        </w:rPr>
        <w:t>◦ 서울 호텔·관광·항공 산업이 요구하는 다국어 응대 인력의 실무 준비도가 개선되어, 기업의 채용 후 재교육 부담이 경감된다.</w:t>
      </w:r>
    </w:p>
    <w:p>
      <w:pPr>
        <w:spacing w:after="40" w:line="336" w:lineRule="auto"/>
        <w:ind w:left="283" w:hanging="238"/>
      </w:pPr>
      <w:r>
        <w:rPr>
          <w:rFonts w:ascii="맑은 고딕" w:hAnsi="맑은 고딕" w:eastAsia="맑은 고딕"/>
          <w:sz w:val="20"/>
        </w:rPr>
        <w:t>◦ 채용 현장에 학습 기록에 근거한 직무 어학 역량 정보를 제공함으로써, 어학 점수 중심 평가의 변별 한계를 보완한다.</w:t>
      </w:r>
    </w:p>
    <w:p>
      <w:pPr>
        <w:spacing w:after="40" w:line="336" w:lineRule="auto"/>
        <w:ind w:left="283" w:hanging="238"/>
      </w:pPr>
      <w:r>
        <w:rPr>
          <w:rFonts w:ascii="맑은 고딕" w:hAnsi="맑은 고딕" w:eastAsia="맑은 고딕"/>
          <w:sz w:val="20"/>
        </w:rPr>
        <w:t>◦ 대학이 산업 현장의 요구를 콘텐츠로 즉시 반영하는 경로가 열려, 산학 간 교육 내용의 시차가 줄어든다.</w:t>
      </w:r>
    </w:p>
    <w:p>
      <w:pPr>
        <w:spacing w:before="200" w:after="60" w:line="348" w:lineRule="auto"/>
      </w:pPr>
      <w:r>
        <w:rPr>
          <w:rFonts w:ascii="맑은 고딕" w:hAnsi="맑은 고딕" w:eastAsia="맑은 고딕"/>
          <w:b/>
          <w:sz w:val="20"/>
        </w:rPr>
        <w:t>다. 경제적 기대효과</w:t>
      </w:r>
    </w:p>
    <w:p>
      <w:pPr>
        <w:spacing w:after="40" w:line="336" w:lineRule="auto"/>
        <w:ind w:left="283" w:hanging="238"/>
      </w:pPr>
      <w:r>
        <w:rPr>
          <w:rFonts w:ascii="맑은 고딕" w:hAnsi="맑은 고딕" w:eastAsia="맑은 고딕"/>
          <w:sz w:val="20"/>
        </w:rPr>
        <w:t>◦ 주문형 인쇄 방식은 재고 부담 없이 소규모 특수목적 교재의 출판 손익분기를 낮춘다. 그동안 상업 출판이 진입하지 못했던 소량·다품종 시장이 열린다.</w:t>
      </w:r>
    </w:p>
    <w:p>
      <w:pPr>
        <w:spacing w:after="40" w:line="336" w:lineRule="auto"/>
        <w:ind w:left="283" w:hanging="238"/>
      </w:pPr>
      <w:r>
        <w:rPr>
          <w:rFonts w:ascii="맑은 고딕" w:hAnsi="맑은 고딕" w:eastAsia="맑은 고딕"/>
          <w:sz w:val="20"/>
        </w:rPr>
        <w:t>◦ 저작 자동화는 교재 1종 개발에 투입되던 인건비와 기간을 절감한다.</w:t>
      </w:r>
    </w:p>
    <w:p>
      <w:pPr>
        <w:spacing w:after="40" w:line="336" w:lineRule="auto"/>
        <w:ind w:left="283" w:hanging="238"/>
      </w:pPr>
      <w:r>
        <w:rPr>
          <w:rFonts w:ascii="맑은 고딕" w:hAnsi="맑은 고딕" w:eastAsia="맑은 고딕"/>
          <w:sz w:val="20"/>
        </w:rPr>
        <w:t>◦ 언어 비종속 설계는 영어 자산을 중국어·일본어로 재사용하게 하여, 전공과 언어의 조합 수만큼 자산 규모를 배가한다.</w:t>
      </w:r>
    </w:p>
    <w:p>
      <w:pPr>
        <w:spacing w:after="40" w:line="336" w:lineRule="auto"/>
        <w:ind w:left="283" w:hanging="238"/>
      </w:pPr>
      <w:r>
        <w:rPr>
          <w:rFonts w:ascii="맑은 고딕" w:hAnsi="맑은 고딕" w:eastAsia="맑은 고딕"/>
          <w:sz w:val="20"/>
        </w:rPr>
        <w:t>◦ 대학 명의 교재의 외부 유통으로 콘텐츠 지식재산 수익과 산학협력 수익 모델을 확보한다.</w:t>
      </w:r>
    </w:p>
    <w:p>
      <w:pPr>
        <w:spacing w:before="200" w:after="60" w:line="348" w:lineRule="auto"/>
      </w:pPr>
      <w:r>
        <w:rPr>
          <w:rFonts w:ascii="맑은 고딕" w:hAnsi="맑은 고딕" w:eastAsia="맑은 고딕"/>
          <w:b/>
          <w:sz w:val="20"/>
        </w:rPr>
        <w:t>라. 단위과제 운용 목적과의 부합</w:t>
      </w:r>
    </w:p>
    <w:p>
      <w:pPr>
        <w:spacing w:before="0" w:after="60" w:line="348" w:lineRule="auto"/>
      </w:pPr>
      <w:r>
        <w:rPr>
          <w:rFonts w:ascii="맑은 고딕" w:hAnsi="맑은 고딕" w:eastAsia="맑은 고딕"/>
          <w:b w:val="0"/>
          <w:sz w:val="20"/>
        </w:rPr>
        <w:t>글로벌서비스 기업협업센터의 운용 목적은 "IT 융복합·서비스 산업의 AI·DX 기반 글로벌 서비스 인재 양성"이다. 본 과제는 이 목적에 다음 세 가지로 직접 부합한다.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3"/>
        <w:gridCol w:w="4873"/>
      </w:tblGrid>
      <w:tr>
        <w:tc>
          <w:tcPr>
            <w:tcW w:type="dxa" w:w="2268"/>
            <w:shd w:val="clear" w:color="auto" w:fill="E8E8E8"/>
          </w:tcPr>
          <w:p>
            <w:pPr>
              <w:spacing w:after="0" w:line="312" w:lineRule="auto"/>
              <w:jc w:val="center"/>
            </w:pPr>
            <w:r/>
            <w:r>
              <w:rPr>
                <w:rFonts w:ascii="맑은 고딕" w:hAnsi="맑은 고딕" w:eastAsia="맑은 고딕"/>
                <w:b/>
                <w:sz w:val="18"/>
              </w:rPr>
              <w:t>ICC 운용 목적 요소</w:t>
            </w:r>
          </w:p>
        </w:tc>
        <w:tc>
          <w:tcPr>
            <w:tcW w:type="dxa" w:w="7143"/>
            <w:shd w:val="clear" w:color="auto" w:fill="E8E8E8"/>
          </w:tcPr>
          <w:p>
            <w:pPr>
              <w:spacing w:after="0" w:line="312" w:lineRule="auto"/>
              <w:jc w:val="center"/>
            </w:pPr>
            <w:r/>
            <w:r>
              <w:rPr>
                <w:rFonts w:ascii="맑은 고딕" w:hAnsi="맑은 고딕" w:eastAsia="맑은 고딕"/>
                <w:b/>
                <w:sz w:val="18"/>
              </w:rPr>
              <w:t>본 과제의 부합 내용</w:t>
            </w:r>
          </w:p>
        </w:tc>
      </w:tr>
      <w:tr>
        <w:tc>
          <w:tcPr>
            <w:tcW w:type="dxa" w:w="2268"/>
          </w:tcPr>
          <w:p>
            <w:pPr>
              <w:spacing w:after="0" w:line="312" w:lineRule="auto"/>
              <w:jc w:val="center"/>
            </w:pPr>
            <w:r/>
            <w:r>
              <w:rPr>
                <w:rFonts w:ascii="맑은 고딕" w:hAnsi="맑은 고딕" w:eastAsia="맑은 고딕"/>
                <w:b w:val="0"/>
                <w:sz w:val="18"/>
              </w:rPr>
              <w:t>AI·DX 기반</w:t>
            </w:r>
          </w:p>
        </w:tc>
        <w:tc>
          <w:tcPr>
            <w:tcW w:type="dxa" w:w="7143"/>
          </w:tcPr>
          <w:p>
            <w:pPr>
              <w:spacing w:after="0" w:line="312" w:lineRule="auto"/>
            </w:pPr>
            <w:r/>
            <w:r>
              <w:rPr>
                <w:rFonts w:ascii="맑은 고딕" w:hAnsi="맑은 고딕" w:eastAsia="맑은 고딕"/>
                <w:b w:val="0"/>
                <w:sz w:val="18"/>
              </w:rPr>
              <w:t>생성형 인공지능 기반 콘텐츠 저작·측정 기술을 대학 교육 현장에 이식하고, 학습 과정을 데이터로 전환하는 디지털 전환을 실현</w:t>
            </w:r>
          </w:p>
        </w:tc>
      </w:tr>
      <w:tr>
        <w:tc>
          <w:tcPr>
            <w:tcW w:type="dxa" w:w="2268"/>
          </w:tcPr>
          <w:p>
            <w:pPr>
              <w:spacing w:after="0" w:line="312" w:lineRule="auto"/>
              <w:jc w:val="center"/>
            </w:pPr>
            <w:r/>
            <w:r>
              <w:rPr>
                <w:rFonts w:ascii="맑은 고딕" w:hAnsi="맑은 고딕" w:eastAsia="맑은 고딕"/>
                <w:b w:val="0"/>
                <w:sz w:val="18"/>
              </w:rPr>
              <w:t>글로벌 서비스</w:t>
            </w:r>
          </w:p>
        </w:tc>
        <w:tc>
          <w:tcPr>
            <w:tcW w:type="dxa" w:w="7143"/>
          </w:tcPr>
          <w:p>
            <w:pPr>
              <w:spacing w:after="0" w:line="312" w:lineRule="auto"/>
            </w:pPr>
            <w:r/>
            <w:r>
              <w:rPr>
                <w:rFonts w:ascii="맑은 고딕" w:hAnsi="맑은 고딕" w:eastAsia="맑은 고딕"/>
                <w:b w:val="0"/>
                <w:sz w:val="18"/>
              </w:rPr>
              <w:t>호텔·관광·항공 등 글로벌 서비스 직무의 실제 응대 상황을 콘텐츠와 실습으로 구현하며, 영어를 넘어 다국어로 확장 가능한 구조 확보</w:t>
            </w:r>
          </w:p>
        </w:tc>
      </w:tr>
      <w:tr>
        <w:tc>
          <w:tcPr>
            <w:tcW w:type="dxa" w:w="2268"/>
          </w:tcPr>
          <w:p>
            <w:pPr>
              <w:spacing w:after="0" w:line="312" w:lineRule="auto"/>
              <w:jc w:val="center"/>
            </w:pPr>
            <w:r/>
            <w:r>
              <w:rPr>
                <w:rFonts w:ascii="맑은 고딕" w:hAnsi="맑은 고딕" w:eastAsia="맑은 고딕"/>
                <w:b w:val="0"/>
                <w:sz w:val="18"/>
              </w:rPr>
              <w:t>인재 양성</w:t>
            </w:r>
          </w:p>
        </w:tc>
        <w:tc>
          <w:tcPr>
            <w:tcW w:type="dxa" w:w="7143"/>
          </w:tcPr>
          <w:p>
            <w:pPr>
              <w:spacing w:after="0" w:line="312" w:lineRule="auto"/>
            </w:pPr>
            <w:r/>
            <w:r>
              <w:rPr>
                <w:rFonts w:ascii="맑은 고딕" w:hAnsi="맑은 고딕" w:eastAsia="맑은 고딕"/>
                <w:b w:val="0"/>
                <w:sz w:val="18"/>
              </w:rPr>
              <w:t>재학생 30명이 직무 외국어 실습과 역량 증명을 경험하고, 학생연구원 2명이 산학 공동 개발 프로세스에 주체로 참여하며, 융합학부 학생이 캡스톤디자인으로 데이터 분석 역량을 축적</w:t>
            </w:r>
          </w:p>
        </w:tc>
      </w:tr>
    </w:tbl>
    <w:p>
      <w:pPr>
        <w:spacing w:before="80" w:after="60" w:line="348" w:lineRule="auto"/>
      </w:pPr>
      <w:r>
        <w:rPr>
          <w:rFonts w:ascii="맑은 고딕" w:hAnsi="맑은 고딕" w:eastAsia="맑은 고딕"/>
          <w:b w:val="0"/>
          <w:sz w:val="20"/>
        </w:rPr>
        <w:t>아울러 본 과제는 서울시 지역혁신중심 대학지원체계의 목적인 지역 산업 수요 기반 인재 양성과, 대학이 지역 산업에 기여하는 산학협력 성과 창출에 부합한다.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48"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