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맑은 고딕" w:hAnsi="맑은 고딕" w:eastAsia="맑은 고딕"/>
          <w:b/>
          <w:sz w:val="32"/>
        </w:rPr>
        <w:t>산학공동 기술개발과제 요약문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1814"/>
            <w:shd w:val="clear" w:color="auto" w:fill="E8E8E8"/>
          </w:tcPr>
          <w:p>
            <w:pPr>
              <w:spacing w:after="0" w:line="300" w:lineRule="auto"/>
              <w:jc w:val="center"/>
            </w:pPr>
            <w:r/>
            <w:r>
              <w:rPr>
                <w:rFonts w:ascii="맑은 고딕" w:hAnsi="맑은 고딕" w:eastAsia="맑은 고딕"/>
                <w:b/>
                <w:sz w:val="18"/>
              </w:rPr>
              <w:t>과제명</w:t>
            </w:r>
          </w:p>
        </w:tc>
        <w:tc>
          <w:tcPr>
            <w:tcW w:type="dxa" w:w="7824"/>
          </w:tcPr>
          <w:p>
            <w:pPr>
              <w:spacing w:after="0" w:line="300" w:lineRule="auto"/>
            </w:pPr>
            <w:r/>
            <w:r>
              <w:rPr>
                <w:rFonts w:ascii="맑은 고딕" w:hAnsi="맑은 고딕" w:eastAsia="맑은 고딕"/>
                <w:b w:val="0"/>
                <w:sz w:val="18"/>
              </w:rPr>
              <w:t>생성형 인공지능 기반 전공 직무 외국어 콘텐츠 저작·교재 출간·말하기 실습 통합 플랫폼 개발</w:t>
            </w:r>
          </w:p>
        </w:tc>
      </w:tr>
      <w:tr>
        <w:tc>
          <w:tcPr>
            <w:tcW w:type="dxa" w:w="1814"/>
            <w:shd w:val="clear" w:color="auto" w:fill="E8E8E8"/>
          </w:tcPr>
          <w:p>
            <w:pPr>
              <w:spacing w:after="0" w:line="300" w:lineRule="auto"/>
              <w:jc w:val="center"/>
            </w:pPr>
            <w:r/>
            <w:r>
              <w:rPr>
                <w:rFonts w:ascii="맑은 고딕" w:hAnsi="맑은 고딕" w:eastAsia="맑은 고딕"/>
                <w:b/>
                <w:sz w:val="18"/>
              </w:rPr>
              <w:t>연구책임자</w:t>
            </w:r>
          </w:p>
        </w:tc>
        <w:tc>
          <w:tcPr>
            <w:tcW w:type="dxa" w:w="7824"/>
          </w:tcPr>
          <w:p>
            <w:pPr>
              <w:spacing w:after="0" w:line="300" w:lineRule="auto"/>
              <w:jc w:val="center"/>
            </w:pPr>
            <w:r/>
            <w:r>
              <w:rPr>
                <w:rFonts w:ascii="맑은 고딕" w:hAnsi="맑은 고딕" w:eastAsia="맑은 고딕"/>
                <w:b w:val="0"/>
                <w:color w:val="C00000"/>
                <w:sz w:val="18"/>
              </w:rPr>
              <w:t>(기재 필요)</w:t>
            </w:r>
          </w:p>
        </w:tc>
      </w:tr>
    </w:tbl>
    <w:p>
      <w:pPr>
        <w:spacing w:before="0" w:after="0" w:line="300" w:lineRule="auto"/>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4"/>
        <w:gridCol w:w="1994"/>
        <w:gridCol w:w="1994"/>
        <w:gridCol w:w="1994"/>
        <w:gridCol w:w="1994"/>
      </w:tblGrid>
      <w:tr>
        <w:tc>
          <w:tcPr>
            <w:tcW w:type="dxa" w:w="1077"/>
            <w:vMerge w:val="restart"/>
            <w:shd w:val="clear" w:color="auto" w:fill="E8E8E8"/>
          </w:tcPr>
          <w:p>
            <w:pPr>
              <w:spacing w:after="0" w:line="300" w:lineRule="auto"/>
              <w:jc w:val="center"/>
            </w:pPr>
            <w:r/>
            <w:r>
              <w:rPr>
                <w:rFonts w:ascii="맑은 고딕" w:hAnsi="맑은 고딕" w:eastAsia="맑은 고딕"/>
                <w:b/>
                <w:sz w:val="18"/>
              </w:rPr>
              <w:t>기술</w:t>
            </w:r>
          </w:p>
          <w:p>
            <w:pPr>
              <w:spacing w:after="0" w:line="300" w:lineRule="auto"/>
              <w:jc w:val="center"/>
            </w:pPr>
            <w:r>
              <w:rPr>
                <w:rFonts w:ascii="맑은 고딕" w:hAnsi="맑은 고딕" w:eastAsia="맑은 고딕"/>
                <w:b/>
                <w:sz w:val="18"/>
              </w:rPr>
              <w:t>분류</w:t>
            </w:r>
          </w:p>
        </w:tc>
        <w:tc>
          <w:tcPr>
            <w:tcW w:type="dxa" w:w="1644"/>
            <w:vMerge w:val="restart"/>
            <w:shd w:val="clear" w:color="auto" w:fill="E8E8E8"/>
          </w:tcPr>
          <w:p>
            <w:pPr>
              <w:spacing w:after="0" w:line="300" w:lineRule="auto"/>
              <w:jc w:val="center"/>
            </w:pPr>
            <w:r/>
            <w:r>
              <w:rPr>
                <w:rFonts w:ascii="맑은 고딕" w:hAnsi="맑은 고딕" w:eastAsia="맑은 고딕"/>
                <w:b/>
                <w:sz w:val="18"/>
              </w:rPr>
              <w:t>국가과학기술</w:t>
            </w:r>
          </w:p>
          <w:p>
            <w:pPr>
              <w:spacing w:after="0" w:line="300" w:lineRule="auto"/>
              <w:jc w:val="center"/>
            </w:pPr>
            <w:r>
              <w:rPr>
                <w:rFonts w:ascii="맑은 고딕" w:hAnsi="맑은 고딕" w:eastAsia="맑은 고딕"/>
                <w:b/>
                <w:sz w:val="18"/>
              </w:rPr>
              <w:t>표준분류</w:t>
            </w:r>
          </w:p>
        </w:tc>
        <w:tc>
          <w:tcPr>
            <w:tcW w:type="dxa" w:w="2381"/>
            <w:shd w:val="clear" w:color="auto" w:fill="E8E8E8"/>
          </w:tcPr>
          <w:p>
            <w:pPr>
              <w:spacing w:after="0" w:line="300" w:lineRule="auto"/>
              <w:jc w:val="center"/>
            </w:pPr>
            <w:r/>
            <w:r>
              <w:rPr>
                <w:rFonts w:ascii="맑은 고딕" w:hAnsi="맑은 고딕" w:eastAsia="맑은 고딕"/>
                <w:b/>
                <w:sz w:val="18"/>
              </w:rPr>
              <w:t>1순위 소분류 코드명</w:t>
            </w:r>
          </w:p>
        </w:tc>
        <w:tc>
          <w:tcPr>
            <w:tcW w:type="dxa" w:w="3458"/>
          </w:tcPr>
          <w:p>
            <w:pPr>
              <w:spacing w:after="0" w:line="300" w:lineRule="auto"/>
            </w:pPr>
            <w:r/>
            <w:r>
              <w:rPr>
                <w:rFonts w:ascii="맑은 고딕" w:hAnsi="맑은 고딕" w:eastAsia="맑은 고딕"/>
                <w:b w:val="0"/>
                <w:sz w:val="18"/>
              </w:rPr>
              <w:t>정보/통신 — 인공지능·응용 소프트웨어</w:t>
            </w:r>
          </w:p>
        </w:tc>
        <w:tc>
          <w:tcPr>
            <w:tcW w:type="dxa" w:w="1077"/>
          </w:tcPr>
          <w:p>
            <w:pPr>
              <w:spacing w:after="0" w:line="300" w:lineRule="auto"/>
              <w:jc w:val="center"/>
            </w:pPr>
            <w:r/>
            <w:r>
              <w:rPr>
                <w:rFonts w:ascii="맑은 고딕" w:hAnsi="맑은 고딕" w:eastAsia="맑은 고딕"/>
                <w:b w:val="0"/>
                <w:sz w:val="18"/>
              </w:rPr>
              <w:t>50 %</w:t>
            </w:r>
          </w:p>
        </w:tc>
      </w:tr>
      <w:tr>
        <w:tc>
          <w:tcPr>
            <w:tcW w:type="dxa" w:w="1077"/>
            <w:vMerge/>
          </w:tcPr>
          <w:p/>
        </w:tc>
        <w:tc>
          <w:tcPr>
            <w:tcW w:type="dxa" w:w="1644"/>
            <w:vMerge/>
          </w:tcPr>
          <w:p/>
        </w:tc>
        <w:tc>
          <w:tcPr>
            <w:tcW w:type="dxa" w:w="2381"/>
            <w:shd w:val="clear" w:color="auto" w:fill="E8E8E8"/>
          </w:tcPr>
          <w:p>
            <w:pPr>
              <w:spacing w:after="0" w:line="300" w:lineRule="auto"/>
              <w:jc w:val="center"/>
            </w:pPr>
            <w:r/>
            <w:r>
              <w:rPr>
                <w:rFonts w:ascii="맑은 고딕" w:hAnsi="맑은 고딕" w:eastAsia="맑은 고딕"/>
                <w:b/>
                <w:sz w:val="18"/>
              </w:rPr>
              <w:t>2순위 소분류 코드명</w:t>
            </w:r>
          </w:p>
        </w:tc>
        <w:tc>
          <w:tcPr>
            <w:tcW w:type="dxa" w:w="3458"/>
          </w:tcPr>
          <w:p>
            <w:pPr>
              <w:spacing w:after="0" w:line="300" w:lineRule="auto"/>
            </w:pPr>
            <w:r/>
            <w:r>
              <w:rPr>
                <w:rFonts w:ascii="맑은 고딕" w:hAnsi="맑은 고딕" w:eastAsia="맑은 고딕"/>
                <w:b w:val="0"/>
                <w:sz w:val="18"/>
              </w:rPr>
              <w:t>인문사회 — 외국어교육·교육공학</w:t>
            </w:r>
          </w:p>
        </w:tc>
        <w:tc>
          <w:tcPr>
            <w:tcW w:type="dxa" w:w="1077"/>
          </w:tcPr>
          <w:p>
            <w:pPr>
              <w:spacing w:after="0" w:line="300" w:lineRule="auto"/>
              <w:jc w:val="center"/>
            </w:pPr>
            <w:r/>
            <w:r>
              <w:rPr>
                <w:rFonts w:ascii="맑은 고딕" w:hAnsi="맑은 고딕" w:eastAsia="맑은 고딕"/>
                <w:b w:val="0"/>
                <w:sz w:val="18"/>
              </w:rPr>
              <w:t>30 %</w:t>
            </w:r>
          </w:p>
        </w:tc>
      </w:tr>
      <w:tr>
        <w:tc>
          <w:tcPr>
            <w:tcW w:type="dxa" w:w="1077"/>
            <w:vMerge/>
          </w:tcPr>
          <w:p/>
        </w:tc>
        <w:tc>
          <w:tcPr>
            <w:tcW w:type="dxa" w:w="1644"/>
            <w:vMerge/>
          </w:tcPr>
          <w:p/>
        </w:tc>
        <w:tc>
          <w:tcPr>
            <w:tcW w:type="dxa" w:w="2381"/>
            <w:shd w:val="clear" w:color="auto" w:fill="E8E8E8"/>
          </w:tcPr>
          <w:p>
            <w:pPr>
              <w:spacing w:after="0" w:line="300" w:lineRule="auto"/>
              <w:jc w:val="center"/>
            </w:pPr>
            <w:r/>
            <w:r>
              <w:rPr>
                <w:rFonts w:ascii="맑은 고딕" w:hAnsi="맑은 고딕" w:eastAsia="맑은 고딕"/>
                <w:b/>
                <w:sz w:val="18"/>
              </w:rPr>
              <w:t>3순위 소분류 코드명</w:t>
            </w:r>
          </w:p>
        </w:tc>
        <w:tc>
          <w:tcPr>
            <w:tcW w:type="dxa" w:w="3458"/>
          </w:tcPr>
          <w:p>
            <w:pPr>
              <w:spacing w:after="0" w:line="300" w:lineRule="auto"/>
            </w:pPr>
            <w:r/>
            <w:r>
              <w:rPr>
                <w:rFonts w:ascii="맑은 고딕" w:hAnsi="맑은 고딕" w:eastAsia="맑은 고딕"/>
                <w:b w:val="0"/>
                <w:sz w:val="18"/>
              </w:rPr>
              <w:t>문화/관광 — 콘텐츠·디지털 출판</w:t>
            </w:r>
          </w:p>
        </w:tc>
        <w:tc>
          <w:tcPr>
            <w:tcW w:type="dxa" w:w="1077"/>
          </w:tcPr>
          <w:p>
            <w:pPr>
              <w:spacing w:after="0" w:line="300" w:lineRule="auto"/>
              <w:jc w:val="center"/>
            </w:pPr>
            <w:r/>
            <w:r>
              <w:rPr>
                <w:rFonts w:ascii="맑은 고딕" w:hAnsi="맑은 고딕" w:eastAsia="맑은 고딕"/>
                <w:b w:val="0"/>
                <w:sz w:val="18"/>
              </w:rPr>
              <w:t>20 %</w:t>
            </w:r>
          </w:p>
        </w:tc>
      </w:tr>
    </w:tbl>
    <w:p>
      <w:pPr>
        <w:spacing w:before="0" w:after="0" w:line="300" w:lineRule="auto"/>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2381"/>
            <w:shd w:val="clear" w:color="auto" w:fill="E8E8E8"/>
          </w:tcPr>
          <w:p>
            <w:pPr>
              <w:spacing w:after="0" w:line="300" w:lineRule="auto"/>
              <w:jc w:val="center"/>
            </w:pPr>
            <w:r/>
            <w:r>
              <w:rPr>
                <w:rFonts w:ascii="맑은 고딕" w:hAnsi="맑은 고딕" w:eastAsia="맑은 고딕"/>
                <w:b/>
                <w:sz w:val="18"/>
              </w:rPr>
              <w:t>총 연구개발기간</w:t>
            </w:r>
          </w:p>
        </w:tc>
        <w:tc>
          <w:tcPr>
            <w:tcW w:type="dxa" w:w="7257"/>
          </w:tcPr>
          <w:p>
            <w:pPr>
              <w:spacing w:after="0" w:line="300" w:lineRule="auto"/>
            </w:pPr>
            <w:r/>
            <w:r>
              <w:rPr>
                <w:rFonts w:ascii="맑은 고딕" w:hAnsi="맑은 고딕" w:eastAsia="맑은 고딕"/>
                <w:b w:val="0"/>
                <w:sz w:val="18"/>
              </w:rPr>
              <w:t>2026. 09. 01. – 2026. 12. 31. (4개월)</w:t>
            </w:r>
          </w:p>
        </w:tc>
      </w:tr>
      <w:tr>
        <w:tc>
          <w:tcPr>
            <w:tcW w:type="dxa" w:w="2381"/>
            <w:shd w:val="clear" w:color="auto" w:fill="E8E8E8"/>
          </w:tcPr>
          <w:p>
            <w:pPr>
              <w:spacing w:after="0" w:line="300" w:lineRule="auto"/>
              <w:jc w:val="center"/>
            </w:pPr>
            <w:r/>
            <w:r>
              <w:rPr>
                <w:rFonts w:ascii="맑은 고딕" w:hAnsi="맑은 고딕" w:eastAsia="맑은 고딕"/>
                <w:b/>
                <w:sz w:val="18"/>
              </w:rPr>
              <w:t>총 연구개발비</w:t>
            </w:r>
          </w:p>
        </w:tc>
        <w:tc>
          <w:tcPr>
            <w:tcW w:type="dxa" w:w="7257"/>
          </w:tcPr>
          <w:p>
            <w:pPr>
              <w:spacing w:after="0" w:line="300" w:lineRule="auto"/>
            </w:pPr>
            <w:r/>
            <w:r>
              <w:rPr>
                <w:rFonts w:ascii="맑은 고딕" w:hAnsi="맑은 고딕" w:eastAsia="맑은 고딕"/>
                <w:b w:val="0"/>
                <w:sz w:val="18"/>
              </w:rPr>
              <w:t>총  55,000  천원</w:t>
            </w:r>
          </w:p>
          <w:p>
            <w:pPr>
              <w:spacing w:after="0" w:line="300" w:lineRule="auto"/>
            </w:pPr>
            <w:r>
              <w:rPr>
                <w:rFonts w:ascii="맑은 고딕" w:hAnsi="맑은 고딕" w:eastAsia="맑은 고딕"/>
                <w:b w:val="0"/>
                <w:sz w:val="18"/>
              </w:rPr>
              <w:t>(정부지원연구개발비: 50,000 천원, 기업부담연구개발비(기업대응): 5,000 천원)</w:t>
            </w:r>
          </w:p>
        </w:tc>
      </w:tr>
      <w:tr>
        <w:tc>
          <w:tcPr>
            <w:tcW w:type="dxa" w:w="2381"/>
            <w:shd w:val="clear" w:color="auto" w:fill="E8E8E8"/>
          </w:tcPr>
          <w:p>
            <w:pPr>
              <w:spacing w:after="0" w:line="300" w:lineRule="auto"/>
              <w:jc w:val="center"/>
            </w:pPr>
            <w:r/>
            <w:r>
              <w:rPr>
                <w:rFonts w:ascii="맑은 고딕" w:hAnsi="맑은 고딕" w:eastAsia="맑은 고딕"/>
                <w:b/>
                <w:sz w:val="18"/>
              </w:rPr>
              <w:t>연구개발단계</w:t>
            </w:r>
          </w:p>
        </w:tc>
        <w:tc>
          <w:tcPr>
            <w:tcW w:type="dxa" w:w="7257"/>
          </w:tcPr>
          <w:p>
            <w:pPr>
              <w:spacing w:after="0" w:line="300" w:lineRule="auto"/>
            </w:pPr>
            <w:r/>
            <w:r>
              <w:rPr>
                <w:rFonts w:ascii="맑은 고딕" w:hAnsi="맑은 고딕" w:eastAsia="맑은 고딕"/>
                <w:b w:val="0"/>
                <w:sz w:val="18"/>
              </w:rPr>
              <w:t>□기초    □응용    ☑개발</w:t>
            </w:r>
          </w:p>
          <w:p>
            <w:pPr>
              <w:spacing w:after="0" w:line="300" w:lineRule="auto"/>
            </w:pPr>
            <w:r>
              <w:rPr>
                <w:rFonts w:ascii="맑은 고딕" w:hAnsi="맑은 고딕" w:eastAsia="맑은 고딕"/>
                <w:b w:val="0"/>
                <w:sz w:val="18"/>
              </w:rPr>
              <w:t>기타(위 3가지에 해당되지 않는 경우) □</w:t>
            </w:r>
          </w:p>
        </w:tc>
      </w:tr>
      <w:tr>
        <w:tc>
          <w:tcPr>
            <w:tcW w:type="dxa" w:w="2381"/>
            <w:shd w:val="clear" w:color="auto" w:fill="E8E8E8"/>
          </w:tcPr>
          <w:p>
            <w:pPr>
              <w:spacing w:after="0" w:line="300" w:lineRule="auto"/>
              <w:jc w:val="center"/>
            </w:pPr>
            <w:r/>
            <w:r>
              <w:rPr>
                <w:rFonts w:ascii="맑은 고딕" w:hAnsi="맑은 고딕" w:eastAsia="맑은 고딕"/>
                <w:b/>
                <w:sz w:val="18"/>
              </w:rPr>
              <w:t>기술성숙도</w:t>
            </w:r>
          </w:p>
        </w:tc>
        <w:tc>
          <w:tcPr>
            <w:tcW w:type="dxa" w:w="7257"/>
          </w:tcPr>
          <w:p>
            <w:pPr>
              <w:spacing w:after="0" w:line="300" w:lineRule="auto"/>
            </w:pPr>
            <w:r/>
            <w:r>
              <w:rPr>
                <w:rFonts w:ascii="맑은 고딕" w:hAnsi="맑은 고딕" w:eastAsia="맑은 고딕"/>
                <w:b w:val="0"/>
                <w:sz w:val="18"/>
              </w:rPr>
              <w:t>착수시점 기준 ( 4 단계 ) — 연구실 규모의 소재·부품·시스템 핵심성능 평가</w:t>
            </w:r>
          </w:p>
          <w:p>
            <w:pPr>
              <w:spacing w:after="0" w:line="300" w:lineRule="auto"/>
            </w:pPr>
            <w:r>
              <w:rPr>
                <w:rFonts w:ascii="맑은 고딕" w:hAnsi="맑은 고딕" w:eastAsia="맑은 고딕"/>
                <w:b w:val="0"/>
                <w:sz w:val="18"/>
              </w:rPr>
              <w:t>종료시점 목표 ( 6 단계 ) — 시범규모의 시작품 제작 및 성능 평가</w:t>
            </w:r>
          </w:p>
        </w:tc>
      </w:tr>
    </w:tbl>
    <w:p>
      <w:pPr>
        <w:spacing w:before="0" w:after="0" w:line="300" w:lineRule="auto"/>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247"/>
            <w:vMerge w:val="restart"/>
            <w:shd w:val="clear" w:color="auto" w:fill="E8E8E8"/>
          </w:tcPr>
          <w:p>
            <w:pPr>
              <w:spacing w:after="0" w:line="300" w:lineRule="auto"/>
              <w:jc w:val="center"/>
            </w:pPr>
            <w:r/>
            <w:r>
              <w:rPr>
                <w:rFonts w:ascii="맑은 고딕" w:hAnsi="맑은 고딕" w:eastAsia="맑은 고딕"/>
                <w:b/>
                <w:sz w:val="18"/>
              </w:rPr>
              <w:t>연구개발</w:t>
            </w:r>
          </w:p>
          <w:p>
            <w:pPr>
              <w:spacing w:after="0" w:line="300" w:lineRule="auto"/>
              <w:jc w:val="center"/>
            </w:pPr>
            <w:r>
              <w:rPr>
                <w:rFonts w:ascii="맑은 고딕" w:hAnsi="맑은 고딕" w:eastAsia="맑은 고딕"/>
                <w:b/>
                <w:sz w:val="18"/>
              </w:rPr>
              <w:t>목표 및 내용</w:t>
            </w:r>
          </w:p>
        </w:tc>
        <w:tc>
          <w:tcPr>
            <w:tcW w:type="dxa" w:w="1134"/>
            <w:shd w:val="clear" w:color="auto" w:fill="E8E8E8"/>
          </w:tcPr>
          <w:p>
            <w:pPr>
              <w:spacing w:after="0" w:line="300" w:lineRule="auto"/>
              <w:jc w:val="center"/>
            </w:pPr>
            <w:r/>
            <w:r>
              <w:rPr>
                <w:rFonts w:ascii="맑은 고딕" w:hAnsi="맑은 고딕" w:eastAsia="맑은 고딕"/>
                <w:b/>
                <w:sz w:val="18"/>
              </w:rPr>
              <w:t>최종 목표</w:t>
            </w:r>
          </w:p>
        </w:tc>
        <w:tc>
          <w:tcPr>
            <w:tcW w:type="dxa" w:w="7257"/>
          </w:tcPr>
          <w:p>
            <w:pPr>
              <w:spacing w:after="0" w:line="300" w:lineRule="auto"/>
            </w:pPr>
            <w:r/>
            <w:r>
              <w:rPr>
                <w:rFonts w:ascii="맑은 고딕" w:hAnsi="맑은 고딕" w:eastAsia="맑은 고딕"/>
                <w:b w:val="0"/>
                <w:sz w:val="18"/>
              </w:rPr>
              <w:t>대학 학과별 전공 직무 외국어 학습 자원의 공백을 해소하는 콘텐츠 저작·출판·실습 통합 플랫폼을 개발한다. 호텔·관광 등 실무 중심 학과에서 요구되는 직무 상황과 용어를 시드로 삼아, 생성형 인공지능이 지문·문항·회화 시나리오 초안을 산출하고 교수가 검수 승인하는 인간 개입형 저작 엔진을 구현한다. 승인된 자원은 단일 원본에서 앱 학습화면·전자책·인쇄용 파일로 동시 출력되어 대학 명의 교재로 출간되며, 학습자는 교재와 연동된 직무 상황 말하기 롤플레이를 수행한다. 개발 목표 수준은 네 가지다. 첫째, 도메인 시드 입력에서 검수 승인까지 콘텐츠 1건당 교수 검수 시간을 3분 이내로 단축한다. 둘째, 생성 지문의 난이도를 유럽 언어 공통 참조 기준으로 자동 추정하되 전문가 판정 대비 일치율 85퍼센트 이상을 확보한다. 셋째, 음성 입출력과 대화 구조를 언어 비종속으로 설계해 중국어·일본어 확장이 가능한 아키텍처를 확립한다. 넷째, 학습 과정에서 축적된 발화와 오답 기록으로 개인별 역량 리포트를 자동 산출한다.</w:t>
            </w:r>
          </w:p>
        </w:tc>
      </w:tr>
      <w:tr>
        <w:tc>
          <w:tcPr>
            <w:tcW w:type="dxa" w:w="1247"/>
            <w:vMerge/>
          </w:tcPr>
          <w:p/>
        </w:tc>
        <w:tc>
          <w:tcPr>
            <w:tcW w:type="dxa" w:w="1134"/>
            <w:shd w:val="clear" w:color="auto" w:fill="E8E8E8"/>
          </w:tcPr>
          <w:p>
            <w:pPr>
              <w:spacing w:after="0" w:line="300" w:lineRule="auto"/>
              <w:jc w:val="center"/>
            </w:pPr>
            <w:r/>
            <w:r>
              <w:rPr>
                <w:rFonts w:ascii="맑은 고딕" w:hAnsi="맑은 고딕" w:eastAsia="맑은 고딕"/>
                <w:b/>
                <w:sz w:val="18"/>
              </w:rPr>
              <w:t>전체 내용</w:t>
            </w:r>
          </w:p>
        </w:tc>
        <w:tc>
          <w:tcPr>
            <w:tcW w:type="dxa" w:w="7257"/>
          </w:tcPr>
          <w:p>
            <w:pPr>
              <w:spacing w:after="0" w:line="300" w:lineRule="auto"/>
            </w:pPr>
            <w:r/>
            <w:r>
              <w:rPr>
                <w:rFonts w:ascii="맑은 고딕" w:hAnsi="맑은 고딕" w:eastAsia="맑은 고딕"/>
                <w:b w:val="0"/>
                <w:sz w:val="18"/>
              </w:rPr>
              <w:t>본 과제는 다섯 개 모듈로 구성된다.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첫째, 도메인 시드 기반 콘텐츠 생성 엔진이다. 교수가 학과와 직무 상황 및 요구 수준을 등록하면 이를 단일 기준 스코프로 삼아 읽기 지문, 어휘, 문항, 회화 대본을 산출한다. 소재 유입 경로는 기존 강의자료 편입, 보유 자료의 난이도 조정 변형, 요구사항 프롬프트 신규 생성의 세 가지로 설계하고, 산출물마다 출처와 생성 이력 메타데이터를 부착해 개정판 추적 근거로 삼는다.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둘째, 난이도 자동 추정 모듈이다. 어휘 난이도, 어휘 다양도, 평균 문장 길이, 문장 복잡도, 문법 가중치, 정보 밀도, 배경지식 의존도 등 정량 지표군과 언어모델 정성 분석을 결합한 하이브리드 방식으로 유럽 언어 공통 참조 기준 등급과 신뢰도를 함께 산출하고, 목표 등급과 편차가 크면 재생성을 권고한다.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셋째, 전문가 검수 게이트다. 모든 산출물은 검수 대기 상태로 적재되며 인라인 수정과 승인 반려 처리를 거쳐야 라이브러리에 축적된다. 미승인 자원의 학생 배포와 교재 발행은 차단하며, 등급 판정 근거와 기여 지표 상위 항목을 함께 제시해 검수 판단을 지원한다.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넷째, 단일 원본 다중 출력 출판 파이프라인이다. 승인 자원을 단원으로 엮어 목차 초안을 자동 구성하고, 확정 원본 하나에서 앱 학습화면과 전자책 규격 파일 및 인쇄 대응 파일을 함께 생성한다. 전자책 각 단원에는 학습 모듈 진입 링크를, 인쇄물에는 식별 코드를 넣어 종이 답안이 온라인 채점과 분석으로 연결되도록 한다.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다섯째, 말하기 실습 및 역량 증명 모듈이다. 프런트 응대와 컴플레인 처리 같은 직무 장면을 롤플레이로 재현하고, 목표 제시부터 학습, 반복 훈련, 적용, 측정에 이르는 단계별 흐름으로 발화를 지도한다. 침묵 구간과 인식 신뢰도에 따라 힌트 단계를 조절하며, 발화 속도와 오류율, 발화량, 상호작용 빈도 등을 절대 단위로 수집해 개인별 역량 리포트를 발급한다.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예상 결과물은 저작과 출판이 결합된 통합 웹 시스템, 학습 실행 애플리케이션, 파일럿 학과 대상 시범 교재 1종과 롤플레이 시나리오 세트, 재학생 실증 기반 학습 효과 검증 보고서이다.</w:t>
            </w:r>
          </w:p>
        </w:tc>
      </w:tr>
    </w:tbl>
    <w:p>
      <w:pPr>
        <w:spacing w:before="0" w:after="0" w:line="300" w:lineRule="auto"/>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2381"/>
            <w:shd w:val="clear" w:color="auto" w:fill="E8E8E8"/>
          </w:tcPr>
          <w:p>
            <w:pPr>
              <w:spacing w:after="0" w:line="300" w:lineRule="auto"/>
              <w:jc w:val="center"/>
            </w:pPr>
            <w:r/>
            <w:r>
              <w:rPr>
                <w:rFonts w:ascii="맑은 고딕" w:hAnsi="맑은 고딕" w:eastAsia="맑은 고딕"/>
                <w:b/>
                <w:sz w:val="18"/>
              </w:rPr>
              <w:t>연구개발성과</w:t>
            </w:r>
          </w:p>
          <w:p>
            <w:pPr>
              <w:spacing w:after="0" w:line="300" w:lineRule="auto"/>
              <w:jc w:val="center"/>
            </w:pPr>
            <w:r>
              <w:rPr>
                <w:rFonts w:ascii="맑은 고딕" w:hAnsi="맑은 고딕" w:eastAsia="맑은 고딕"/>
                <w:b/>
                <w:sz w:val="18"/>
              </w:rPr>
              <w:t>활용계획 및</w:t>
            </w:r>
          </w:p>
          <w:p>
            <w:pPr>
              <w:spacing w:after="0" w:line="300" w:lineRule="auto"/>
              <w:jc w:val="center"/>
            </w:pPr>
            <w:r>
              <w:rPr>
                <w:rFonts w:ascii="맑은 고딕" w:hAnsi="맑은 고딕" w:eastAsia="맑은 고딕"/>
                <w:b/>
                <w:sz w:val="18"/>
              </w:rPr>
              <w:t>기대 효과</w:t>
            </w:r>
          </w:p>
        </w:tc>
        <w:tc>
          <w:tcPr>
            <w:tcW w:type="dxa" w:w="7257"/>
          </w:tcPr>
          <w:p>
            <w:pPr>
              <w:spacing w:after="0" w:line="300" w:lineRule="auto"/>
            </w:pPr>
            <w:r/>
            <w:r>
              <w:rPr>
                <w:rFonts w:ascii="맑은 고딕" w:hAnsi="맑은 고딕" w:eastAsia="맑은 고딕"/>
                <w:b w:val="0"/>
                <w:sz w:val="18"/>
              </w:rPr>
              <w:t>본 과제는 글로벌서비스 기업협업센터의 목적인 정보기술 융복합 서비스 산업의 인공지능 기반 글로벌 서비스 인재 양성에 직접 부합한다. 개발 결과물이 곧 교육 자산이 되어, 재학생은 직무 현장에서 실제로 쓰이는 외국어를 반복 훈련하고 그 성취를 데이터로 증명받는다.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수요처는 세 갈래다. 첫째는 교내 교과·비교과 과정으로, 출간 교재와 실습 환경이 학과 교육에 바로 편성된다. 둘째는 동일 전공을 둔 전국 전문대학으로, 완성 교재를 라이선스와 주문형 인쇄로 공급한다. 셋째는 호텔·관광·항공 등 서비스 산업 재직자 교육 시장이다.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경제적 가치는 세 방향에서 발생한다. 소량 주문형 인쇄는 재고 부담 없이 소규모 특수 목적 교재의 출판 손익 분기를 낮춘다. 저작 자동화는 교재 한 종 개발에 드는 인건비와 기간을 절감한다. 언어 비종속 설계는 영어 자산을 중국어와 일본어로 재사용하게 하여 학과와 언어의 조합만큼 자산 규모를 배가한다.</w:t>
            </w:r>
          </w:p>
          <w:p>
            <w:pPr>
              <w:spacing w:after="0" w:line="300" w:lineRule="auto"/>
            </w:pPr>
            <w:r>
              <w:rPr>
                <w:rFonts w:ascii="맑은 고딕" w:hAnsi="맑은 고딕" w:eastAsia="맑은 고딕"/>
                <w:b w:val="0"/>
                <w:sz w:val="18"/>
              </w:rPr>
            </w:r>
          </w:p>
          <w:p>
            <w:pPr>
              <w:spacing w:after="0" w:line="300" w:lineRule="auto"/>
            </w:pPr>
            <w:r>
              <w:rPr>
                <w:rFonts w:ascii="맑은 고딕" w:hAnsi="맑은 고딕" w:eastAsia="맑은 고딕"/>
                <w:b w:val="0"/>
                <w:sz w:val="18"/>
              </w:rPr>
              <w:t>파급효과로는 서울 관광·항공 산업의 다국어 응대 인력 공급 개선, 대학 브랜드 교재의 외부 유통을 통한 산학협력 수익 모델 확보, 재학생 취업 경쟁력 강화를 기대한다.</w:t>
            </w:r>
          </w:p>
        </w:tc>
      </w:tr>
    </w:tbl>
    <w:p>
      <w:pPr>
        <w:spacing w:before="0" w:after="0" w:line="300" w:lineRule="auto"/>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2381"/>
            <w:shd w:val="clear" w:color="auto" w:fill="E8E8E8"/>
          </w:tcPr>
          <w:p>
            <w:pPr>
              <w:spacing w:after="0" w:line="300" w:lineRule="auto"/>
              <w:jc w:val="center"/>
            </w:pPr>
            <w:r/>
            <w:r>
              <w:rPr>
                <w:rFonts w:ascii="맑은 고딕" w:hAnsi="맑은 고딕" w:eastAsia="맑은 고딕"/>
                <w:b/>
                <w:sz w:val="18"/>
              </w:rPr>
              <w:t>국문핵심어</w:t>
            </w:r>
          </w:p>
          <w:p>
            <w:pPr>
              <w:spacing w:after="0" w:line="300" w:lineRule="auto"/>
              <w:jc w:val="center"/>
            </w:pPr>
            <w:r>
              <w:rPr>
                <w:rFonts w:ascii="맑은 고딕" w:hAnsi="맑은 고딕" w:eastAsia="맑은 고딕"/>
                <w:b/>
                <w:sz w:val="18"/>
              </w:rPr>
              <w:t>(5개 이내)</w:t>
            </w:r>
          </w:p>
        </w:tc>
        <w:tc>
          <w:tcPr>
            <w:tcW w:type="dxa" w:w="7257"/>
          </w:tcPr>
          <w:p>
            <w:pPr>
              <w:spacing w:after="0" w:line="300" w:lineRule="auto"/>
            </w:pPr>
            <w:r/>
            <w:r>
              <w:rPr>
                <w:rFonts w:ascii="맑은 고딕" w:hAnsi="맑은 고딕" w:eastAsia="맑은 고딕"/>
                <w:b w:val="0"/>
                <w:sz w:val="18"/>
              </w:rPr>
              <w:t>전공직무외국어,  생성형인공지능,  콘텐츠저작자동화,  디지털교재출판,  인공지능말하기실습</w:t>
            </w:r>
          </w:p>
        </w:tc>
      </w:tr>
      <w:tr>
        <w:tc>
          <w:tcPr>
            <w:tcW w:type="dxa" w:w="2381"/>
            <w:shd w:val="clear" w:color="auto" w:fill="E8E8E8"/>
          </w:tcPr>
          <w:p>
            <w:pPr>
              <w:spacing w:after="0" w:line="300" w:lineRule="auto"/>
              <w:jc w:val="center"/>
            </w:pPr>
            <w:r/>
            <w:r>
              <w:rPr>
                <w:rFonts w:ascii="맑은 고딕" w:hAnsi="맑은 고딕" w:eastAsia="맑은 고딕"/>
                <w:b/>
                <w:sz w:val="18"/>
              </w:rPr>
              <w:t>영문핵심어</w:t>
            </w:r>
          </w:p>
          <w:p>
            <w:pPr>
              <w:spacing w:after="0" w:line="300" w:lineRule="auto"/>
              <w:jc w:val="center"/>
            </w:pPr>
            <w:r>
              <w:rPr>
                <w:rFonts w:ascii="맑은 고딕" w:hAnsi="맑은 고딕" w:eastAsia="맑은 고딕"/>
                <w:b/>
                <w:sz w:val="18"/>
              </w:rPr>
              <w:t>(5개 이내)</w:t>
            </w:r>
          </w:p>
        </w:tc>
        <w:tc>
          <w:tcPr>
            <w:tcW w:type="dxa" w:w="7257"/>
          </w:tcPr>
          <w:p>
            <w:pPr>
              <w:spacing w:after="0" w:line="300" w:lineRule="auto"/>
            </w:pPr>
            <w:r/>
            <w:r>
              <w:rPr>
                <w:rFonts w:ascii="맑은 고딕" w:hAnsi="맑은 고딕" w:eastAsia="맑은 고딕"/>
                <w:b w:val="0"/>
                <w:sz w:val="18"/>
              </w:rPr>
              <w:t>Occupational Language Learning,  Generative AI,  Content Authoring Automation,  Digital Textbook Publishing,  AI Speaking Practice</w:t>
            </w:r>
          </w:p>
        </w:tc>
      </w:tr>
    </w:tbl>
    <w:p>
      <w:pPr>
        <w:spacing w:before="240" w:after="40" w:line="300" w:lineRule="auto"/>
      </w:pPr>
    </w:p>
    <w:p>
      <w:pPr>
        <w:spacing w:before="0" w:after="20" w:line="300" w:lineRule="auto"/>
      </w:pPr>
      <w:r>
        <w:rPr>
          <w:rFonts w:ascii="맑은 고딕" w:hAnsi="맑은 고딕" w:eastAsia="맑은 고딕"/>
          <w:b w:val="0"/>
          <w:sz w:val="17"/>
        </w:rPr>
        <w:t>1. 기술분류: 국가과학기술 표준분류를 기준으로, 기술분류를 기재</w:t>
      </w:r>
    </w:p>
    <w:p>
      <w:pPr>
        <w:spacing w:before="0" w:after="20" w:line="300" w:lineRule="auto"/>
      </w:pPr>
      <w:r>
        <w:rPr>
          <w:rFonts w:ascii="맑은 고딕" w:hAnsi="맑은 고딕" w:eastAsia="맑은 고딕"/>
          <w:b w:val="0"/>
          <w:sz w:val="17"/>
        </w:rPr>
        <w:t>2. 연구개발단계: 해당되는 연구개발과제의 연구개발단계 유형에 [√] 표시</w:t>
      </w:r>
    </w:p>
    <w:p>
      <w:pPr>
        <w:spacing w:before="0" w:after="20" w:line="300" w:lineRule="auto"/>
        <w:ind w:left="340"/>
      </w:pPr>
      <w:r>
        <w:rPr>
          <w:rFonts w:ascii="맑은 고딕" w:hAnsi="맑은 고딕" w:eastAsia="맑은 고딕"/>
          <w:b w:val="0"/>
          <w:sz w:val="17"/>
        </w:rPr>
        <w:t>1) 기초연구단계: 특수한 응용 또는 사업을 직접적 목표로 하지 아니하고 현상 및 관찰 가능한 사실에 대한 새로운 지식을 얻기 위하여 수행하는 이론적 또는 실험적 연구단계</w:t>
      </w:r>
    </w:p>
    <w:p>
      <w:pPr>
        <w:spacing w:before="0" w:after="20" w:line="300" w:lineRule="auto"/>
        <w:ind w:left="340"/>
      </w:pPr>
      <w:r>
        <w:rPr>
          <w:rFonts w:ascii="맑은 고딕" w:hAnsi="맑은 고딕" w:eastAsia="맑은 고딕"/>
          <w:b w:val="0"/>
          <w:sz w:val="17"/>
        </w:rPr>
        <w:t>2) 응용연구단계: 기초연구단계에서 얻어진 지식을 이용하여 주로 실용적인 목적으로 새로운 과학적 지식을 얻기 위하여 수행하는 독창적인 연구단계</w:t>
      </w:r>
    </w:p>
    <w:p>
      <w:pPr>
        <w:spacing w:before="0" w:after="20" w:line="300" w:lineRule="auto"/>
        <w:ind w:left="340"/>
      </w:pPr>
      <w:r>
        <w:rPr>
          <w:rFonts w:ascii="맑은 고딕" w:hAnsi="맑은 고딕" w:eastAsia="맑은 고딕"/>
          <w:b w:val="0"/>
          <w:sz w:val="17"/>
        </w:rPr>
        <w:t>3) 개발연구단계: 기초연구단계, 응용연구단계 및 실제 경험에서 얻어진 지식을 이용하여 새로운 제품, 장치 및 서비스를 생산하거나 이미 생산되거나 설치된 것을 실질적으로 개선하기 위하여 수행하는 체계적 연구단계</w:t>
      </w:r>
    </w:p>
    <w:p>
      <w:pPr>
        <w:spacing w:before="0" w:after="20" w:line="300" w:lineRule="auto"/>
        <w:ind w:left="340"/>
      </w:pPr>
      <w:r>
        <w:rPr>
          <w:rFonts w:ascii="맑은 고딕" w:hAnsi="맑은 고딕" w:eastAsia="맑은 고딕"/>
          <w:b w:val="0"/>
          <w:sz w:val="17"/>
        </w:rPr>
        <w:t>4) 기타: 기초, 응용, 개발 등 3가지 단계에 해당하지 않는 경우</w:t>
      </w:r>
    </w:p>
    <w:p>
      <w:pPr>
        <w:spacing w:before="0" w:after="20" w:line="300" w:lineRule="auto"/>
      </w:pPr>
      <w:r>
        <w:rPr>
          <w:rFonts w:ascii="맑은 고딕" w:hAnsi="맑은 고딕" w:eastAsia="맑은 고딕"/>
          <w:b w:val="0"/>
          <w:sz w:val="17"/>
        </w:rPr>
        <w:t>3. 기술성숙도: 특정기술(재료, 부품, 소자, 시스템 등)의 성숙도로서 최종 연구개발 목표, 내용, 최종 결과물 등을 고려하여 아래의 9단계 중 해당하는 단계를 선택(특정기술의 개발을 목적으로 하는 연구개발과제의 경우에만 작성)</w:t>
      </w:r>
    </w:p>
    <w:p>
      <w:pPr>
        <w:spacing w:before="0" w:after="20" w:line="300" w:lineRule="auto"/>
        <w:ind w:left="340"/>
      </w:pPr>
      <w:r>
        <w:rPr>
          <w:rFonts w:ascii="맑은 고딕" w:hAnsi="맑은 고딕" w:eastAsia="맑은 고딕"/>
          <w:b w:val="0"/>
          <w:sz w:val="17"/>
        </w:rPr>
        <w:t>1) 기초연구단계: 1단계(기초 이론ㆍ실험), 2단계(실용 목적의 아이디어, 특허 등 개념 정립)</w:t>
      </w:r>
    </w:p>
    <w:p>
      <w:pPr>
        <w:spacing w:before="0" w:after="20" w:line="300" w:lineRule="auto"/>
        <w:ind w:left="340"/>
      </w:pPr>
      <w:r>
        <w:rPr>
          <w:rFonts w:ascii="맑은 고딕" w:hAnsi="맑은 고딕" w:eastAsia="맑은 고딕"/>
          <w:b w:val="0"/>
          <w:sz w:val="17"/>
        </w:rPr>
        <w:t>2) 실험단계: 3단계(연구실 규모의 기본성능 검증), 4단계(연구실 규모의 소재ㆍ부품ㆍ시스템 핵심성능 평가)</w:t>
      </w:r>
    </w:p>
    <w:p>
      <w:pPr>
        <w:spacing w:before="0" w:after="20" w:line="300" w:lineRule="auto"/>
        <w:ind w:left="340"/>
      </w:pPr>
      <w:r>
        <w:rPr>
          <w:rFonts w:ascii="맑은 고딕" w:hAnsi="맑은 고딕" w:eastAsia="맑은 고딕"/>
          <w:b w:val="0"/>
          <w:sz w:val="17"/>
        </w:rPr>
        <w:t>3) 시작품단계: 5단계(확정된 소재ㆍ부품ㆍ시스템 시작품 제작 및 성능 평가), 6단계(시범규모의 시작품 제작 및 성능 평가)</w:t>
      </w:r>
    </w:p>
    <w:p>
      <w:pPr>
        <w:spacing w:before="0" w:after="20" w:line="300" w:lineRule="auto"/>
        <w:ind w:left="340"/>
      </w:pPr>
      <w:r>
        <w:rPr>
          <w:rFonts w:ascii="맑은 고딕" w:hAnsi="맑은 고딕" w:eastAsia="맑은 고딕"/>
          <w:b w:val="0"/>
          <w:sz w:val="17"/>
        </w:rPr>
        <w:t>4) 제품화단계: 7단계(신뢰성평가 및 수요기업 평가), 8단계(시험제품 인증 및 표준화)</w:t>
      </w:r>
    </w:p>
    <w:p>
      <w:pPr>
        <w:spacing w:before="0" w:after="20" w:line="300" w:lineRule="auto"/>
        <w:ind w:left="340"/>
      </w:pPr>
      <w:r>
        <w:rPr>
          <w:rFonts w:ascii="맑은 고딕" w:hAnsi="맑은 고딕" w:eastAsia="맑은 고딕"/>
          <w:b w:val="0"/>
          <w:sz w:val="17"/>
        </w:rPr>
        <w:t>5) 사업화단계: 9단계(사업화)</w:t>
      </w:r>
    </w:p>
    <w:p>
      <w:pPr>
        <w:spacing w:before="0" w:after="20" w:line="300" w:lineRule="auto"/>
      </w:pPr>
      <w:r>
        <w:rPr>
          <w:rFonts w:ascii="맑은 고딕" w:hAnsi="맑은 고딕" w:eastAsia="맑은 고딕"/>
          <w:b w:val="0"/>
          <w:sz w:val="17"/>
        </w:rPr>
        <w:t>4. 연구개발 목표: 연구개발과제의 목표를 500자 내외로 기재</w:t>
      </w:r>
    </w:p>
    <w:p>
      <w:pPr>
        <w:spacing w:before="0" w:after="20" w:line="300" w:lineRule="auto"/>
      </w:pPr>
      <w:r>
        <w:rPr>
          <w:rFonts w:ascii="맑은 고딕" w:hAnsi="맑은 고딕" w:eastAsia="맑은 고딕"/>
          <w:b w:val="0"/>
          <w:sz w:val="17"/>
        </w:rPr>
        <w:t>5. 연구개발 내용: 연구개발과제의 내용을 1,000자 내외로 기재</w:t>
      </w:r>
    </w:p>
    <w:p>
      <w:pPr>
        <w:spacing w:before="0" w:after="20" w:line="300" w:lineRule="auto"/>
      </w:pPr>
      <w:r>
        <w:rPr>
          <w:rFonts w:ascii="맑은 고딕" w:hAnsi="맑은 고딕" w:eastAsia="맑은 고딕"/>
          <w:b w:val="0"/>
          <w:sz w:val="17"/>
        </w:rPr>
        <w:t>6. 연구개발성과 활용계획 및 기대효과: 연구개발성과의 수요처, 활용내용, 경제적 파급효과 등을 500자 내외로 기재(연구시설ㆍ장비 구축을 목적으로 하는 연구개발과제의 경우에 연구시설ㆍ장비를 활용한 성과관리 및 자립운영계획, 수입금 관리 및 운영계획 등)</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312"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