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D71" w:rsidRPr="00475238" w:rsidRDefault="00475238" w:rsidP="00DC46F5">
      <w:pPr>
        <w:spacing w:after="0" w:line="240" w:lineRule="auto"/>
        <w:rPr>
          <w:rFonts w:ascii="Arial" w:hAnsi="Arial" w:cs="Arial"/>
          <w:b/>
          <w:sz w:val="24"/>
          <w:szCs w:val="24"/>
        </w:rPr>
      </w:pPr>
      <w:r w:rsidRPr="00475238">
        <w:rPr>
          <w:rFonts w:ascii="Arial" w:hAnsi="Arial" w:cs="Arial"/>
          <w:b/>
          <w:sz w:val="24"/>
          <w:szCs w:val="24"/>
        </w:rPr>
        <w:t>SMS Developer - Requirements Pack</w:t>
      </w:r>
    </w:p>
    <w:p w:rsidR="00475238" w:rsidRDefault="00475238" w:rsidP="00DC46F5">
      <w:pPr>
        <w:spacing w:after="0" w:line="240" w:lineRule="auto"/>
        <w:rPr>
          <w:rFonts w:ascii="Arial" w:hAnsi="Arial" w:cs="Arial"/>
          <w:sz w:val="24"/>
          <w:szCs w:val="24"/>
        </w:rPr>
      </w:pPr>
    </w:p>
    <w:p w:rsidR="00475238" w:rsidRDefault="00475238" w:rsidP="00DC46F5">
      <w:pPr>
        <w:spacing w:after="0" w:line="240" w:lineRule="auto"/>
        <w:rPr>
          <w:rFonts w:ascii="Arial" w:hAnsi="Arial" w:cs="Arial"/>
          <w:sz w:val="24"/>
          <w:szCs w:val="24"/>
        </w:rPr>
      </w:pPr>
      <w:r>
        <w:rPr>
          <w:rFonts w:ascii="Arial" w:hAnsi="Arial" w:cs="Arial"/>
          <w:sz w:val="24"/>
          <w:szCs w:val="24"/>
        </w:rPr>
        <w:t>Table of Contents</w:t>
      </w:r>
    </w:p>
    <w:p w:rsidR="00475238" w:rsidRDefault="00475238" w:rsidP="00DC46F5">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085"/>
        <w:gridCol w:w="1464"/>
        <w:gridCol w:w="4439"/>
      </w:tblGrid>
      <w:tr w:rsidR="00475238" w:rsidRPr="00F726B1" w:rsidTr="0089739E">
        <w:trPr>
          <w:trHeight w:val="285"/>
        </w:trPr>
        <w:tc>
          <w:tcPr>
            <w:tcW w:w="3085" w:type="dxa"/>
          </w:tcPr>
          <w:p w:rsidR="00475238" w:rsidRPr="00F726B1" w:rsidRDefault="00475238" w:rsidP="009D49B5">
            <w:pPr>
              <w:rPr>
                <w:rFonts w:ascii="Arial" w:hAnsi="Arial" w:cs="Arial"/>
                <w:b/>
              </w:rPr>
            </w:pPr>
            <w:r w:rsidRPr="00F726B1">
              <w:rPr>
                <w:rFonts w:ascii="Arial" w:hAnsi="Arial" w:cs="Arial"/>
                <w:b/>
              </w:rPr>
              <w:t>Item</w:t>
            </w:r>
          </w:p>
        </w:tc>
        <w:tc>
          <w:tcPr>
            <w:tcW w:w="1464" w:type="dxa"/>
          </w:tcPr>
          <w:p w:rsidR="00475238" w:rsidRPr="00F726B1" w:rsidRDefault="00475238" w:rsidP="009D49B5">
            <w:pPr>
              <w:rPr>
                <w:rFonts w:ascii="Arial" w:hAnsi="Arial" w:cs="Arial"/>
                <w:b/>
              </w:rPr>
            </w:pPr>
            <w:r w:rsidRPr="00F726B1">
              <w:rPr>
                <w:rFonts w:ascii="Arial" w:hAnsi="Arial" w:cs="Arial"/>
                <w:b/>
              </w:rPr>
              <w:t>Format</w:t>
            </w:r>
          </w:p>
        </w:tc>
        <w:tc>
          <w:tcPr>
            <w:tcW w:w="4439" w:type="dxa"/>
          </w:tcPr>
          <w:p w:rsidR="00475238" w:rsidRPr="00F726B1" w:rsidRDefault="00475238" w:rsidP="009D49B5">
            <w:pPr>
              <w:rPr>
                <w:rFonts w:ascii="Arial" w:hAnsi="Arial" w:cs="Arial"/>
                <w:b/>
              </w:rPr>
            </w:pPr>
            <w:r w:rsidRPr="00F726B1">
              <w:rPr>
                <w:rFonts w:ascii="Arial" w:hAnsi="Arial" w:cs="Arial"/>
                <w:b/>
              </w:rPr>
              <w:t>Description</w:t>
            </w:r>
          </w:p>
        </w:tc>
      </w:tr>
      <w:tr w:rsidR="00475238" w:rsidRPr="00F726B1" w:rsidTr="0089739E">
        <w:trPr>
          <w:trHeight w:val="285"/>
        </w:trPr>
        <w:tc>
          <w:tcPr>
            <w:tcW w:w="3085" w:type="dxa"/>
            <w:hideMark/>
          </w:tcPr>
          <w:p w:rsidR="00475238" w:rsidRPr="00F726B1" w:rsidRDefault="0089739E" w:rsidP="009D49B5">
            <w:pPr>
              <w:rPr>
                <w:rFonts w:ascii="Arial" w:hAnsi="Arial" w:cs="Arial"/>
              </w:rPr>
            </w:pPr>
            <w:r w:rsidRPr="0089739E">
              <w:rPr>
                <w:rFonts w:ascii="Arial" w:hAnsi="Arial" w:cs="Arial"/>
              </w:rPr>
              <w:t>Target Operating Model - Spine Mini Services - Self-Evaluation Checklist</w:t>
            </w:r>
          </w:p>
        </w:tc>
        <w:tc>
          <w:tcPr>
            <w:tcW w:w="1464" w:type="dxa"/>
            <w:hideMark/>
          </w:tcPr>
          <w:p w:rsidR="00475238" w:rsidRPr="00F726B1" w:rsidRDefault="00475238" w:rsidP="009D49B5">
            <w:pPr>
              <w:rPr>
                <w:rFonts w:ascii="Arial" w:hAnsi="Arial" w:cs="Arial"/>
              </w:rPr>
            </w:pPr>
            <w:r w:rsidRPr="00F726B1">
              <w:rPr>
                <w:rFonts w:ascii="Arial" w:hAnsi="Arial" w:cs="Arial"/>
              </w:rPr>
              <w:t>.</w:t>
            </w:r>
            <w:proofErr w:type="spellStart"/>
            <w:r w:rsidRPr="00F726B1">
              <w:rPr>
                <w:rFonts w:ascii="Arial" w:hAnsi="Arial" w:cs="Arial"/>
              </w:rPr>
              <w:t>xlsx</w:t>
            </w:r>
            <w:proofErr w:type="spellEnd"/>
          </w:p>
        </w:tc>
        <w:tc>
          <w:tcPr>
            <w:tcW w:w="4439" w:type="dxa"/>
            <w:hideMark/>
          </w:tcPr>
          <w:p w:rsidR="00475238" w:rsidRPr="00F726B1" w:rsidRDefault="00475238" w:rsidP="009D49B5">
            <w:pPr>
              <w:rPr>
                <w:rFonts w:ascii="Arial" w:hAnsi="Arial" w:cs="Arial"/>
              </w:rPr>
            </w:pPr>
            <w:r w:rsidRPr="00F726B1">
              <w:rPr>
                <w:rFonts w:ascii="Arial" w:hAnsi="Arial" w:cs="Arial"/>
              </w:rPr>
              <w:t>For download (.</w:t>
            </w:r>
            <w:proofErr w:type="spellStart"/>
            <w:r w:rsidRPr="00F726B1">
              <w:rPr>
                <w:rFonts w:ascii="Arial" w:hAnsi="Arial" w:cs="Arial"/>
              </w:rPr>
              <w:t>xlsx</w:t>
            </w:r>
            <w:proofErr w:type="spellEnd"/>
            <w:r w:rsidRPr="00F726B1">
              <w:rPr>
                <w:rFonts w:ascii="Arial" w:hAnsi="Arial" w:cs="Arial"/>
              </w:rPr>
              <w:t>) and completion by Supplier and End User and submission to NHS Digital for review and approval at key stage of the connection process.</w:t>
            </w:r>
          </w:p>
        </w:tc>
      </w:tr>
      <w:tr w:rsidR="00475238" w:rsidRPr="00F726B1" w:rsidTr="0089739E">
        <w:trPr>
          <w:trHeight w:val="285"/>
        </w:trPr>
        <w:tc>
          <w:tcPr>
            <w:tcW w:w="3085" w:type="dxa"/>
            <w:hideMark/>
          </w:tcPr>
          <w:p w:rsidR="00475238" w:rsidRPr="007A2FE9" w:rsidRDefault="00475238" w:rsidP="009D49B5">
            <w:pPr>
              <w:rPr>
                <w:rFonts w:ascii="Arial" w:hAnsi="Arial" w:cs="Arial"/>
              </w:rPr>
            </w:pPr>
            <w:proofErr w:type="spellStart"/>
            <w:r w:rsidRPr="007A2FE9">
              <w:rPr>
                <w:rFonts w:ascii="Arial" w:hAnsi="Arial" w:cs="Arial"/>
              </w:rPr>
              <w:t>PDSMiniServices</w:t>
            </w:r>
            <w:proofErr w:type="spellEnd"/>
          </w:p>
          <w:p w:rsidR="00475238" w:rsidRPr="007A2FE9" w:rsidRDefault="00475238" w:rsidP="009D49B5">
            <w:pPr>
              <w:rPr>
                <w:rFonts w:ascii="Arial" w:hAnsi="Arial" w:cs="Arial"/>
              </w:rPr>
            </w:pPr>
          </w:p>
        </w:tc>
        <w:tc>
          <w:tcPr>
            <w:tcW w:w="1464" w:type="dxa"/>
            <w:hideMark/>
          </w:tcPr>
          <w:p w:rsidR="00475238" w:rsidRPr="007A2FE9" w:rsidRDefault="00475238" w:rsidP="009D49B5">
            <w:pPr>
              <w:rPr>
                <w:rFonts w:ascii="Arial" w:hAnsi="Arial" w:cs="Arial"/>
              </w:rPr>
            </w:pPr>
            <w:r w:rsidRPr="007A2FE9">
              <w:rPr>
                <w:rFonts w:ascii="Arial" w:hAnsi="Arial" w:cs="Arial"/>
              </w:rPr>
              <w:t>.zip</w:t>
            </w:r>
          </w:p>
        </w:tc>
        <w:tc>
          <w:tcPr>
            <w:tcW w:w="4439" w:type="dxa"/>
            <w:hideMark/>
          </w:tcPr>
          <w:p w:rsidR="00475238" w:rsidRPr="004549CD" w:rsidRDefault="00475238" w:rsidP="009D49B5">
            <w:pPr>
              <w:rPr>
                <w:rFonts w:ascii="Arial" w:hAnsi="Arial" w:cs="Arial"/>
              </w:rPr>
            </w:pPr>
            <w:r w:rsidRPr="004549CD">
              <w:rPr>
                <w:rFonts w:ascii="Arial" w:hAnsi="Arial" w:cs="Arial"/>
              </w:rPr>
              <w:t>Contains the Domain Message Specification.</w:t>
            </w:r>
          </w:p>
        </w:tc>
      </w:tr>
      <w:tr w:rsidR="00475238" w:rsidRPr="00F726B1" w:rsidTr="0089739E">
        <w:trPr>
          <w:trHeight w:val="285"/>
        </w:trPr>
        <w:tc>
          <w:tcPr>
            <w:tcW w:w="3085" w:type="dxa"/>
            <w:hideMark/>
          </w:tcPr>
          <w:p w:rsidR="00475238" w:rsidRPr="00F726B1" w:rsidRDefault="00475238" w:rsidP="009D49B5">
            <w:pPr>
              <w:rPr>
                <w:rFonts w:ascii="Arial" w:hAnsi="Arial" w:cs="Arial"/>
              </w:rPr>
            </w:pPr>
            <w:r w:rsidRPr="00F726B1">
              <w:rPr>
                <w:rFonts w:ascii="Arial" w:hAnsi="Arial" w:cs="Arial"/>
              </w:rPr>
              <w:t>SMSP Response Codes v1.0</w:t>
            </w:r>
          </w:p>
        </w:tc>
        <w:tc>
          <w:tcPr>
            <w:tcW w:w="1464" w:type="dxa"/>
            <w:hideMark/>
          </w:tcPr>
          <w:p w:rsidR="00475238" w:rsidRPr="00F726B1" w:rsidRDefault="00475238" w:rsidP="009D49B5">
            <w:pPr>
              <w:rPr>
                <w:rFonts w:ascii="Arial" w:hAnsi="Arial" w:cs="Arial"/>
              </w:rPr>
            </w:pPr>
            <w:r w:rsidRPr="00F726B1">
              <w:rPr>
                <w:rFonts w:ascii="Arial" w:hAnsi="Arial" w:cs="Arial"/>
              </w:rPr>
              <w:t>.</w:t>
            </w:r>
            <w:proofErr w:type="spellStart"/>
            <w:r w:rsidRPr="00F726B1">
              <w:rPr>
                <w:rFonts w:ascii="Arial" w:hAnsi="Arial" w:cs="Arial"/>
              </w:rPr>
              <w:t>xlsx</w:t>
            </w:r>
            <w:proofErr w:type="spellEnd"/>
          </w:p>
        </w:tc>
        <w:tc>
          <w:tcPr>
            <w:tcW w:w="4439" w:type="dxa"/>
            <w:hideMark/>
          </w:tcPr>
          <w:p w:rsidR="00475238" w:rsidRPr="00F726B1" w:rsidRDefault="00475238" w:rsidP="009D49B5">
            <w:pPr>
              <w:rPr>
                <w:rFonts w:ascii="Arial" w:hAnsi="Arial" w:cs="Arial"/>
              </w:rPr>
            </w:pPr>
            <w:r w:rsidRPr="00F726B1">
              <w:rPr>
                <w:rFonts w:ascii="Arial" w:hAnsi="Arial" w:cs="Arial"/>
              </w:rPr>
              <w:t xml:space="preserve">Definition of response codes returned by SMSP, used when developing production functionality. </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ITK Spine Mini Service - Common Client Requirements-v1.0</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Standard Spine Mini Service Client requirements - included in the TOM and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PDS - Spine Mini Service Provider Requirements-v1.0</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PDS specific Spine Mini Service Provider requirements. Contains the ITK message definitions,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PDS - Spine Mini Service Client Requirements-v1.0</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PDS specific Spine Mini Service Client requirements - included in the TOM,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ITK Spine Mini Service - Common Provider Requirements-v1.0</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Standard Spine Mini Service Provider requirements,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ITK 2 0 Distribution Envelope Requirements v1.0</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Contains requirements for message creation,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Audit Identity Guidance Spine Mini Services V2.8</w:t>
            </w:r>
          </w:p>
        </w:tc>
        <w:tc>
          <w:tcPr>
            <w:tcW w:w="1464" w:type="dxa"/>
            <w:hideMark/>
          </w:tcPr>
          <w:p w:rsidR="00475238" w:rsidRPr="00F726B1" w:rsidRDefault="00475238" w:rsidP="009D49B5">
            <w:pPr>
              <w:rPr>
                <w:rFonts w:ascii="Arial" w:hAnsi="Arial" w:cs="Arial"/>
              </w:rPr>
            </w:pPr>
            <w:r w:rsidRPr="00F726B1">
              <w:rPr>
                <w:rFonts w:ascii="Arial" w:hAnsi="Arial" w:cs="Arial"/>
              </w:rPr>
              <w:t>.</w:t>
            </w:r>
            <w:proofErr w:type="spellStart"/>
            <w:r w:rsidRPr="00F726B1">
              <w:rPr>
                <w:rFonts w:ascii="Arial" w:hAnsi="Arial" w:cs="Arial"/>
              </w:rPr>
              <w:t>docx</w:t>
            </w:r>
            <w:proofErr w:type="spellEnd"/>
          </w:p>
        </w:tc>
        <w:tc>
          <w:tcPr>
            <w:tcW w:w="4439" w:type="dxa"/>
            <w:hideMark/>
          </w:tcPr>
          <w:p w:rsidR="00475238" w:rsidRPr="00F726B1" w:rsidRDefault="00475238" w:rsidP="009D49B5">
            <w:pPr>
              <w:rPr>
                <w:rFonts w:ascii="Arial" w:hAnsi="Arial" w:cs="Arial"/>
              </w:rPr>
            </w:pPr>
            <w:r w:rsidRPr="00F726B1">
              <w:rPr>
                <w:rFonts w:ascii="Arial" w:hAnsi="Arial" w:cs="Arial"/>
              </w:rPr>
              <w:t>Describes the ITK Spine Mini-Service client access methods, relates to the Distribution Envelope Requirements.</w:t>
            </w:r>
          </w:p>
        </w:tc>
      </w:tr>
      <w:tr w:rsidR="00475238" w:rsidRPr="00F726B1" w:rsidTr="0089739E">
        <w:trPr>
          <w:trHeight w:val="570"/>
        </w:trPr>
        <w:tc>
          <w:tcPr>
            <w:tcW w:w="3085" w:type="dxa"/>
            <w:hideMark/>
          </w:tcPr>
          <w:p w:rsidR="00475238" w:rsidRPr="00F726B1" w:rsidRDefault="00475238" w:rsidP="009D49B5">
            <w:pPr>
              <w:rPr>
                <w:rFonts w:ascii="Arial" w:hAnsi="Arial" w:cs="Arial"/>
              </w:rPr>
            </w:pPr>
            <w:r w:rsidRPr="00F726B1">
              <w:rPr>
                <w:rFonts w:ascii="Arial" w:hAnsi="Arial" w:cs="Arial"/>
              </w:rPr>
              <w:t>ITK 2 0 Web Service Transport Requirements v1.1</w:t>
            </w:r>
          </w:p>
        </w:tc>
        <w:tc>
          <w:tcPr>
            <w:tcW w:w="1464" w:type="dxa"/>
            <w:hideMark/>
          </w:tcPr>
          <w:p w:rsidR="00475238" w:rsidRPr="00F726B1" w:rsidRDefault="00475238" w:rsidP="009D49B5">
            <w:pPr>
              <w:rPr>
                <w:rFonts w:ascii="Arial" w:hAnsi="Arial" w:cs="Arial"/>
              </w:rPr>
            </w:pPr>
            <w:r w:rsidRPr="00F726B1">
              <w:rPr>
                <w:rFonts w:ascii="Arial" w:hAnsi="Arial" w:cs="Arial"/>
              </w:rPr>
              <w:t>.pdf</w:t>
            </w:r>
          </w:p>
        </w:tc>
        <w:tc>
          <w:tcPr>
            <w:tcW w:w="4439" w:type="dxa"/>
            <w:hideMark/>
          </w:tcPr>
          <w:p w:rsidR="00475238" w:rsidRPr="00F726B1" w:rsidRDefault="00475238" w:rsidP="009D49B5">
            <w:pPr>
              <w:rPr>
                <w:rFonts w:ascii="Arial" w:hAnsi="Arial" w:cs="Arial"/>
              </w:rPr>
            </w:pPr>
            <w:r w:rsidRPr="00F726B1">
              <w:rPr>
                <w:rFonts w:ascii="Arial" w:hAnsi="Arial" w:cs="Arial"/>
              </w:rPr>
              <w:t>Contains requirements for message creation and transport, used when developing production functionality.</w:t>
            </w:r>
          </w:p>
        </w:tc>
      </w:tr>
      <w:tr w:rsidR="00475238" w:rsidRPr="00F726B1" w:rsidTr="0089739E">
        <w:trPr>
          <w:trHeight w:val="570"/>
        </w:trPr>
        <w:tc>
          <w:tcPr>
            <w:tcW w:w="3085" w:type="dxa"/>
            <w:hideMark/>
          </w:tcPr>
          <w:p w:rsidR="00475238" w:rsidRPr="00F726B1" w:rsidRDefault="00475238" w:rsidP="009D49B5">
            <w:pPr>
              <w:rPr>
                <w:rFonts w:ascii="Arial" w:hAnsi="Arial" w:cs="Arial"/>
                <w:bCs/>
              </w:rPr>
            </w:pPr>
            <w:r w:rsidRPr="00F726B1">
              <w:rPr>
                <w:rFonts w:ascii="Arial" w:hAnsi="Arial" w:cs="Arial"/>
                <w:bCs/>
              </w:rPr>
              <w:t>Supplier Certified Requirements</w:t>
            </w:r>
          </w:p>
        </w:tc>
        <w:tc>
          <w:tcPr>
            <w:tcW w:w="1464" w:type="dxa"/>
            <w:hideMark/>
          </w:tcPr>
          <w:p w:rsidR="00475238" w:rsidRPr="00F726B1" w:rsidRDefault="00475238" w:rsidP="009D49B5">
            <w:pPr>
              <w:rPr>
                <w:rFonts w:ascii="Arial" w:hAnsi="Arial" w:cs="Arial"/>
              </w:rPr>
            </w:pPr>
            <w:r w:rsidRPr="00F726B1">
              <w:rPr>
                <w:rFonts w:ascii="Arial" w:hAnsi="Arial" w:cs="Arial"/>
              </w:rPr>
              <w:t>.</w:t>
            </w:r>
            <w:proofErr w:type="spellStart"/>
            <w:r w:rsidRPr="00F726B1">
              <w:rPr>
                <w:rFonts w:ascii="Arial" w:hAnsi="Arial" w:cs="Arial"/>
              </w:rPr>
              <w:t>xlsx</w:t>
            </w:r>
            <w:proofErr w:type="spellEnd"/>
          </w:p>
        </w:tc>
        <w:tc>
          <w:tcPr>
            <w:tcW w:w="4439" w:type="dxa"/>
            <w:hideMark/>
          </w:tcPr>
          <w:p w:rsidR="00475238" w:rsidRPr="00F726B1" w:rsidRDefault="00475238" w:rsidP="009D49B5">
            <w:pPr>
              <w:rPr>
                <w:rFonts w:ascii="Arial" w:hAnsi="Arial" w:cs="Arial"/>
              </w:rPr>
            </w:pPr>
            <w:r w:rsidRPr="00F726B1">
              <w:rPr>
                <w:rFonts w:ascii="Arial" w:hAnsi="Arial" w:cs="Arial"/>
              </w:rPr>
              <w:t>For completion by the Supplier and submission to NHS Digital along with the TOM and test outputs/results.</w:t>
            </w:r>
          </w:p>
        </w:tc>
      </w:tr>
      <w:tr w:rsidR="0089739E" w:rsidRPr="00DC0D9B" w:rsidTr="0089739E">
        <w:trPr>
          <w:trHeight w:val="570"/>
        </w:trPr>
        <w:tc>
          <w:tcPr>
            <w:tcW w:w="3085" w:type="dxa"/>
            <w:hideMark/>
          </w:tcPr>
          <w:p w:rsidR="0089739E" w:rsidRPr="00DC0D9B" w:rsidRDefault="00615297" w:rsidP="007438B7">
            <w:pPr>
              <w:rPr>
                <w:rFonts w:ascii="Arial" w:eastAsia="Times New Roman" w:hAnsi="Arial" w:cs="Arial"/>
                <w:color w:val="000000"/>
                <w:lang w:eastAsia="en-GB"/>
              </w:rPr>
            </w:pPr>
            <w:r w:rsidRPr="00615297">
              <w:rPr>
                <w:rFonts w:ascii="Arial" w:eastAsia="Times New Roman" w:hAnsi="Arial" w:cs="Arial"/>
                <w:color w:val="000000"/>
                <w:lang w:eastAsia="en-GB"/>
              </w:rPr>
              <w:t>Audit Requirements - v3.0</w:t>
            </w:r>
          </w:p>
        </w:tc>
        <w:tc>
          <w:tcPr>
            <w:tcW w:w="1464" w:type="dxa"/>
            <w:hideMark/>
          </w:tcPr>
          <w:p w:rsidR="0089739E" w:rsidRPr="00DC0D9B" w:rsidRDefault="00615297" w:rsidP="007438B7">
            <w:pPr>
              <w:rPr>
                <w:rFonts w:ascii="Arial" w:eastAsia="Times New Roman" w:hAnsi="Arial" w:cs="Arial"/>
                <w:color w:val="000000"/>
                <w:lang w:eastAsia="en-GB"/>
              </w:rPr>
            </w:pPr>
            <w:r>
              <w:rPr>
                <w:rFonts w:ascii="Arial" w:eastAsia="Times New Roman" w:hAnsi="Arial" w:cs="Arial"/>
                <w:color w:val="000000"/>
                <w:lang w:eastAsia="en-GB"/>
              </w:rPr>
              <w:t>.</w:t>
            </w:r>
            <w:proofErr w:type="spellStart"/>
            <w:r>
              <w:rPr>
                <w:rFonts w:ascii="Arial" w:eastAsia="Times New Roman" w:hAnsi="Arial" w:cs="Arial"/>
                <w:color w:val="000000"/>
                <w:lang w:eastAsia="en-GB"/>
              </w:rPr>
              <w:t>docm</w:t>
            </w:r>
            <w:proofErr w:type="spellEnd"/>
          </w:p>
        </w:tc>
        <w:tc>
          <w:tcPr>
            <w:tcW w:w="4439" w:type="dxa"/>
            <w:hideMark/>
          </w:tcPr>
          <w:p w:rsidR="0089739E" w:rsidRPr="00DC0D9B" w:rsidRDefault="0089739E" w:rsidP="007438B7">
            <w:pPr>
              <w:rPr>
                <w:rFonts w:ascii="Arial" w:eastAsia="Times New Roman" w:hAnsi="Arial" w:cs="Arial"/>
                <w:lang w:eastAsia="en-GB"/>
              </w:rPr>
            </w:pPr>
            <w:r w:rsidRPr="00F726B1">
              <w:rPr>
                <w:rFonts w:ascii="Arial" w:eastAsia="Times New Roman" w:hAnsi="Arial" w:cs="Arial"/>
                <w:lang w:eastAsia="en-GB"/>
              </w:rPr>
              <w:t>NHS CRS Audit and Alerting requirements. Relevant to</w:t>
            </w:r>
            <w:bookmarkStart w:id="0" w:name="_GoBack"/>
            <w:bookmarkEnd w:id="0"/>
            <w:r w:rsidRPr="00F726B1">
              <w:rPr>
                <w:rFonts w:ascii="Arial" w:eastAsia="Times New Roman" w:hAnsi="Arial" w:cs="Arial"/>
                <w:lang w:eastAsia="en-GB"/>
              </w:rPr>
              <w:t xml:space="preserve"> completion of Supplier Certified Requirements and TOM.</w:t>
            </w:r>
          </w:p>
        </w:tc>
      </w:tr>
      <w:tr w:rsidR="0089739E" w:rsidRPr="00DC0D9B" w:rsidTr="0089739E">
        <w:trPr>
          <w:trHeight w:val="570"/>
        </w:trPr>
        <w:tc>
          <w:tcPr>
            <w:tcW w:w="3085" w:type="dxa"/>
            <w:hideMark/>
          </w:tcPr>
          <w:p w:rsidR="0089739E" w:rsidRPr="00DC0D9B" w:rsidRDefault="0089739E" w:rsidP="007438B7">
            <w:pPr>
              <w:rPr>
                <w:rFonts w:ascii="Arial" w:eastAsia="Times New Roman" w:hAnsi="Arial" w:cs="Arial"/>
                <w:color w:val="000000"/>
                <w:lang w:eastAsia="en-GB"/>
              </w:rPr>
            </w:pPr>
            <w:r w:rsidRPr="00DC0D9B">
              <w:rPr>
                <w:rFonts w:ascii="Arial" w:eastAsia="Times New Roman" w:hAnsi="Arial" w:cs="Arial"/>
                <w:color w:val="000000"/>
                <w:lang w:eastAsia="en-GB"/>
              </w:rPr>
              <w:t xml:space="preserve">NPFIT-FNT-TO-SCG-0005 SCG clarification on </w:t>
            </w:r>
            <w:proofErr w:type="spellStart"/>
            <w:r w:rsidRPr="00DC0D9B">
              <w:rPr>
                <w:rFonts w:ascii="Arial" w:eastAsia="Times New Roman" w:hAnsi="Arial" w:cs="Arial"/>
                <w:color w:val="000000"/>
                <w:lang w:eastAsia="en-GB"/>
              </w:rPr>
              <w:t>timezone</w:t>
            </w:r>
            <w:proofErr w:type="spellEnd"/>
            <w:r w:rsidRPr="00DC0D9B">
              <w:rPr>
                <w:rFonts w:ascii="Arial" w:eastAsia="Times New Roman" w:hAnsi="Arial" w:cs="Arial"/>
                <w:color w:val="000000"/>
                <w:lang w:eastAsia="en-GB"/>
              </w:rPr>
              <w:t xml:space="preserve"> v1.1</w:t>
            </w:r>
          </w:p>
        </w:tc>
        <w:tc>
          <w:tcPr>
            <w:tcW w:w="1464" w:type="dxa"/>
            <w:hideMark/>
          </w:tcPr>
          <w:p w:rsidR="0089739E" w:rsidRPr="00DC0D9B" w:rsidRDefault="0089739E" w:rsidP="007438B7">
            <w:pPr>
              <w:rPr>
                <w:rFonts w:ascii="Arial" w:eastAsia="Times New Roman" w:hAnsi="Arial" w:cs="Arial"/>
                <w:color w:val="000000"/>
                <w:lang w:eastAsia="en-GB"/>
              </w:rPr>
            </w:pPr>
            <w:r w:rsidRPr="00DC0D9B">
              <w:rPr>
                <w:rFonts w:ascii="Arial" w:eastAsia="Times New Roman" w:hAnsi="Arial" w:cs="Arial"/>
                <w:color w:val="000000"/>
                <w:lang w:eastAsia="en-GB"/>
              </w:rPr>
              <w:t>.</w:t>
            </w:r>
            <w:proofErr w:type="spellStart"/>
            <w:r w:rsidRPr="00DC0D9B">
              <w:rPr>
                <w:rFonts w:ascii="Arial" w:eastAsia="Times New Roman" w:hAnsi="Arial" w:cs="Arial"/>
                <w:color w:val="000000"/>
                <w:lang w:eastAsia="en-GB"/>
              </w:rPr>
              <w:t>docx</w:t>
            </w:r>
            <w:proofErr w:type="spellEnd"/>
          </w:p>
        </w:tc>
        <w:tc>
          <w:tcPr>
            <w:tcW w:w="4439" w:type="dxa"/>
            <w:hideMark/>
          </w:tcPr>
          <w:p w:rsidR="0089739E" w:rsidRPr="00DC0D9B" w:rsidRDefault="0089739E" w:rsidP="0089739E">
            <w:pPr>
              <w:rPr>
                <w:rFonts w:ascii="Arial" w:eastAsia="Times New Roman" w:hAnsi="Arial" w:cs="Arial"/>
                <w:color w:val="000000"/>
                <w:lang w:eastAsia="en-GB"/>
              </w:rPr>
            </w:pPr>
            <w:r w:rsidRPr="00F726B1">
              <w:rPr>
                <w:rFonts w:ascii="Arial" w:eastAsia="Times New Roman" w:hAnsi="Arial" w:cs="Arial"/>
                <w:lang w:eastAsia="en-GB"/>
              </w:rPr>
              <w:t>Requirements on the use of time fields within MIM define message payloads, times in messages (</w:t>
            </w:r>
            <w:proofErr w:type="spellStart"/>
            <w:r w:rsidRPr="00F726B1">
              <w:rPr>
                <w:rFonts w:ascii="Arial" w:eastAsia="Times New Roman" w:hAnsi="Arial" w:cs="Arial"/>
                <w:lang w:eastAsia="en-GB"/>
              </w:rPr>
              <w:t>ebXML</w:t>
            </w:r>
            <w:proofErr w:type="spellEnd"/>
            <w:r w:rsidRPr="00F726B1">
              <w:rPr>
                <w:rFonts w:ascii="Arial" w:eastAsia="Times New Roman" w:hAnsi="Arial" w:cs="Arial"/>
                <w:lang w:eastAsia="en-GB"/>
              </w:rPr>
              <w:t>) as well as Audit. Relevant to completion of Supplier Certified Requirements.</w:t>
            </w:r>
          </w:p>
        </w:tc>
      </w:tr>
      <w:tr w:rsidR="0089739E" w:rsidRPr="00DC0D9B" w:rsidTr="0089739E">
        <w:trPr>
          <w:trHeight w:val="285"/>
        </w:trPr>
        <w:tc>
          <w:tcPr>
            <w:tcW w:w="3085" w:type="dxa"/>
            <w:hideMark/>
          </w:tcPr>
          <w:p w:rsidR="0089739E" w:rsidRPr="00DC0D9B" w:rsidRDefault="0089739E" w:rsidP="007438B7">
            <w:pPr>
              <w:rPr>
                <w:rFonts w:ascii="Arial" w:eastAsia="Times New Roman" w:hAnsi="Arial" w:cs="Arial"/>
                <w:color w:val="000000"/>
                <w:lang w:eastAsia="en-GB"/>
              </w:rPr>
            </w:pPr>
            <w:r w:rsidRPr="00DC0D9B">
              <w:rPr>
                <w:rFonts w:ascii="Arial" w:eastAsia="Times New Roman" w:hAnsi="Arial" w:cs="Arial"/>
                <w:color w:val="000000"/>
                <w:lang w:eastAsia="en-GB"/>
              </w:rPr>
              <w:t>Disposal and Destruction of Sensitive Data</w:t>
            </w:r>
          </w:p>
        </w:tc>
        <w:tc>
          <w:tcPr>
            <w:tcW w:w="1464" w:type="dxa"/>
            <w:hideMark/>
          </w:tcPr>
          <w:p w:rsidR="0089739E" w:rsidRPr="00DC0D9B" w:rsidRDefault="0089739E" w:rsidP="007438B7">
            <w:pPr>
              <w:rPr>
                <w:rFonts w:ascii="Arial" w:eastAsia="Times New Roman" w:hAnsi="Arial" w:cs="Arial"/>
                <w:color w:val="000000"/>
                <w:lang w:eastAsia="en-GB"/>
              </w:rPr>
            </w:pPr>
            <w:r w:rsidRPr="00DC0D9B">
              <w:rPr>
                <w:rFonts w:ascii="Arial" w:eastAsia="Times New Roman" w:hAnsi="Arial" w:cs="Arial"/>
                <w:color w:val="000000"/>
                <w:lang w:eastAsia="en-GB"/>
              </w:rPr>
              <w:t>.pdf</w:t>
            </w:r>
          </w:p>
        </w:tc>
        <w:tc>
          <w:tcPr>
            <w:tcW w:w="4439" w:type="dxa"/>
            <w:hideMark/>
          </w:tcPr>
          <w:p w:rsidR="0089739E" w:rsidRPr="00DC0D9B" w:rsidRDefault="0089739E" w:rsidP="007438B7">
            <w:pPr>
              <w:rPr>
                <w:rFonts w:ascii="Arial" w:eastAsia="Times New Roman" w:hAnsi="Arial" w:cs="Arial"/>
                <w:color w:val="000000"/>
                <w:lang w:eastAsia="en-GB"/>
              </w:rPr>
            </w:pPr>
            <w:r w:rsidRPr="00F726B1">
              <w:rPr>
                <w:rFonts w:ascii="Arial" w:eastAsia="Times New Roman" w:hAnsi="Arial" w:cs="Arial"/>
                <w:lang w:eastAsia="en-GB"/>
              </w:rPr>
              <w:t>Guidelines to assist organisations in minimising the risks of data disclosure through inappropriate deletion of data, or inadequate destruction of media prior to disposal. Relevant to completion of Supplier Certified Requirements</w:t>
            </w:r>
          </w:p>
        </w:tc>
      </w:tr>
      <w:tr w:rsidR="0089739E" w:rsidRPr="00DC0D9B" w:rsidTr="0089739E">
        <w:trPr>
          <w:trHeight w:val="285"/>
        </w:trPr>
        <w:tc>
          <w:tcPr>
            <w:tcW w:w="3085" w:type="dxa"/>
            <w:hideMark/>
          </w:tcPr>
          <w:p w:rsidR="0089739E" w:rsidRPr="00F726B1" w:rsidRDefault="00615297" w:rsidP="007438B7">
            <w:pPr>
              <w:rPr>
                <w:rFonts w:ascii="Arial" w:eastAsia="Times New Roman" w:hAnsi="Arial" w:cs="Arial"/>
                <w:color w:val="000000"/>
                <w:lang w:eastAsia="en-GB"/>
              </w:rPr>
            </w:pPr>
            <w:hyperlink r:id="rId5" w:history="1">
              <w:r w:rsidR="0089739E" w:rsidRPr="00C7079D">
                <w:rPr>
                  <w:rStyle w:val="Hyperlink"/>
                  <w:rFonts w:ascii="Arial" w:eastAsia="Times New Roman" w:hAnsi="Arial" w:cs="Arial"/>
                  <w:lang w:eastAsia="en-GB"/>
                </w:rPr>
                <w:t>Safety Case Guidelines v2.2 SCCI0129</w:t>
              </w:r>
            </w:hyperlink>
          </w:p>
          <w:p w:rsidR="0089739E" w:rsidRPr="00F726B1" w:rsidRDefault="0089739E" w:rsidP="007438B7">
            <w:pPr>
              <w:rPr>
                <w:rFonts w:ascii="Arial" w:eastAsia="Times New Roman" w:hAnsi="Arial" w:cs="Arial"/>
                <w:color w:val="000000"/>
                <w:lang w:eastAsia="en-GB"/>
              </w:rPr>
            </w:pPr>
            <w:r w:rsidRPr="00F726B1">
              <w:rPr>
                <w:rFonts w:ascii="Arial" w:eastAsia="Times New Roman" w:hAnsi="Arial" w:cs="Arial"/>
                <w:color w:val="000000"/>
                <w:lang w:eastAsia="en-GB"/>
              </w:rPr>
              <w:t>and</w:t>
            </w:r>
          </w:p>
          <w:p w:rsidR="0089739E" w:rsidRPr="00DC0D9B" w:rsidRDefault="00615297" w:rsidP="007438B7">
            <w:pPr>
              <w:rPr>
                <w:rFonts w:ascii="Arial" w:eastAsia="Times New Roman" w:hAnsi="Arial" w:cs="Arial"/>
                <w:color w:val="000000"/>
                <w:lang w:eastAsia="en-GB"/>
              </w:rPr>
            </w:pPr>
            <w:hyperlink r:id="rId6" w:history="1">
              <w:r w:rsidR="0089739E" w:rsidRPr="00C7079D">
                <w:rPr>
                  <w:rStyle w:val="Hyperlink"/>
                  <w:rFonts w:ascii="Arial" w:eastAsia="Times New Roman" w:hAnsi="Arial" w:cs="Arial"/>
                  <w:lang w:eastAsia="en-GB"/>
                </w:rPr>
                <w:t>Guidance for Safety Case Guidelines v2.2 SCCI0129</w:t>
              </w:r>
            </w:hyperlink>
          </w:p>
        </w:tc>
        <w:tc>
          <w:tcPr>
            <w:tcW w:w="1464" w:type="dxa"/>
            <w:hideMark/>
          </w:tcPr>
          <w:p w:rsidR="0089739E" w:rsidRPr="00DC0D9B" w:rsidRDefault="0089739E" w:rsidP="007438B7">
            <w:pPr>
              <w:rPr>
                <w:rFonts w:ascii="Arial" w:eastAsia="Times New Roman" w:hAnsi="Arial" w:cs="Arial"/>
                <w:color w:val="000000"/>
                <w:highlight w:val="yellow"/>
                <w:lang w:eastAsia="en-GB"/>
              </w:rPr>
            </w:pPr>
            <w:r w:rsidRPr="00C7079D">
              <w:rPr>
                <w:rFonts w:ascii="Arial" w:eastAsia="Times New Roman" w:hAnsi="Arial" w:cs="Arial"/>
                <w:color w:val="000000"/>
                <w:lang w:eastAsia="en-GB"/>
              </w:rPr>
              <w:t>Hyperlinks</w:t>
            </w:r>
            <w:r>
              <w:rPr>
                <w:rFonts w:ascii="Arial" w:eastAsia="Times New Roman" w:hAnsi="Arial" w:cs="Arial"/>
                <w:color w:val="000000"/>
                <w:lang w:eastAsia="en-GB"/>
              </w:rPr>
              <w:t xml:space="preserve"> (documents not included)</w:t>
            </w:r>
          </w:p>
        </w:tc>
        <w:tc>
          <w:tcPr>
            <w:tcW w:w="4439" w:type="dxa"/>
            <w:hideMark/>
          </w:tcPr>
          <w:p w:rsidR="0089739E" w:rsidRPr="00DC0D9B" w:rsidRDefault="0089739E" w:rsidP="007438B7">
            <w:pPr>
              <w:rPr>
                <w:rFonts w:ascii="Arial" w:eastAsia="Times New Roman" w:hAnsi="Arial" w:cs="Arial"/>
                <w:color w:val="000000"/>
                <w:lang w:eastAsia="en-GB"/>
              </w:rPr>
            </w:pPr>
            <w:r w:rsidRPr="00F726B1">
              <w:rPr>
                <w:rFonts w:ascii="Arial" w:eastAsia="Times New Roman" w:hAnsi="Arial" w:cs="Arial"/>
                <w:lang w:eastAsia="en-GB"/>
              </w:rPr>
              <w:t>Requirements and support for their interpretation as presented in SCCI0129. Considers the risk management processes required to ensure patient safety in respect to the development of a new Health IT System or in respect to the modification of an existing system. Relevant to completion of TOM.</w:t>
            </w:r>
          </w:p>
        </w:tc>
      </w:tr>
    </w:tbl>
    <w:p w:rsidR="00475238" w:rsidRPr="00DC46F5" w:rsidRDefault="00475238" w:rsidP="00DC46F5">
      <w:pPr>
        <w:spacing w:after="0" w:line="240" w:lineRule="auto"/>
        <w:rPr>
          <w:rFonts w:ascii="Arial" w:hAnsi="Arial" w:cs="Arial"/>
          <w:sz w:val="24"/>
          <w:szCs w:val="24"/>
        </w:rPr>
      </w:pPr>
    </w:p>
    <w:sectPr w:rsidR="00475238" w:rsidRPr="00DC4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38"/>
    <w:rsid w:val="00230D71"/>
    <w:rsid w:val="00475238"/>
    <w:rsid w:val="00615297"/>
    <w:rsid w:val="0089739E"/>
    <w:rsid w:val="00DC46F5"/>
    <w:rsid w:val="00E22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3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3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ntent.digital.nhs.uk/media/20982/0129392012imp-guide/pdf/0129392012imp-guide.pdf" TargetMode="External"/><Relationship Id="rId5" Type="http://schemas.openxmlformats.org/officeDocument/2006/relationships/hyperlink" Target="http://content.digital.nhs.uk/isce/publication/scci01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464</Words>
  <Characters>2645</Characters>
  <Application>Microsoft Office Word</Application>
  <DocSecurity>0</DocSecurity>
  <Lines>22</Lines>
  <Paragraphs>6</Paragraphs>
  <ScaleCrop>false</ScaleCrop>
  <Company>NHS Connecting for Health</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Pye</dc:creator>
  <cp:lastModifiedBy>Marsh Robert</cp:lastModifiedBy>
  <cp:revision>4</cp:revision>
  <dcterms:created xsi:type="dcterms:W3CDTF">2017-06-19T09:49:00Z</dcterms:created>
  <dcterms:modified xsi:type="dcterms:W3CDTF">2017-07-05T13:59:00Z</dcterms:modified>
</cp:coreProperties>
</file>