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DFA6C" w14:textId="7DE6D6F6" w:rsidR="00F40D47" w:rsidRDefault="006E296C" w:rsidP="006E296C">
      <w:pPr>
        <w:spacing w:line="276" w:lineRule="auto"/>
        <w:jc w:val="center"/>
        <w:rPr>
          <w:rFonts w:ascii="Times New Roman" w:hAnsi="Times New Roman" w:cs="Times New Roman"/>
        </w:rPr>
      </w:pPr>
      <w:r>
        <w:rPr>
          <w:rFonts w:ascii="Times New Roman" w:hAnsi="Times New Roman" w:cs="Times New Roman"/>
        </w:rPr>
        <w:t>Machine Learning and Momentum</w:t>
      </w:r>
    </w:p>
    <w:p w14:paraId="549A5294" w14:textId="36A4F3E2" w:rsidR="006E296C" w:rsidRPr="006E296C" w:rsidRDefault="006E296C" w:rsidP="006E296C">
      <w:pPr>
        <w:pStyle w:val="ListParagraph"/>
        <w:numPr>
          <w:ilvl w:val="0"/>
          <w:numId w:val="1"/>
        </w:numPr>
        <w:spacing w:line="276" w:lineRule="auto"/>
        <w:rPr>
          <w:rFonts w:ascii="Times New Roman" w:hAnsi="Times New Roman" w:cs="Times New Roman"/>
          <w:b/>
          <w:bCs/>
        </w:rPr>
      </w:pPr>
      <w:r w:rsidRPr="006E296C">
        <w:rPr>
          <w:rFonts w:ascii="Times New Roman" w:hAnsi="Times New Roman" w:cs="Times New Roman"/>
          <w:b/>
          <w:bCs/>
        </w:rPr>
        <w:t>Background</w:t>
      </w:r>
    </w:p>
    <w:p w14:paraId="652C2182" w14:textId="17DAF4DA" w:rsidR="006E296C" w:rsidRDefault="006E296C" w:rsidP="006E296C">
      <w:pPr>
        <w:spacing w:line="276" w:lineRule="auto"/>
        <w:ind w:left="360"/>
        <w:rPr>
          <w:rFonts w:ascii="Times New Roman" w:hAnsi="Times New Roman" w:cs="Times New Roman"/>
        </w:rPr>
      </w:pPr>
      <w:proofErr w:type="gramStart"/>
      <w:r>
        <w:rPr>
          <w:rFonts w:ascii="Times New Roman" w:hAnsi="Times New Roman" w:cs="Times New Roman"/>
        </w:rPr>
        <w:t>A number of</w:t>
      </w:r>
      <w:proofErr w:type="gramEnd"/>
      <w:r>
        <w:rPr>
          <w:rFonts w:ascii="Times New Roman" w:hAnsi="Times New Roman" w:cs="Times New Roman"/>
        </w:rPr>
        <w:t xml:space="preserve"> papers were reviewed to formulate a historically grounded definition of momentum.  Research on momentum is long founded, but despite the wide body of research definitions and calculation of momentum have focused on causality, or factor loadings in many cases.  The result is that the initial premise isn’t governed by a strict definition because it is frequently adapted paper by paper, seeking to find causality under the new momentum calculation.</w:t>
      </w:r>
    </w:p>
    <w:p w14:paraId="26E7CC86" w14:textId="0B80ACE5" w:rsidR="006E296C" w:rsidRDefault="006E296C" w:rsidP="006E296C">
      <w:pPr>
        <w:spacing w:line="276" w:lineRule="auto"/>
        <w:ind w:left="360"/>
        <w:rPr>
          <w:rFonts w:ascii="Times New Roman" w:hAnsi="Times New Roman" w:cs="Times New Roman"/>
        </w:rPr>
      </w:pPr>
      <w:r>
        <w:rPr>
          <w:rFonts w:ascii="Times New Roman" w:hAnsi="Times New Roman" w:cs="Times New Roman"/>
        </w:rPr>
        <w:t xml:space="preserve">One thing remains true across the research reviewed.  Momentum portfolios involve going long in the top decile of price performance for some formulation period.  Additionally, to isolate the </w:t>
      </w:r>
      <w:r w:rsidR="17D3CC3B" w:rsidRPr="17D3CC3B">
        <w:rPr>
          <w:rFonts w:ascii="Times New Roman" w:hAnsi="Times New Roman" w:cs="Times New Roman"/>
        </w:rPr>
        <w:t>factors</w:t>
      </w:r>
      <w:r>
        <w:rPr>
          <w:rFonts w:ascii="Times New Roman" w:hAnsi="Times New Roman" w:cs="Times New Roman"/>
        </w:rPr>
        <w:t xml:space="preserve"> effects on returns as opposed to market movement during the same period, the portfolio goes short the bottom decile of performers in the same metrics.  What remains is that factors impact on return extraneous to broader market drifts in the holding period.</w:t>
      </w:r>
    </w:p>
    <w:p w14:paraId="0091FED6" w14:textId="7BF19EC1" w:rsidR="006E296C" w:rsidRDefault="006E296C" w:rsidP="006E296C">
      <w:pPr>
        <w:spacing w:line="276" w:lineRule="auto"/>
        <w:ind w:left="360"/>
        <w:rPr>
          <w:rFonts w:ascii="Times New Roman" w:hAnsi="Times New Roman" w:cs="Times New Roman"/>
        </w:rPr>
      </w:pPr>
      <w:r>
        <w:rPr>
          <w:rFonts w:ascii="Times New Roman" w:hAnsi="Times New Roman" w:cs="Times New Roman"/>
        </w:rPr>
        <w:t xml:space="preserve">Causality of the positive profits from the momentum portfolio’s researched has been of keen interest to researchers.  The finding of this </w:t>
      </w:r>
      <w:r w:rsidR="09D6B3CD" w:rsidRPr="09D6B3CD">
        <w:rPr>
          <w:rFonts w:ascii="Times New Roman" w:hAnsi="Times New Roman" w:cs="Times New Roman"/>
        </w:rPr>
        <w:t xml:space="preserve">causality </w:t>
      </w:r>
      <w:r>
        <w:rPr>
          <w:rFonts w:ascii="Times New Roman" w:hAnsi="Times New Roman" w:cs="Times New Roman"/>
        </w:rPr>
        <w:t xml:space="preserve">is referred to as factor loadings and seeks to decompose the return into </w:t>
      </w:r>
      <w:r w:rsidR="0681EF9A" w:rsidRPr="0681EF9A">
        <w:rPr>
          <w:rFonts w:ascii="Times New Roman" w:hAnsi="Times New Roman" w:cs="Times New Roman"/>
        </w:rPr>
        <w:t>factor</w:t>
      </w:r>
      <w:r>
        <w:rPr>
          <w:rFonts w:ascii="Times New Roman" w:hAnsi="Times New Roman" w:cs="Times New Roman"/>
        </w:rPr>
        <w:t xml:space="preserve"> loadings.  If </w:t>
      </w:r>
      <w:r w:rsidR="2A6BD457" w:rsidRPr="2A6BD457">
        <w:rPr>
          <w:rFonts w:ascii="Times New Roman" w:hAnsi="Times New Roman" w:cs="Times New Roman"/>
        </w:rPr>
        <w:t>the</w:t>
      </w:r>
      <w:r>
        <w:rPr>
          <w:rFonts w:ascii="Times New Roman" w:hAnsi="Times New Roman" w:cs="Times New Roman"/>
        </w:rPr>
        <w:t xml:space="preserve"> factor </w:t>
      </w:r>
      <w:r w:rsidR="268631DA" w:rsidRPr="268631DA">
        <w:rPr>
          <w:rFonts w:ascii="Times New Roman" w:hAnsi="Times New Roman" w:cs="Times New Roman"/>
        </w:rPr>
        <w:t>loadings</w:t>
      </w:r>
      <w:r>
        <w:rPr>
          <w:rFonts w:ascii="Times New Roman" w:hAnsi="Times New Roman" w:cs="Times New Roman"/>
        </w:rPr>
        <w:t xml:space="preserve"> have a high degree of explainability on the returns of the factor, then the research has been successful in attributing causality to the success of a factor.</w:t>
      </w:r>
    </w:p>
    <w:p w14:paraId="5618241E" w14:textId="205FAF1D" w:rsidR="006E296C" w:rsidRDefault="32615CBD" w:rsidP="006E296C">
      <w:pPr>
        <w:spacing w:line="276" w:lineRule="auto"/>
        <w:ind w:left="720" w:firstLine="720"/>
        <w:rPr>
          <w:rFonts w:ascii="Times New Roman" w:hAnsi="Times New Roman" w:cs="Times New Roman"/>
        </w:rPr>
      </w:pPr>
      <w:r w:rsidRPr="32615CBD">
        <w:rPr>
          <w:rFonts w:ascii="Times New Roman" w:hAnsi="Times New Roman" w:cs="Times New Roman"/>
        </w:rPr>
        <w:t xml:space="preserve">In Momentum, Risk, and Underreaction, researchers </w:t>
      </w:r>
      <w:proofErr w:type="spellStart"/>
      <w:r w:rsidRPr="32615CBD">
        <w:rPr>
          <w:rFonts w:ascii="Times New Roman" w:hAnsi="Times New Roman" w:cs="Times New Roman"/>
        </w:rPr>
        <w:t>Rachwalski</w:t>
      </w:r>
      <w:proofErr w:type="spellEnd"/>
      <w:r w:rsidRPr="32615CBD">
        <w:rPr>
          <w:rFonts w:ascii="Times New Roman" w:hAnsi="Times New Roman" w:cs="Times New Roman"/>
        </w:rPr>
        <w:t xml:space="preserve"> and Wen attempted to decompose the loadings of their momentum factor into 2 categories: Risk and Underreaction (</w:t>
      </w:r>
      <w:proofErr w:type="spellStart"/>
      <w:r w:rsidRPr="32615CBD">
        <w:rPr>
          <w:rFonts w:ascii="Times New Roman" w:hAnsi="Times New Roman" w:cs="Times New Roman"/>
        </w:rPr>
        <w:t>Rachwalski</w:t>
      </w:r>
      <w:proofErr w:type="spellEnd"/>
      <w:r w:rsidRPr="32615CBD">
        <w:rPr>
          <w:rFonts w:ascii="Times New Roman" w:hAnsi="Times New Roman" w:cs="Times New Roman"/>
        </w:rPr>
        <w:t xml:space="preserve"> and Wen, 2012).  Ultimately, the research endeavored to determine whether momentum profits can be attributed to risk and underreaction factor loadings.  This research built off the work of Jegadeesh and Lehmann who hypothesized in a 1990 paper that short term reversals have a direct impact on the returns of the momentum factor (Jegadeesh and Lehman, 1990).  As a result, </w:t>
      </w:r>
      <w:proofErr w:type="spellStart"/>
      <w:r w:rsidRPr="32615CBD">
        <w:rPr>
          <w:rFonts w:ascii="Times New Roman" w:hAnsi="Times New Roman" w:cs="Times New Roman"/>
        </w:rPr>
        <w:t>Rachwalski</w:t>
      </w:r>
      <w:proofErr w:type="spellEnd"/>
      <w:r w:rsidRPr="32615CBD">
        <w:rPr>
          <w:rFonts w:ascii="Times New Roman" w:hAnsi="Times New Roman" w:cs="Times New Roman"/>
        </w:rPr>
        <w:t xml:space="preserve"> and Wen omit from the formation period of their factor selection, the most recent month.  i.e., If the formation period is two months, only the price performance in month’s one and two were used to determine what stocks are held upon rebalancing at the end of period 3.</w:t>
      </w:r>
    </w:p>
    <w:p w14:paraId="3CC1C3B9" w14:textId="02EEB8B7" w:rsidR="00215AA3" w:rsidRDefault="006E296C" w:rsidP="00215AA3">
      <w:pPr>
        <w:spacing w:line="276" w:lineRule="auto"/>
        <w:ind w:left="720" w:firstLine="720"/>
        <w:rPr>
          <w:rFonts w:ascii="Times New Roman" w:hAnsi="Times New Roman" w:cs="Times New Roman"/>
        </w:rPr>
      </w:pPr>
      <w:r>
        <w:rPr>
          <w:rFonts w:ascii="Times New Roman" w:hAnsi="Times New Roman" w:cs="Times New Roman"/>
        </w:rPr>
        <w:t>This approach resulted in a 12</w:t>
      </w:r>
      <w:r w:rsidR="042088B8" w:rsidRPr="042088B8">
        <w:rPr>
          <w:rFonts w:ascii="Times New Roman" w:hAnsi="Times New Roman" w:cs="Times New Roman"/>
        </w:rPr>
        <w:t>-</w:t>
      </w:r>
      <w:r>
        <w:rPr>
          <w:rFonts w:ascii="Times New Roman" w:hAnsi="Times New Roman" w:cs="Times New Roman"/>
        </w:rPr>
        <w:t>month formation period being the most successful, having tested 3</w:t>
      </w:r>
      <w:r w:rsidR="770D4D78" w:rsidRPr="770D4D78">
        <w:rPr>
          <w:rFonts w:ascii="Times New Roman" w:hAnsi="Times New Roman" w:cs="Times New Roman"/>
        </w:rPr>
        <w:t>-,</w:t>
      </w:r>
      <w:r>
        <w:rPr>
          <w:rFonts w:ascii="Times New Roman" w:hAnsi="Times New Roman" w:cs="Times New Roman"/>
        </w:rPr>
        <w:t xml:space="preserve"> 6</w:t>
      </w:r>
      <w:r w:rsidR="770D4D78" w:rsidRPr="770D4D78">
        <w:rPr>
          <w:rFonts w:ascii="Times New Roman" w:hAnsi="Times New Roman" w:cs="Times New Roman"/>
        </w:rPr>
        <w:t>-,</w:t>
      </w:r>
      <w:r>
        <w:rPr>
          <w:rFonts w:ascii="Times New Roman" w:hAnsi="Times New Roman" w:cs="Times New Roman"/>
        </w:rPr>
        <w:t xml:space="preserve"> and 12</w:t>
      </w:r>
      <w:r w:rsidR="770D4D78" w:rsidRPr="770D4D78">
        <w:rPr>
          <w:rFonts w:ascii="Times New Roman" w:hAnsi="Times New Roman" w:cs="Times New Roman"/>
        </w:rPr>
        <w:t>-</w:t>
      </w:r>
      <w:r>
        <w:rPr>
          <w:rFonts w:ascii="Times New Roman" w:hAnsi="Times New Roman" w:cs="Times New Roman"/>
        </w:rPr>
        <w:t>month periods.  The 12</w:t>
      </w:r>
      <w:r w:rsidR="7E513545" w:rsidRPr="7E513545">
        <w:rPr>
          <w:rFonts w:ascii="Times New Roman" w:hAnsi="Times New Roman" w:cs="Times New Roman"/>
        </w:rPr>
        <w:t>-</w:t>
      </w:r>
      <w:r>
        <w:rPr>
          <w:rFonts w:ascii="Times New Roman" w:hAnsi="Times New Roman" w:cs="Times New Roman"/>
        </w:rPr>
        <w:t>month period outperformed the 3</w:t>
      </w:r>
      <w:r w:rsidR="765EB445" w:rsidRPr="765EB445">
        <w:rPr>
          <w:rFonts w:ascii="Times New Roman" w:hAnsi="Times New Roman" w:cs="Times New Roman"/>
        </w:rPr>
        <w:t>-</w:t>
      </w:r>
      <w:r>
        <w:rPr>
          <w:rFonts w:ascii="Times New Roman" w:hAnsi="Times New Roman" w:cs="Times New Roman"/>
        </w:rPr>
        <w:t>month period</w:t>
      </w:r>
      <w:r w:rsidR="001A7BE2">
        <w:rPr>
          <w:rFonts w:ascii="Times New Roman" w:hAnsi="Times New Roman" w:cs="Times New Roman"/>
        </w:rPr>
        <w:t xml:space="preserve"> by 0.578%</w:t>
      </w:r>
      <w:r w:rsidR="00215AA3">
        <w:rPr>
          <w:rFonts w:ascii="Times New Roman" w:hAnsi="Times New Roman" w:cs="Times New Roman"/>
        </w:rPr>
        <w:t xml:space="preserve"> per year, which offers a unique insight into what may drive momentum.  The paper goes on to analyze the characteristics of the long portion of the portfolio (the top decile of returns from the formation period).  It found that stocks in this area may be there because of decreases in risk, and the reaction of investors to this phenomenon is not instantaneous.  The researchers propose that this </w:t>
      </w:r>
      <w:r w:rsidR="00215AA3">
        <w:rPr>
          <w:rFonts w:ascii="Times New Roman" w:hAnsi="Times New Roman" w:cs="Times New Roman"/>
          <w:i/>
          <w:iCs/>
        </w:rPr>
        <w:t>under-reaction</w:t>
      </w:r>
      <w:r w:rsidR="00215AA3">
        <w:rPr>
          <w:rFonts w:ascii="Times New Roman" w:hAnsi="Times New Roman" w:cs="Times New Roman"/>
        </w:rPr>
        <w:t xml:space="preserve"> </w:t>
      </w:r>
      <w:r w:rsidR="00215AA3">
        <w:rPr>
          <w:rFonts w:ascii="Times New Roman" w:hAnsi="Times New Roman" w:cs="Times New Roman"/>
          <w:i/>
          <w:iCs/>
        </w:rPr>
        <w:t>tendency</w:t>
      </w:r>
      <w:r w:rsidR="00215AA3">
        <w:rPr>
          <w:rFonts w:ascii="Times New Roman" w:hAnsi="Times New Roman" w:cs="Times New Roman"/>
        </w:rPr>
        <w:t xml:space="preserve"> lasts into the holding period, thus driving momentum returns.</w:t>
      </w:r>
    </w:p>
    <w:p w14:paraId="2D07B5C2" w14:textId="4F715641" w:rsidR="00215AA3" w:rsidRDefault="32615CBD" w:rsidP="00215AA3">
      <w:pPr>
        <w:spacing w:line="276" w:lineRule="auto"/>
        <w:rPr>
          <w:rFonts w:ascii="Times New Roman" w:hAnsi="Times New Roman" w:cs="Times New Roman"/>
        </w:rPr>
      </w:pPr>
      <w:r w:rsidRPr="32615CBD">
        <w:rPr>
          <w:rFonts w:ascii="Times New Roman" w:hAnsi="Times New Roman" w:cs="Times New Roman"/>
        </w:rPr>
        <w:lastRenderedPageBreak/>
        <w:t xml:space="preserve">The implications of the work from Momentum, Risk, and Underreaction by </w:t>
      </w:r>
      <w:proofErr w:type="spellStart"/>
      <w:r w:rsidRPr="32615CBD">
        <w:rPr>
          <w:rFonts w:ascii="Times New Roman" w:hAnsi="Times New Roman" w:cs="Times New Roman"/>
        </w:rPr>
        <w:t>Rachwalski</w:t>
      </w:r>
      <w:proofErr w:type="spellEnd"/>
      <w:r w:rsidRPr="32615CBD">
        <w:rPr>
          <w:rFonts w:ascii="Times New Roman" w:hAnsi="Times New Roman" w:cs="Times New Roman"/>
        </w:rPr>
        <w:t xml:space="preserve"> and Wen supports further research into risk.  It also warrants investigation of longer holding periods on the formation period.  If the development of company specific risk is reflected in the previous 12 months of a stock's price performance and is observed to continue in the future three for a holding period it may support that investors are slow to react to changes in risk and this underreaction creates an opportunity for momentum investors for very long periods.</w:t>
      </w:r>
    </w:p>
    <w:p w14:paraId="5BE1D83F" w14:textId="79F982DC" w:rsidR="00215AA3" w:rsidRDefault="00F45078" w:rsidP="00215AA3">
      <w:pPr>
        <w:spacing w:line="276" w:lineRule="auto"/>
        <w:rPr>
          <w:rFonts w:ascii="Times New Roman" w:hAnsi="Times New Roman" w:cs="Times New Roman"/>
        </w:rPr>
      </w:pPr>
      <w:r>
        <w:rPr>
          <w:rFonts w:ascii="Times New Roman" w:hAnsi="Times New Roman" w:cs="Times New Roman"/>
        </w:rPr>
        <w:t xml:space="preserve">The study of risk with respect to momentum returns was further </w:t>
      </w:r>
      <w:r w:rsidR="63BAC38F" w:rsidRPr="63BAC38F">
        <w:rPr>
          <w:rFonts w:ascii="Times New Roman" w:hAnsi="Times New Roman" w:cs="Times New Roman"/>
        </w:rPr>
        <w:t>researched</w:t>
      </w:r>
      <w:r>
        <w:rPr>
          <w:rFonts w:ascii="Times New Roman" w:hAnsi="Times New Roman" w:cs="Times New Roman"/>
        </w:rPr>
        <w:t xml:space="preserve"> in Momentum by Jagadeesh and Titman in 2002.  The paper aimed at answering if Momentum returns were attributable to innate factor loadings that increase non-systematic risk in momentum portfolios.  </w:t>
      </w:r>
    </w:p>
    <w:p w14:paraId="31A12950" w14:textId="7546843E" w:rsidR="00F45078" w:rsidRDefault="00F45078" w:rsidP="00F45078">
      <w:pPr>
        <w:spacing w:line="276" w:lineRule="auto"/>
        <w:ind w:left="720" w:firstLine="720"/>
        <w:rPr>
          <w:rFonts w:ascii="Times New Roman" w:hAnsi="Times New Roman" w:cs="Times New Roman"/>
        </w:rPr>
      </w:pPr>
      <w:r>
        <w:rPr>
          <w:rFonts w:ascii="Times New Roman" w:hAnsi="Times New Roman" w:cs="Times New Roman"/>
        </w:rPr>
        <w:t xml:space="preserve">The paper created momentum portfolios of the same formation period and decile structure with one key change; instead of omitting the last month from the formation period, only the last week was omitted.  This was a control introduced because previous research identified that momentum portfolios </w:t>
      </w:r>
      <w:r w:rsidR="0F347775" w:rsidRPr="0F347775">
        <w:rPr>
          <w:rFonts w:ascii="Times New Roman" w:hAnsi="Times New Roman" w:cs="Times New Roman"/>
        </w:rPr>
        <w:t>tended</w:t>
      </w:r>
      <w:r>
        <w:rPr>
          <w:rFonts w:ascii="Times New Roman" w:hAnsi="Times New Roman" w:cs="Times New Roman"/>
        </w:rPr>
        <w:t xml:space="preserve"> to include stocks with a larger bid </w:t>
      </w:r>
      <w:bookmarkStart w:id="0" w:name="_Int_LIa2G8Lj"/>
      <w:proofErr w:type="gramStart"/>
      <w:r>
        <w:rPr>
          <w:rFonts w:ascii="Times New Roman" w:hAnsi="Times New Roman" w:cs="Times New Roman"/>
        </w:rPr>
        <w:t>ask</w:t>
      </w:r>
      <w:bookmarkEnd w:id="0"/>
      <w:proofErr w:type="gramEnd"/>
      <w:r>
        <w:rPr>
          <w:rFonts w:ascii="Times New Roman" w:hAnsi="Times New Roman" w:cs="Times New Roman"/>
        </w:rPr>
        <w:t xml:space="preserve"> spread.</w:t>
      </w:r>
    </w:p>
    <w:p w14:paraId="7590C2E3" w14:textId="252A0D5B" w:rsidR="00F45078" w:rsidRPr="00C03CD7" w:rsidRDefault="00F45078" w:rsidP="00F45078">
      <w:pPr>
        <w:spacing w:line="276" w:lineRule="auto"/>
        <w:ind w:left="720" w:firstLine="720"/>
        <w:rPr>
          <w:rFonts w:ascii="Times New Roman" w:hAnsi="Times New Roman" w:cs="Times New Roman"/>
        </w:rPr>
      </w:pPr>
      <w:r>
        <w:rPr>
          <w:rFonts w:ascii="Times New Roman" w:hAnsi="Times New Roman" w:cs="Times New Roman"/>
        </w:rPr>
        <w:t>The same 3</w:t>
      </w:r>
      <w:r w:rsidR="24BDC89E" w:rsidRPr="24BDC89E">
        <w:rPr>
          <w:rFonts w:ascii="Times New Roman" w:hAnsi="Times New Roman" w:cs="Times New Roman"/>
        </w:rPr>
        <w:t>-,</w:t>
      </w:r>
      <w:r>
        <w:rPr>
          <w:rFonts w:ascii="Times New Roman" w:hAnsi="Times New Roman" w:cs="Times New Roman"/>
        </w:rPr>
        <w:t xml:space="preserve"> 6</w:t>
      </w:r>
      <w:r w:rsidR="24BDC89E" w:rsidRPr="24BDC89E">
        <w:rPr>
          <w:rFonts w:ascii="Times New Roman" w:hAnsi="Times New Roman" w:cs="Times New Roman"/>
        </w:rPr>
        <w:t>-</w:t>
      </w:r>
      <w:r>
        <w:rPr>
          <w:rFonts w:ascii="Times New Roman" w:hAnsi="Times New Roman" w:cs="Times New Roman"/>
        </w:rPr>
        <w:t xml:space="preserve"> and 12</w:t>
      </w:r>
      <w:r w:rsidR="24BDC89E" w:rsidRPr="24BDC89E">
        <w:rPr>
          <w:rFonts w:ascii="Times New Roman" w:hAnsi="Times New Roman" w:cs="Times New Roman"/>
        </w:rPr>
        <w:t>-</w:t>
      </w:r>
      <w:r>
        <w:rPr>
          <w:rFonts w:ascii="Times New Roman" w:hAnsi="Times New Roman" w:cs="Times New Roman"/>
        </w:rPr>
        <w:t>month holding period were used and cross</w:t>
      </w:r>
      <w:r w:rsidR="408A8BBE" w:rsidRPr="408A8BBE">
        <w:rPr>
          <w:rFonts w:ascii="Times New Roman" w:hAnsi="Times New Roman" w:cs="Times New Roman"/>
        </w:rPr>
        <w:t>-</w:t>
      </w:r>
      <w:r w:rsidR="1E9B9D65" w:rsidRPr="1E9B9D65">
        <w:rPr>
          <w:rFonts w:ascii="Times New Roman" w:hAnsi="Times New Roman" w:cs="Times New Roman"/>
        </w:rPr>
        <w:t>sectional</w:t>
      </w:r>
      <w:r>
        <w:rPr>
          <w:rFonts w:ascii="Times New Roman" w:hAnsi="Times New Roman" w:cs="Times New Roman"/>
        </w:rPr>
        <w:t xml:space="preserve"> regression analysis was performed to identify if any of the factors driving momentum also drive company specific risk.  This is an important topic of </w:t>
      </w:r>
      <w:proofErr w:type="gramStart"/>
      <w:r>
        <w:rPr>
          <w:rFonts w:ascii="Times New Roman" w:hAnsi="Times New Roman" w:cs="Times New Roman"/>
        </w:rPr>
        <w:t xml:space="preserve">study, </w:t>
      </w:r>
      <w:r w:rsidR="5E02D212" w:rsidRPr="5E02D212">
        <w:rPr>
          <w:rFonts w:ascii="Times New Roman" w:hAnsi="Times New Roman" w:cs="Times New Roman"/>
        </w:rPr>
        <w:t>because</w:t>
      </w:r>
      <w:proofErr w:type="gramEnd"/>
      <w:r>
        <w:rPr>
          <w:rFonts w:ascii="Times New Roman" w:hAnsi="Times New Roman" w:cs="Times New Roman"/>
        </w:rPr>
        <w:t xml:space="preserve"> momentum profits are less viable in a non-academic environment if they </w:t>
      </w:r>
      <w:r w:rsidR="5E02D212" w:rsidRPr="5E02D212">
        <w:rPr>
          <w:rFonts w:ascii="Times New Roman" w:hAnsi="Times New Roman" w:cs="Times New Roman"/>
        </w:rPr>
        <w:t>increase</w:t>
      </w:r>
      <w:r>
        <w:rPr>
          <w:rFonts w:ascii="Times New Roman" w:hAnsi="Times New Roman" w:cs="Times New Roman"/>
        </w:rPr>
        <w:t xml:space="preserve"> diversifiable risk.  The findings of Jagadeesh and Titman reinforce the hypothesis presented in Momentum, Risk, and Underreaction.  Ultimately, the long profits were attributed to slow market reactions to good news in, or before, </w:t>
      </w:r>
      <w:r w:rsidRPr="00C03CD7">
        <w:rPr>
          <w:rFonts w:ascii="Times New Roman" w:hAnsi="Times New Roman" w:cs="Times New Roman"/>
        </w:rPr>
        <w:t>the formation period.  The thinking is that this news was not immediately priced and caused a drift in the returns during the formation period</w:t>
      </w:r>
      <w:r w:rsidR="0DA9B015" w:rsidRPr="00C03CD7">
        <w:rPr>
          <w:rFonts w:ascii="Times New Roman" w:hAnsi="Times New Roman" w:cs="Times New Roman"/>
        </w:rPr>
        <w:t>,</w:t>
      </w:r>
      <w:r w:rsidRPr="00C03CD7">
        <w:rPr>
          <w:rFonts w:ascii="Times New Roman" w:hAnsi="Times New Roman" w:cs="Times New Roman"/>
        </w:rPr>
        <w:t xml:space="preserve"> biasing these stocks towards the top </w:t>
      </w:r>
      <w:bookmarkStart w:id="1" w:name="_Int_O28kwesB"/>
      <w:r w:rsidRPr="00C03CD7">
        <w:rPr>
          <w:rFonts w:ascii="Times New Roman" w:hAnsi="Times New Roman" w:cs="Times New Roman"/>
        </w:rPr>
        <w:t>decile</w:t>
      </w:r>
      <w:bookmarkEnd w:id="1"/>
      <w:r w:rsidRPr="00C03CD7">
        <w:rPr>
          <w:rFonts w:ascii="Times New Roman" w:hAnsi="Times New Roman" w:cs="Times New Roman"/>
        </w:rPr>
        <w:t xml:space="preserve"> in the formation period.  Then, in the subsequent holding period</w:t>
      </w:r>
      <w:r w:rsidR="1E1B4C4F" w:rsidRPr="1E1B4C4F">
        <w:rPr>
          <w:rFonts w:ascii="Times New Roman" w:hAnsi="Times New Roman" w:cs="Times New Roman"/>
        </w:rPr>
        <w:t xml:space="preserve"> the</w:t>
      </w:r>
      <w:r w:rsidRPr="00C03CD7">
        <w:rPr>
          <w:rFonts w:ascii="Times New Roman" w:hAnsi="Times New Roman" w:cs="Times New Roman"/>
        </w:rPr>
        <w:t xml:space="preserve"> risk premiums of these company specific risks changed</w:t>
      </w:r>
      <w:r w:rsidR="00C03CD7" w:rsidRPr="00C03CD7">
        <w:rPr>
          <w:rFonts w:ascii="Times New Roman" w:hAnsi="Times New Roman" w:cs="Times New Roman"/>
        </w:rPr>
        <w:t>,</w:t>
      </w:r>
      <w:r w:rsidRPr="00C03CD7">
        <w:rPr>
          <w:rFonts w:ascii="Times New Roman" w:hAnsi="Times New Roman" w:cs="Times New Roman"/>
        </w:rPr>
        <w:t xml:space="preserve"> continuing to drive the returns seen in the formation period.</w:t>
      </w:r>
    </w:p>
    <w:p w14:paraId="49779057" w14:textId="55B87DFC" w:rsidR="00F45078" w:rsidRDefault="00387A8F" w:rsidP="00F45078">
      <w:pPr>
        <w:spacing w:line="276" w:lineRule="auto"/>
        <w:ind w:left="720" w:firstLine="720"/>
        <w:rPr>
          <w:rFonts w:ascii="Times New Roman" w:hAnsi="Times New Roman" w:cs="Times New Roman"/>
        </w:rPr>
      </w:pPr>
      <w:r>
        <w:rPr>
          <w:rFonts w:ascii="Times New Roman" w:hAnsi="Times New Roman" w:cs="Times New Roman"/>
        </w:rPr>
        <w:t xml:space="preserve">The shorted stocks, those in the bottom decile of formation period returns, also had interesting biases identified.  Selection in the short decile </w:t>
      </w:r>
      <w:r w:rsidR="16349743" w:rsidRPr="16349743">
        <w:rPr>
          <w:rFonts w:ascii="Times New Roman" w:hAnsi="Times New Roman" w:cs="Times New Roman"/>
        </w:rPr>
        <w:t>tended to</w:t>
      </w:r>
      <w:r>
        <w:rPr>
          <w:rFonts w:ascii="Times New Roman" w:hAnsi="Times New Roman" w:cs="Times New Roman"/>
        </w:rPr>
        <w:t xml:space="preserve"> small cap and more illiquid stocks; this finding will interact with the third paper studied</w:t>
      </w:r>
      <w:r w:rsidR="16349743" w:rsidRPr="16349743">
        <w:rPr>
          <w:rFonts w:ascii="Times New Roman" w:hAnsi="Times New Roman" w:cs="Times New Roman"/>
        </w:rPr>
        <w:t>,</w:t>
      </w:r>
      <w:r>
        <w:rPr>
          <w:rFonts w:ascii="Times New Roman" w:hAnsi="Times New Roman" w:cs="Times New Roman"/>
        </w:rPr>
        <w:t xml:space="preserve"> which considers net returns by including transaction costs in the study of momentum.  </w:t>
      </w:r>
    </w:p>
    <w:p w14:paraId="3ACBA2D2" w14:textId="49131D75" w:rsidR="00387A8F" w:rsidRDefault="00387A8F" w:rsidP="00F45078">
      <w:pPr>
        <w:spacing w:line="276" w:lineRule="auto"/>
        <w:ind w:left="720" w:firstLine="720"/>
        <w:rPr>
          <w:rFonts w:ascii="Times New Roman" w:hAnsi="Times New Roman" w:cs="Times New Roman"/>
        </w:rPr>
      </w:pPr>
      <w:r>
        <w:rPr>
          <w:rFonts w:ascii="Times New Roman" w:hAnsi="Times New Roman" w:cs="Times New Roman"/>
        </w:rPr>
        <w:t xml:space="preserve">The lead-lag phenomenon was another trend identified by Jagadeesh and Titman.  In layman’s terms, lead lag refers to investor’s slow reaction to good news.  Though the term was not mentioned </w:t>
      </w:r>
      <w:r w:rsidR="528BFEAC" w:rsidRPr="528BFEAC">
        <w:rPr>
          <w:rFonts w:ascii="Times New Roman" w:hAnsi="Times New Roman" w:cs="Times New Roman"/>
        </w:rPr>
        <w:t>explicitly</w:t>
      </w:r>
      <w:r>
        <w:rPr>
          <w:rFonts w:ascii="Times New Roman" w:hAnsi="Times New Roman" w:cs="Times New Roman"/>
        </w:rPr>
        <w:t xml:space="preserve"> in the formerly reviewed papers, it was alluded to in findings.  This idea was supported by a thoughtful analysis of the beta of the long and short deciles.  When a positive drift is present in the market, high beta stock may move with the market, but quantitatively, not by as much as their beta would indicate.  This supported further analysis in this area as to whether a lead-lag effect was present within the momentum factor, and perhaps underlying a portion of the factor’s returns.  </w:t>
      </w:r>
    </w:p>
    <w:p w14:paraId="567A5BA5" w14:textId="208A5C75" w:rsidR="00D94C52" w:rsidRDefault="32615CBD" w:rsidP="00F45078">
      <w:pPr>
        <w:spacing w:line="276" w:lineRule="auto"/>
        <w:ind w:left="720" w:firstLine="720"/>
        <w:rPr>
          <w:rFonts w:ascii="Times New Roman" w:hAnsi="Times New Roman" w:cs="Times New Roman"/>
        </w:rPr>
      </w:pPr>
      <w:r w:rsidRPr="32615CBD">
        <w:rPr>
          <w:rFonts w:ascii="Times New Roman" w:hAnsi="Times New Roman" w:cs="Times New Roman"/>
        </w:rPr>
        <w:lastRenderedPageBreak/>
        <w:t xml:space="preserve">Qualitatively, this effect was believed to be due to institutional investors bias towards buying stock in baskets.  Though less intuitive, </w:t>
      </w:r>
      <w:proofErr w:type="spellStart"/>
      <w:proofErr w:type="gramStart"/>
      <w:r w:rsidRPr="32615CBD">
        <w:rPr>
          <w:rFonts w:ascii="Times New Roman" w:hAnsi="Times New Roman" w:cs="Times New Roman"/>
        </w:rPr>
        <w:t>Comovement</w:t>
      </w:r>
      <w:proofErr w:type="spellEnd"/>
      <w:proofErr w:type="gramEnd"/>
      <w:r w:rsidRPr="32615CBD">
        <w:rPr>
          <w:rFonts w:ascii="Times New Roman" w:hAnsi="Times New Roman" w:cs="Times New Roman"/>
        </w:rPr>
        <w:t xml:space="preserve"> by Barberis, Schleifer, and Wurgler in 2005 found that sentiment and news trends in stocks can drive investors to buy or sell baskets of the impacted stocks (Barberis, Nicholas, et al, 2005).  Broad market shifts in sentiment can cause correlated price movements and collectively, this behavior could be a contributor to the observed lead lag effect as some stocks are less insulated to sentiment changes and react quicker than others.</w:t>
      </w:r>
    </w:p>
    <w:p w14:paraId="42DB4FA4" w14:textId="26F2DA0E" w:rsidR="00D94C52" w:rsidRDefault="00D94C52" w:rsidP="00F45078">
      <w:pPr>
        <w:spacing w:line="276" w:lineRule="auto"/>
        <w:ind w:left="720" w:firstLine="720"/>
        <w:rPr>
          <w:rFonts w:ascii="Times New Roman" w:hAnsi="Times New Roman" w:cs="Times New Roman"/>
        </w:rPr>
      </w:pPr>
      <w:r>
        <w:rPr>
          <w:rFonts w:ascii="Times New Roman" w:hAnsi="Times New Roman" w:cs="Times New Roman"/>
        </w:rPr>
        <w:t>When studied by Jagadeesh and Titman, they foun</w:t>
      </w:r>
      <w:r w:rsidR="005F74F4">
        <w:rPr>
          <w:rFonts w:ascii="Times New Roman" w:hAnsi="Times New Roman" w:cs="Times New Roman"/>
        </w:rPr>
        <w:t>d a market wide lead lag effect was not present market-wide in a statistically significant manner.  This finding was used to assert that the presence of lead lag effects in momentum stocks could be driving returns of the momentum factor.</w:t>
      </w:r>
    </w:p>
    <w:p w14:paraId="28528183" w14:textId="7D194A5E" w:rsidR="005F74F4" w:rsidRDefault="005F74F4" w:rsidP="005F74F4">
      <w:pPr>
        <w:spacing w:line="276" w:lineRule="auto"/>
        <w:rPr>
          <w:rFonts w:ascii="Times New Roman" w:hAnsi="Times New Roman" w:cs="Times New Roman"/>
        </w:rPr>
      </w:pPr>
      <w:r>
        <w:rPr>
          <w:rFonts w:ascii="Times New Roman" w:hAnsi="Times New Roman" w:cs="Times New Roman"/>
        </w:rPr>
        <w:t xml:space="preserve">The implications of Momentum on my research </w:t>
      </w:r>
      <w:r w:rsidR="4D404024" w:rsidRPr="4D404024">
        <w:rPr>
          <w:rFonts w:ascii="Times New Roman" w:hAnsi="Times New Roman" w:cs="Times New Roman"/>
        </w:rPr>
        <w:t>underlies</w:t>
      </w:r>
      <w:r>
        <w:rPr>
          <w:rFonts w:ascii="Times New Roman" w:hAnsi="Times New Roman" w:cs="Times New Roman"/>
        </w:rPr>
        <w:t xml:space="preserve"> my interest in the predictability of a stock being present in the top decile of returns based on its trailing price performance.  If in fact lead lag effects were a driver of momentum profits, would it be a strong enough causal relationship to predict top decile returns?  The importance of omitting a period between the formation and holding periods was also of key interest.  Though present in both </w:t>
      </w:r>
      <w:r w:rsidR="4E76CDFC" w:rsidRPr="4E76CDFC">
        <w:rPr>
          <w:rFonts w:ascii="Times New Roman" w:hAnsi="Times New Roman" w:cs="Times New Roman"/>
        </w:rPr>
        <w:t>papers</w:t>
      </w:r>
      <w:r>
        <w:rPr>
          <w:rFonts w:ascii="Times New Roman" w:hAnsi="Times New Roman" w:cs="Times New Roman"/>
        </w:rPr>
        <w:t>, the practice lacked strong intuition, so I sought to test the results of this thesis without a gap in these periods.</w:t>
      </w:r>
    </w:p>
    <w:p w14:paraId="02CF5690" w14:textId="57808A2B" w:rsidR="00846C74" w:rsidRDefault="32615CBD" w:rsidP="005F74F4">
      <w:pPr>
        <w:spacing w:line="276" w:lineRule="auto"/>
        <w:rPr>
          <w:rFonts w:ascii="Times New Roman" w:hAnsi="Times New Roman" w:cs="Times New Roman"/>
        </w:rPr>
      </w:pPr>
      <w:r w:rsidRPr="32615CBD">
        <w:rPr>
          <w:rFonts w:ascii="Times New Roman" w:hAnsi="Times New Roman" w:cs="Times New Roman"/>
        </w:rPr>
        <w:t xml:space="preserve">The third paper reviewed was Low-Cost Momentum Strategies (Li and Brooks, 2009).  Unlike the former two papers, Li’s research included only UK based stocks in the tradable stocks and focused on net returns instead of gross returns seeking to address the high transaction costs associated with the momentum factor.  Historically, momentum is based off the top and bottom deciles of a forecasting period.  At any given time, the portfolio is concentrated in roughly 20% of the total tradable universe for the strategy.  Accordingly, period to period the turnover of the holdings is very high, and in more practical applications, very high transaction costs.  This is a further concern when addressing the rebate fees associated with borrowing stocks for short selling.  All the papers reviewed have been hedged strategies of equal weight long and short positions to isolate the momentum factors.  </w:t>
      </w:r>
    </w:p>
    <w:p w14:paraId="476EE454" w14:textId="25CB4C7B" w:rsidR="00846C74" w:rsidRDefault="00846C74" w:rsidP="005F74F4">
      <w:pPr>
        <w:spacing w:line="276" w:lineRule="auto"/>
        <w:rPr>
          <w:rFonts w:ascii="Times New Roman" w:hAnsi="Times New Roman" w:cs="Times New Roman"/>
        </w:rPr>
      </w:pPr>
      <w:r>
        <w:rPr>
          <w:rFonts w:ascii="Times New Roman" w:hAnsi="Times New Roman" w:cs="Times New Roman"/>
        </w:rPr>
        <w:t>While this practice is very useful for identifying fac</w:t>
      </w:r>
      <w:r w:rsidR="005A7CEC">
        <w:rPr>
          <w:rFonts w:ascii="Times New Roman" w:hAnsi="Times New Roman" w:cs="Times New Roman"/>
        </w:rPr>
        <w:t>tor</w:t>
      </w:r>
      <w:r>
        <w:rPr>
          <w:rFonts w:ascii="Times New Roman" w:hAnsi="Times New Roman" w:cs="Times New Roman"/>
        </w:rPr>
        <w:t xml:space="preserve"> loadings, which could be diluted by broad market trends if one side outweighed the other, it is inefficient with respect to transaction costs.  Stock loan rebate fees incurred while </w:t>
      </w:r>
      <w:r w:rsidR="3331C313" w:rsidRPr="3331C313">
        <w:rPr>
          <w:rFonts w:ascii="Times New Roman" w:hAnsi="Times New Roman" w:cs="Times New Roman"/>
        </w:rPr>
        <w:t>short selling</w:t>
      </w:r>
      <w:r>
        <w:rPr>
          <w:rFonts w:ascii="Times New Roman" w:hAnsi="Times New Roman" w:cs="Times New Roman"/>
        </w:rPr>
        <w:t xml:space="preserve"> add a significant transaction cost premium to </w:t>
      </w:r>
      <w:r w:rsidR="6CD97E5F" w:rsidRPr="6CD97E5F">
        <w:rPr>
          <w:rFonts w:ascii="Times New Roman" w:hAnsi="Times New Roman" w:cs="Times New Roman"/>
        </w:rPr>
        <w:t>short selling.</w:t>
      </w:r>
      <w:r>
        <w:rPr>
          <w:rFonts w:ascii="Times New Roman" w:hAnsi="Times New Roman" w:cs="Times New Roman"/>
        </w:rPr>
        <w:t xml:space="preserve">  Intuitively, this can be thought of as the fee required for a stockholder in a long position to be willing to lend their shares to short sellers.  Drivers of high prices include</w:t>
      </w:r>
      <w:r w:rsidR="3EA830D7" w:rsidRPr="3EA830D7">
        <w:rPr>
          <w:rFonts w:ascii="Times New Roman" w:hAnsi="Times New Roman" w:cs="Times New Roman"/>
        </w:rPr>
        <w:t xml:space="preserve"> the</w:t>
      </w:r>
      <w:r>
        <w:rPr>
          <w:rFonts w:ascii="Times New Roman" w:hAnsi="Times New Roman" w:cs="Times New Roman"/>
        </w:rPr>
        <w:t xml:space="preserve"> limited supply of these shares and lower volume; both of which can </w:t>
      </w:r>
      <w:r w:rsidR="51A2217D" w:rsidRPr="51A2217D">
        <w:rPr>
          <w:rFonts w:ascii="Times New Roman" w:hAnsi="Times New Roman" w:cs="Times New Roman"/>
        </w:rPr>
        <w:t>lead</w:t>
      </w:r>
      <w:r>
        <w:rPr>
          <w:rFonts w:ascii="Times New Roman" w:hAnsi="Times New Roman" w:cs="Times New Roman"/>
        </w:rPr>
        <w:t xml:space="preserve"> to increased difficulty in borrowing shares, and thus higher rebate costs.  It also happens that multiple studies of momentum have found that the short decile </w:t>
      </w:r>
      <w:r w:rsidR="2F3C4685" w:rsidRPr="2F3C4685">
        <w:rPr>
          <w:rFonts w:ascii="Times New Roman" w:hAnsi="Times New Roman" w:cs="Times New Roman"/>
        </w:rPr>
        <w:t>tends</w:t>
      </w:r>
      <w:r>
        <w:rPr>
          <w:rFonts w:ascii="Times New Roman" w:hAnsi="Times New Roman" w:cs="Times New Roman"/>
        </w:rPr>
        <w:t xml:space="preserve"> to favor smaller cap stocks with lower volume, creating a gap between the </w:t>
      </w:r>
      <w:r w:rsidR="69DE825F" w:rsidRPr="69DE825F">
        <w:rPr>
          <w:rFonts w:ascii="Times New Roman" w:hAnsi="Times New Roman" w:cs="Times New Roman"/>
        </w:rPr>
        <w:t>desirable</w:t>
      </w:r>
      <w:r>
        <w:rPr>
          <w:rFonts w:ascii="Times New Roman" w:hAnsi="Times New Roman" w:cs="Times New Roman"/>
        </w:rPr>
        <w:t xml:space="preserve"> gross returns and net returns after this is reflected in transaction costs of the portfolio.</w:t>
      </w:r>
    </w:p>
    <w:p w14:paraId="7B663E80" w14:textId="25F89DFE" w:rsidR="00325E19" w:rsidRDefault="00325E19" w:rsidP="005A7CEC">
      <w:pPr>
        <w:spacing w:line="276" w:lineRule="auto"/>
        <w:ind w:left="720" w:firstLine="720"/>
        <w:rPr>
          <w:rFonts w:ascii="Times New Roman" w:hAnsi="Times New Roman" w:cs="Times New Roman"/>
        </w:rPr>
      </w:pPr>
      <w:r>
        <w:rPr>
          <w:rFonts w:ascii="Times New Roman" w:hAnsi="Times New Roman" w:cs="Times New Roman"/>
        </w:rPr>
        <w:lastRenderedPageBreak/>
        <w:t>Low</w:t>
      </w:r>
      <w:r w:rsidR="4BBB076F" w:rsidRPr="4BBB076F">
        <w:rPr>
          <w:rFonts w:ascii="Times New Roman" w:hAnsi="Times New Roman" w:cs="Times New Roman"/>
        </w:rPr>
        <w:t>-</w:t>
      </w:r>
      <w:r>
        <w:rPr>
          <w:rFonts w:ascii="Times New Roman" w:hAnsi="Times New Roman" w:cs="Times New Roman"/>
        </w:rPr>
        <w:t xml:space="preserve">Cost Momentum Strategies used a JK momentum portfolio, where </w:t>
      </w:r>
      <w:r w:rsidR="005A7CEC">
        <w:rPr>
          <w:rFonts w:ascii="Times New Roman" w:hAnsi="Times New Roman" w:cs="Times New Roman"/>
        </w:rPr>
        <w:t>J</w:t>
      </w:r>
      <w:r>
        <w:rPr>
          <w:rFonts w:ascii="Times New Roman" w:hAnsi="Times New Roman" w:cs="Times New Roman"/>
        </w:rPr>
        <w:t xml:space="preserve"> is the number of months of past performance, and K is the number of months the stock was held for before rebalancing.  No gap period was used, and 20 years of stock data was </w:t>
      </w:r>
      <w:r w:rsidR="765A8660" w:rsidRPr="765A8660">
        <w:rPr>
          <w:rFonts w:ascii="Times New Roman" w:hAnsi="Times New Roman" w:cs="Times New Roman"/>
        </w:rPr>
        <w:t>compiled</w:t>
      </w:r>
      <w:r>
        <w:rPr>
          <w:rFonts w:ascii="Times New Roman" w:hAnsi="Times New Roman" w:cs="Times New Roman"/>
        </w:rPr>
        <w:t xml:space="preserve"> from Dec. 31, 1985-Dec. 31, 2005.  </w:t>
      </w:r>
      <w:r w:rsidR="1E1B4C4F" w:rsidRPr="1E1B4C4F">
        <w:rPr>
          <w:rFonts w:ascii="Times New Roman" w:hAnsi="Times New Roman" w:cs="Times New Roman"/>
        </w:rPr>
        <w:t>Additionally,</w:t>
      </w:r>
      <w:r>
        <w:rPr>
          <w:rFonts w:ascii="Times New Roman" w:hAnsi="Times New Roman" w:cs="Times New Roman"/>
        </w:rPr>
        <w:t xml:space="preserve"> screens to the data were used to eliminate stocks in the bottom 5% of their investable universes market cap, as well as stocks with a price of less than 5 pounds per share over concerns of illiquidity and small cap effects impacting momentum.  The researchers expressed a desire to create an imperfectly hedged portfolio, going long a larger </w:t>
      </w:r>
      <w:r w:rsidR="003E1A06">
        <w:rPr>
          <w:rFonts w:ascii="Times New Roman" w:hAnsi="Times New Roman" w:cs="Times New Roman"/>
        </w:rPr>
        <w:t>proportion</w:t>
      </w:r>
      <w:r>
        <w:rPr>
          <w:rFonts w:ascii="Times New Roman" w:hAnsi="Times New Roman" w:cs="Times New Roman"/>
        </w:rPr>
        <w:t xml:space="preserve"> of the portfolio with the most liquid stocks, but for continuity with previous research, opted for an equal weight on long and short components.</w:t>
      </w:r>
    </w:p>
    <w:p w14:paraId="0AA4E142" w14:textId="29C481FA" w:rsidR="005A7CEC" w:rsidRDefault="005A7CEC" w:rsidP="005A7CEC">
      <w:pPr>
        <w:spacing w:line="276" w:lineRule="auto"/>
        <w:ind w:left="720" w:firstLine="720"/>
        <w:rPr>
          <w:rFonts w:ascii="Times New Roman" w:hAnsi="Times New Roman" w:cs="Times New Roman"/>
        </w:rPr>
      </w:pPr>
      <w:r>
        <w:rPr>
          <w:rFonts w:ascii="Times New Roman" w:hAnsi="Times New Roman" w:cs="Times New Roman"/>
        </w:rPr>
        <w:t>The research found that the transaction costs of a 3</w:t>
      </w:r>
      <w:r w:rsidR="6266152C" w:rsidRPr="6266152C">
        <w:rPr>
          <w:rFonts w:ascii="Times New Roman" w:hAnsi="Times New Roman" w:cs="Times New Roman"/>
        </w:rPr>
        <w:t>-</w:t>
      </w:r>
      <w:r>
        <w:rPr>
          <w:rFonts w:ascii="Times New Roman" w:hAnsi="Times New Roman" w:cs="Times New Roman"/>
        </w:rPr>
        <w:t>month holding period were nearly 4 times more than that of a 12</w:t>
      </w:r>
      <w:r w:rsidR="7A226DF4" w:rsidRPr="7A226DF4">
        <w:rPr>
          <w:rFonts w:ascii="Times New Roman" w:hAnsi="Times New Roman" w:cs="Times New Roman"/>
        </w:rPr>
        <w:t>-</w:t>
      </w:r>
      <w:r>
        <w:rPr>
          <w:rFonts w:ascii="Times New Roman" w:hAnsi="Times New Roman" w:cs="Times New Roman"/>
        </w:rPr>
        <w:t xml:space="preserve">month holding period, finding little continuity in the long and short decile stock picks from period to period.  Gross returns for the momentum strategy averaged 23.14% in their </w:t>
      </w:r>
      <w:proofErr w:type="gramStart"/>
      <w:r>
        <w:rPr>
          <w:rFonts w:ascii="Times New Roman" w:hAnsi="Times New Roman" w:cs="Times New Roman"/>
        </w:rPr>
        <w:t>time period</w:t>
      </w:r>
      <w:proofErr w:type="gramEnd"/>
      <w:r>
        <w:rPr>
          <w:rFonts w:ascii="Times New Roman" w:hAnsi="Times New Roman" w:cs="Times New Roman"/>
        </w:rPr>
        <w:t xml:space="preserve">.  Transaction costs were found to be </w:t>
      </w:r>
      <w:r w:rsidR="7BD508D2" w:rsidRPr="7BD508D2">
        <w:rPr>
          <w:rFonts w:ascii="Times New Roman" w:hAnsi="Times New Roman" w:cs="Times New Roman"/>
        </w:rPr>
        <w:t>very</w:t>
      </w:r>
      <w:r>
        <w:rPr>
          <w:rFonts w:ascii="Times New Roman" w:hAnsi="Times New Roman" w:cs="Times New Roman"/>
        </w:rPr>
        <w:t xml:space="preserve"> significant, especially in K = 3; this portfolio had a negative return after adjusting to net returns.  </w:t>
      </w:r>
    </w:p>
    <w:p w14:paraId="430C28EF" w14:textId="58E72D92" w:rsidR="005A7CEC" w:rsidRDefault="005A7CEC" w:rsidP="005A7CEC">
      <w:pPr>
        <w:spacing w:line="276" w:lineRule="auto"/>
        <w:ind w:left="720" w:firstLine="720"/>
        <w:rPr>
          <w:rFonts w:ascii="Times New Roman" w:hAnsi="Times New Roman" w:cs="Times New Roman"/>
        </w:rPr>
      </w:pPr>
      <w:r>
        <w:rPr>
          <w:rFonts w:ascii="Times New Roman" w:hAnsi="Times New Roman" w:cs="Times New Roman"/>
        </w:rPr>
        <w:t xml:space="preserve">Another </w:t>
      </w:r>
      <w:r w:rsidR="06B99C2E" w:rsidRPr="06B99C2E">
        <w:rPr>
          <w:rFonts w:ascii="Times New Roman" w:hAnsi="Times New Roman" w:cs="Times New Roman"/>
        </w:rPr>
        <w:t>finding</w:t>
      </w:r>
      <w:r>
        <w:rPr>
          <w:rFonts w:ascii="Times New Roman" w:hAnsi="Times New Roman" w:cs="Times New Roman"/>
        </w:rPr>
        <w:t xml:space="preserve"> was that longer holding periods and shorter formation periods yielded much lower portfolio turnover, and thus more attractive net returns.  This interestingly interacts with the findings in Momentum by Jagadeesh and Titman, that showed the lead lag effect could plausibly cover periods up to 15 months (12</w:t>
      </w:r>
      <w:r w:rsidR="43E6D8D0" w:rsidRPr="43E6D8D0">
        <w:rPr>
          <w:rFonts w:ascii="Times New Roman" w:hAnsi="Times New Roman" w:cs="Times New Roman"/>
        </w:rPr>
        <w:t>-</w:t>
      </w:r>
      <w:r>
        <w:rPr>
          <w:rFonts w:ascii="Times New Roman" w:hAnsi="Times New Roman" w:cs="Times New Roman"/>
        </w:rPr>
        <w:t xml:space="preserve">month formation and </w:t>
      </w:r>
      <w:r w:rsidR="23691A3B" w:rsidRPr="23691A3B">
        <w:rPr>
          <w:rFonts w:ascii="Times New Roman" w:hAnsi="Times New Roman" w:cs="Times New Roman"/>
        </w:rPr>
        <w:t>3-month</w:t>
      </w:r>
      <w:r>
        <w:rPr>
          <w:rFonts w:ascii="Times New Roman" w:hAnsi="Times New Roman" w:cs="Times New Roman"/>
        </w:rPr>
        <w:t xml:space="preserve"> holding periods).  </w:t>
      </w:r>
    </w:p>
    <w:p w14:paraId="3FE69A1B" w14:textId="6FDC1969" w:rsidR="005A7CEC" w:rsidRDefault="005A7CEC" w:rsidP="005A7CEC">
      <w:pPr>
        <w:spacing w:line="276" w:lineRule="auto"/>
        <w:ind w:left="720" w:firstLine="720"/>
        <w:rPr>
          <w:rFonts w:ascii="Times New Roman" w:hAnsi="Times New Roman" w:cs="Times New Roman"/>
        </w:rPr>
      </w:pPr>
      <w:r>
        <w:rPr>
          <w:rFonts w:ascii="Times New Roman" w:hAnsi="Times New Roman" w:cs="Times New Roman"/>
        </w:rPr>
        <w:t>Additionally, an interesting effect was found when contrasting buying small cap vs large cap stocks.  Buying large cap stocks was much cheaper and market cap was inversely correlated with transaction costs.  This is plausibly attributable to lower volume and thus wider bid ask spreads, which were accounted for in the conversion to net returns.</w:t>
      </w:r>
    </w:p>
    <w:p w14:paraId="1CFB3E80" w14:textId="3056DB51" w:rsidR="005A7CEC" w:rsidRDefault="005A7CEC" w:rsidP="005A7CEC">
      <w:pPr>
        <w:spacing w:line="276" w:lineRule="auto"/>
        <w:ind w:left="720" w:firstLine="720"/>
        <w:rPr>
          <w:rFonts w:ascii="Times New Roman" w:hAnsi="Times New Roman" w:cs="Times New Roman"/>
        </w:rPr>
      </w:pPr>
      <w:r>
        <w:rPr>
          <w:rFonts w:ascii="Times New Roman" w:hAnsi="Times New Roman" w:cs="Times New Roman"/>
        </w:rPr>
        <w:t xml:space="preserve">The optimal JK momentum strategy was found to be the 12:3 portfolio, trading only the most liquid stocks in each category.  This additional characteristic lowered transaction costs from 19.27% to 10.10% generating an average annual net return of 18.24% in the liquidity adjusted portfolio.  </w:t>
      </w:r>
    </w:p>
    <w:p w14:paraId="763C6F8B" w14:textId="33AE14C4" w:rsidR="005A7CEC" w:rsidRDefault="005A7CEC" w:rsidP="005A7CEC">
      <w:pPr>
        <w:spacing w:line="276" w:lineRule="auto"/>
        <w:rPr>
          <w:rFonts w:ascii="Times New Roman" w:hAnsi="Times New Roman" w:cs="Times New Roman"/>
        </w:rPr>
      </w:pPr>
      <w:r>
        <w:rPr>
          <w:rFonts w:ascii="Times New Roman" w:hAnsi="Times New Roman" w:cs="Times New Roman"/>
        </w:rPr>
        <w:t xml:space="preserve">While this paper did not motivate my research efforts to adjust for liquidity, it did contextualize the discrepancy between paper returns (without transaction costs) and the impact that transaction costs can have on net returns.  The interaction of the formerly described lead lag effect and how it is </w:t>
      </w:r>
      <w:r w:rsidR="332A085E" w:rsidRPr="332A085E">
        <w:rPr>
          <w:rFonts w:ascii="Times New Roman" w:hAnsi="Times New Roman" w:cs="Times New Roman"/>
        </w:rPr>
        <w:t>used</w:t>
      </w:r>
      <w:r>
        <w:rPr>
          <w:rFonts w:ascii="Times New Roman" w:hAnsi="Times New Roman" w:cs="Times New Roman"/>
        </w:rPr>
        <w:t xml:space="preserve"> in different portfolio constructions is also reinforced by the findings of Low</w:t>
      </w:r>
      <w:r w:rsidR="086CCE84" w:rsidRPr="086CCE84">
        <w:rPr>
          <w:rFonts w:ascii="Times New Roman" w:hAnsi="Times New Roman" w:cs="Times New Roman"/>
        </w:rPr>
        <w:t>-</w:t>
      </w:r>
      <w:r>
        <w:rPr>
          <w:rFonts w:ascii="Times New Roman" w:hAnsi="Times New Roman" w:cs="Times New Roman"/>
        </w:rPr>
        <w:t xml:space="preserve">Cost Momentum Strategies.  The reviewed papers demonstrated the effects propensity to exist up to 15 months, due to the combined holding and formation period.  However, the strength of this effect at different points remains unclear as </w:t>
      </w:r>
      <w:r w:rsidR="36F8E05E" w:rsidRPr="36F8E05E">
        <w:rPr>
          <w:rFonts w:ascii="Times New Roman" w:hAnsi="Times New Roman" w:cs="Times New Roman"/>
        </w:rPr>
        <w:t>continuous</w:t>
      </w:r>
      <w:r>
        <w:rPr>
          <w:rFonts w:ascii="Times New Roman" w:hAnsi="Times New Roman" w:cs="Times New Roman"/>
        </w:rPr>
        <w:t xml:space="preserve"> momentum portfolio performance graphs are not offered.  Only end</w:t>
      </w:r>
      <w:r w:rsidR="2B1E2C30" w:rsidRPr="2B1E2C30">
        <w:rPr>
          <w:rFonts w:ascii="Times New Roman" w:hAnsi="Times New Roman" w:cs="Times New Roman"/>
        </w:rPr>
        <w:t>-</w:t>
      </w:r>
      <w:r>
        <w:rPr>
          <w:rFonts w:ascii="Times New Roman" w:hAnsi="Times New Roman" w:cs="Times New Roman"/>
        </w:rPr>
        <w:t>of</w:t>
      </w:r>
      <w:r w:rsidR="2B1E2C30" w:rsidRPr="2B1E2C30">
        <w:rPr>
          <w:rFonts w:ascii="Times New Roman" w:hAnsi="Times New Roman" w:cs="Times New Roman"/>
        </w:rPr>
        <w:t>-</w:t>
      </w:r>
      <w:r>
        <w:rPr>
          <w:rFonts w:ascii="Times New Roman" w:hAnsi="Times New Roman" w:cs="Times New Roman"/>
        </w:rPr>
        <w:t>period results are offered</w:t>
      </w:r>
      <w:r w:rsidR="04E0F43A" w:rsidRPr="04E0F43A">
        <w:rPr>
          <w:rFonts w:ascii="Times New Roman" w:hAnsi="Times New Roman" w:cs="Times New Roman"/>
        </w:rPr>
        <w:t>,</w:t>
      </w:r>
      <w:r>
        <w:rPr>
          <w:rFonts w:ascii="Times New Roman" w:hAnsi="Times New Roman" w:cs="Times New Roman"/>
        </w:rPr>
        <w:t xml:space="preserve"> and this </w:t>
      </w:r>
      <w:r w:rsidR="571ADD87" w:rsidRPr="571ADD87">
        <w:rPr>
          <w:rFonts w:ascii="Times New Roman" w:hAnsi="Times New Roman" w:cs="Times New Roman"/>
        </w:rPr>
        <w:t>leads</w:t>
      </w:r>
      <w:r>
        <w:rPr>
          <w:rFonts w:ascii="Times New Roman" w:hAnsi="Times New Roman" w:cs="Times New Roman"/>
        </w:rPr>
        <w:t xml:space="preserve"> to an uncertain strength of </w:t>
      </w:r>
      <w:r>
        <w:rPr>
          <w:rFonts w:ascii="Times New Roman" w:hAnsi="Times New Roman" w:cs="Times New Roman"/>
        </w:rPr>
        <w:lastRenderedPageBreak/>
        <w:t xml:space="preserve">this effect in between the reporting periods in the papers.  This is something that my research seeks to quantify by measuring the </w:t>
      </w:r>
      <w:r w:rsidR="4C3D3A98" w:rsidRPr="4C3D3A98">
        <w:rPr>
          <w:rFonts w:ascii="Times New Roman" w:hAnsi="Times New Roman" w:cs="Times New Roman"/>
        </w:rPr>
        <w:t>predictive</w:t>
      </w:r>
      <w:r>
        <w:rPr>
          <w:rFonts w:ascii="Times New Roman" w:hAnsi="Times New Roman" w:cs="Times New Roman"/>
        </w:rPr>
        <w:t xml:space="preserve"> power of different formation periods on my model’s precision and </w:t>
      </w:r>
      <w:r w:rsidR="4374E45F" w:rsidRPr="4374E45F">
        <w:rPr>
          <w:rFonts w:ascii="Times New Roman" w:hAnsi="Times New Roman" w:cs="Times New Roman"/>
        </w:rPr>
        <w:t>accuracy.</w:t>
      </w:r>
    </w:p>
    <w:p w14:paraId="4DEDD767" w14:textId="46677F14" w:rsidR="005A7CEC" w:rsidRPr="005A7CEC" w:rsidRDefault="005A7CEC" w:rsidP="005A7CEC">
      <w:pPr>
        <w:pStyle w:val="ListParagraph"/>
        <w:numPr>
          <w:ilvl w:val="0"/>
          <w:numId w:val="1"/>
        </w:numPr>
        <w:spacing w:line="276" w:lineRule="auto"/>
        <w:rPr>
          <w:rFonts w:ascii="Times New Roman" w:hAnsi="Times New Roman" w:cs="Times New Roman"/>
          <w:b/>
          <w:bCs/>
        </w:rPr>
      </w:pPr>
      <w:r w:rsidRPr="005A7CEC">
        <w:rPr>
          <w:rFonts w:ascii="Times New Roman" w:hAnsi="Times New Roman" w:cs="Times New Roman"/>
          <w:b/>
          <w:bCs/>
        </w:rPr>
        <w:t>Research Methodology</w:t>
      </w:r>
    </w:p>
    <w:p w14:paraId="56E73A7B" w14:textId="7BAF88F3" w:rsidR="005A7CEC" w:rsidRDefault="00F808CE" w:rsidP="005A7CEC">
      <w:pPr>
        <w:spacing w:line="276" w:lineRule="auto"/>
        <w:rPr>
          <w:rFonts w:ascii="Times New Roman" w:hAnsi="Times New Roman" w:cs="Times New Roman"/>
        </w:rPr>
      </w:pPr>
      <w:r>
        <w:rPr>
          <w:rFonts w:ascii="Times New Roman" w:hAnsi="Times New Roman" w:cs="Times New Roman"/>
        </w:rPr>
        <w:t xml:space="preserve">My methodology for answering if there was a predictive relationship between </w:t>
      </w:r>
      <w:r w:rsidR="00BC12E3">
        <w:rPr>
          <w:rFonts w:ascii="Times New Roman" w:hAnsi="Times New Roman" w:cs="Times New Roman"/>
        </w:rPr>
        <w:t xml:space="preserve">performance in the formation period and predicting whether a given stock would end up in the </w:t>
      </w:r>
      <w:r w:rsidR="0001195A">
        <w:rPr>
          <w:rFonts w:ascii="Times New Roman" w:hAnsi="Times New Roman" w:cs="Times New Roman"/>
        </w:rPr>
        <w:t>top decile of returns in the next period (or holding period) was contingent on the performance of a logistic regression model.</w:t>
      </w:r>
      <w:r w:rsidR="003D2AC3">
        <w:rPr>
          <w:rFonts w:ascii="Times New Roman" w:hAnsi="Times New Roman" w:cs="Times New Roman"/>
        </w:rPr>
        <w:t xml:space="preserve">  The results of the logistic regression without modification are sufficient for asses</w:t>
      </w:r>
      <w:r w:rsidR="00AC6C59">
        <w:rPr>
          <w:rFonts w:ascii="Times New Roman" w:hAnsi="Times New Roman" w:cs="Times New Roman"/>
        </w:rPr>
        <w:t>s</w:t>
      </w:r>
      <w:r w:rsidR="003D2AC3">
        <w:rPr>
          <w:rFonts w:ascii="Times New Roman" w:hAnsi="Times New Roman" w:cs="Times New Roman"/>
        </w:rPr>
        <w:t xml:space="preserve">ing whether there is a </w:t>
      </w:r>
      <w:r w:rsidR="00AC6C59">
        <w:rPr>
          <w:rFonts w:ascii="Times New Roman" w:hAnsi="Times New Roman" w:cs="Times New Roman"/>
        </w:rPr>
        <w:t xml:space="preserve">predictive relationship by analyzing the model’s confusion matrix, </w:t>
      </w:r>
      <w:r w:rsidR="21068469" w:rsidRPr="21068469">
        <w:rPr>
          <w:rFonts w:ascii="Times New Roman" w:hAnsi="Times New Roman" w:cs="Times New Roman"/>
        </w:rPr>
        <w:t>accuracy</w:t>
      </w:r>
      <w:r w:rsidR="008E6833">
        <w:rPr>
          <w:rFonts w:ascii="Times New Roman" w:hAnsi="Times New Roman" w:cs="Times New Roman"/>
        </w:rPr>
        <w:t>,</w:t>
      </w:r>
      <w:r w:rsidR="00AC6C59">
        <w:rPr>
          <w:rFonts w:ascii="Times New Roman" w:hAnsi="Times New Roman" w:cs="Times New Roman"/>
        </w:rPr>
        <w:t xml:space="preserve"> and precision</w:t>
      </w:r>
      <w:r w:rsidR="008E6833">
        <w:rPr>
          <w:rFonts w:ascii="Times New Roman" w:hAnsi="Times New Roman" w:cs="Times New Roman"/>
        </w:rPr>
        <w:t>.  This initial step was predicated on producing sufficient</w:t>
      </w:r>
      <w:r w:rsidR="00065050">
        <w:rPr>
          <w:rFonts w:ascii="Times New Roman" w:hAnsi="Times New Roman" w:cs="Times New Roman"/>
        </w:rPr>
        <w:t xml:space="preserve">ly accurate </w:t>
      </w:r>
      <w:r w:rsidR="00831FFF">
        <w:rPr>
          <w:rFonts w:ascii="Times New Roman" w:hAnsi="Times New Roman" w:cs="Times New Roman"/>
        </w:rPr>
        <w:t xml:space="preserve">logistic </w:t>
      </w:r>
      <w:r w:rsidR="00065050">
        <w:rPr>
          <w:rFonts w:ascii="Times New Roman" w:hAnsi="Times New Roman" w:cs="Times New Roman"/>
        </w:rPr>
        <w:t xml:space="preserve">regression results to rationalize expanding the findings to a fully hedged </w:t>
      </w:r>
      <w:r w:rsidR="00831FFF">
        <w:rPr>
          <w:rFonts w:ascii="Times New Roman" w:hAnsi="Times New Roman" w:cs="Times New Roman"/>
        </w:rPr>
        <w:t xml:space="preserve">momentum portfolio.  </w:t>
      </w:r>
    </w:p>
    <w:p w14:paraId="05F9C4C8" w14:textId="41F8E626" w:rsidR="00834932" w:rsidRDefault="00834932" w:rsidP="005A7CEC">
      <w:pPr>
        <w:spacing w:line="276" w:lineRule="auto"/>
        <w:rPr>
          <w:rFonts w:ascii="Times New Roman" w:hAnsi="Times New Roman" w:cs="Times New Roman"/>
        </w:rPr>
      </w:pPr>
      <w:r>
        <w:rPr>
          <w:rFonts w:ascii="Times New Roman" w:hAnsi="Times New Roman" w:cs="Times New Roman"/>
        </w:rPr>
        <w:t xml:space="preserve">Once sufficiently </w:t>
      </w:r>
      <w:r w:rsidR="00AD04F7">
        <w:rPr>
          <w:rFonts w:ascii="Times New Roman" w:hAnsi="Times New Roman" w:cs="Times New Roman"/>
        </w:rPr>
        <w:t xml:space="preserve">accurate model </w:t>
      </w:r>
      <w:r w:rsidR="0CA870F1" w:rsidRPr="0CA870F1">
        <w:rPr>
          <w:rFonts w:ascii="Times New Roman" w:hAnsi="Times New Roman" w:cs="Times New Roman"/>
        </w:rPr>
        <w:t>accuracy</w:t>
      </w:r>
      <w:r w:rsidR="00AD04F7">
        <w:rPr>
          <w:rFonts w:ascii="Times New Roman" w:hAnsi="Times New Roman" w:cs="Times New Roman"/>
        </w:rPr>
        <w:t xml:space="preserve"> and precision was reach, the </w:t>
      </w:r>
      <w:r w:rsidR="19C98D08" w:rsidRPr="19C98D08">
        <w:rPr>
          <w:rFonts w:ascii="Times New Roman" w:hAnsi="Times New Roman" w:cs="Times New Roman"/>
        </w:rPr>
        <w:t>output</w:t>
      </w:r>
      <w:r w:rsidR="00AD04F7">
        <w:rPr>
          <w:rFonts w:ascii="Times New Roman" w:hAnsi="Times New Roman" w:cs="Times New Roman"/>
        </w:rPr>
        <w:t xml:space="preserve"> of the model’s betas can be used to convert the </w:t>
      </w:r>
      <w:r w:rsidR="00FD5401">
        <w:rPr>
          <w:rFonts w:ascii="Times New Roman" w:hAnsi="Times New Roman" w:cs="Times New Roman"/>
        </w:rPr>
        <w:t>logistic regression’s output into a probability of</w:t>
      </w:r>
      <w:r w:rsidR="00EB4547">
        <w:rPr>
          <w:rFonts w:ascii="Times New Roman" w:hAnsi="Times New Roman" w:cs="Times New Roman"/>
        </w:rPr>
        <w:t xml:space="preserve"> that given a stock’s betas in the formation period that it will yield a binary 1 in the output</w:t>
      </w:r>
      <w:r w:rsidR="00025093">
        <w:rPr>
          <w:rFonts w:ascii="Times New Roman" w:hAnsi="Times New Roman" w:cs="Times New Roman"/>
        </w:rPr>
        <w:t xml:space="preserve"> in the model.  When this framework is used, logistic regression can be converted from a </w:t>
      </w:r>
      <w:r w:rsidR="42717A2C" w:rsidRPr="42717A2C">
        <w:rPr>
          <w:rFonts w:ascii="Times New Roman" w:hAnsi="Times New Roman" w:cs="Times New Roman"/>
        </w:rPr>
        <w:t>discontinuous</w:t>
      </w:r>
      <w:r w:rsidR="00025093">
        <w:rPr>
          <w:rFonts w:ascii="Times New Roman" w:hAnsi="Times New Roman" w:cs="Times New Roman"/>
        </w:rPr>
        <w:t xml:space="preserve"> classification</w:t>
      </w:r>
      <w:r w:rsidR="00A60D0B">
        <w:rPr>
          <w:rFonts w:ascii="Times New Roman" w:hAnsi="Times New Roman" w:cs="Times New Roman"/>
        </w:rPr>
        <w:t xml:space="preserve"> to a </w:t>
      </w:r>
      <w:r w:rsidR="097F487F" w:rsidRPr="097F487F">
        <w:rPr>
          <w:rFonts w:ascii="Times New Roman" w:hAnsi="Times New Roman" w:cs="Times New Roman"/>
        </w:rPr>
        <w:t>continuous</w:t>
      </w:r>
      <w:r w:rsidR="00A60D0B">
        <w:rPr>
          <w:rFonts w:ascii="Times New Roman" w:hAnsi="Times New Roman" w:cs="Times New Roman"/>
        </w:rPr>
        <w:t xml:space="preserve"> function, that would be more suitable for the decile sorting required to form a momentum portfolio.  For example, suppose the stock in an investable universe </w:t>
      </w:r>
      <w:r w:rsidR="00662538">
        <w:rPr>
          <w:rFonts w:ascii="Times New Roman" w:hAnsi="Times New Roman" w:cs="Times New Roman"/>
        </w:rPr>
        <w:t xml:space="preserve">for a given period </w:t>
      </w:r>
      <w:r w:rsidR="2E1A5720" w:rsidRPr="2E1A5720">
        <w:rPr>
          <w:rFonts w:ascii="Times New Roman" w:hAnsi="Times New Roman" w:cs="Times New Roman"/>
        </w:rPr>
        <w:t>produces</w:t>
      </w:r>
      <w:r w:rsidR="00662538">
        <w:rPr>
          <w:rFonts w:ascii="Times New Roman" w:hAnsi="Times New Roman" w:cs="Times New Roman"/>
        </w:rPr>
        <w:t xml:space="preserve"> 100, 1 </w:t>
      </w:r>
      <w:r w:rsidR="2E1A5720" w:rsidRPr="2E1A5720">
        <w:rPr>
          <w:rFonts w:ascii="Times New Roman" w:hAnsi="Times New Roman" w:cs="Times New Roman"/>
        </w:rPr>
        <w:t>value</w:t>
      </w:r>
      <w:r w:rsidR="00662538">
        <w:rPr>
          <w:rFonts w:ascii="Times New Roman" w:hAnsi="Times New Roman" w:cs="Times New Roman"/>
        </w:rPr>
        <w:t xml:space="preserve">, out of 500 total stocks.  This would </w:t>
      </w:r>
      <w:r w:rsidR="00B50F72">
        <w:rPr>
          <w:rFonts w:ascii="Times New Roman" w:hAnsi="Times New Roman" w:cs="Times New Roman"/>
        </w:rPr>
        <w:t xml:space="preserve">make it impossible to distinguish between 1 </w:t>
      </w:r>
      <w:r w:rsidR="6AB424C7" w:rsidRPr="6AB424C7">
        <w:rPr>
          <w:rFonts w:ascii="Times New Roman" w:hAnsi="Times New Roman" w:cs="Times New Roman"/>
        </w:rPr>
        <w:t>value</w:t>
      </w:r>
      <w:r w:rsidR="00B50F72">
        <w:rPr>
          <w:rFonts w:ascii="Times New Roman" w:hAnsi="Times New Roman" w:cs="Times New Roman"/>
        </w:rPr>
        <w:t xml:space="preserve"> suitable for the </w:t>
      </w:r>
      <w:r w:rsidR="00A90228">
        <w:rPr>
          <w:rFonts w:ascii="Times New Roman" w:hAnsi="Times New Roman" w:cs="Times New Roman"/>
        </w:rPr>
        <w:t>top decile and those that are not.  However</w:t>
      </w:r>
      <w:r w:rsidR="2E488392" w:rsidRPr="2E488392">
        <w:rPr>
          <w:rFonts w:ascii="Times New Roman" w:hAnsi="Times New Roman" w:cs="Times New Roman"/>
        </w:rPr>
        <w:t>,</w:t>
      </w:r>
      <w:r w:rsidR="00A90228">
        <w:rPr>
          <w:rFonts w:ascii="Times New Roman" w:hAnsi="Times New Roman" w:cs="Times New Roman"/>
        </w:rPr>
        <w:t xml:space="preserve"> if the data is transformed according to the below equation, it can be interpreted in probability form and decile sorting would eliminate this conflict</w:t>
      </w:r>
      <w:r w:rsidR="00E43EEB">
        <w:rPr>
          <w:rFonts w:ascii="Times New Roman" w:hAnsi="Times New Roman" w:cs="Times New Roman"/>
        </w:rPr>
        <w:t xml:space="preserve">.  </w:t>
      </w:r>
      <w:r>
        <w:rPr>
          <w:noProof/>
        </w:rPr>
        <w:drawing>
          <wp:inline distT="0" distB="0" distL="0" distR="0" wp14:anchorId="373764F5" wp14:editId="5EBB1E38">
            <wp:extent cx="5981698" cy="1967136"/>
            <wp:effectExtent l="0" t="0" r="0" b="0"/>
            <wp:docPr id="692317344"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81698" cy="1967136"/>
                    </a:xfrm>
                    <a:prstGeom prst="rect">
                      <a:avLst/>
                    </a:prstGeom>
                  </pic:spPr>
                </pic:pic>
              </a:graphicData>
            </a:graphic>
          </wp:inline>
        </w:drawing>
      </w:r>
    </w:p>
    <w:p w14:paraId="22E76629" w14:textId="11988FBB" w:rsidR="00E43EEB" w:rsidRDefault="0041752A" w:rsidP="005A7CEC">
      <w:pPr>
        <w:spacing w:line="276" w:lineRule="auto"/>
        <w:rPr>
          <w:rFonts w:ascii="Times New Roman" w:hAnsi="Times New Roman" w:cs="Times New Roman"/>
        </w:rPr>
      </w:pPr>
      <w:r>
        <w:rPr>
          <w:rFonts w:ascii="Times New Roman" w:hAnsi="Times New Roman" w:cs="Times New Roman"/>
        </w:rPr>
        <w:t xml:space="preserve">Accordingly, the </w:t>
      </w:r>
      <w:r w:rsidR="00670F14">
        <w:rPr>
          <w:rFonts w:ascii="Times New Roman" w:hAnsi="Times New Roman" w:cs="Times New Roman"/>
        </w:rPr>
        <w:t xml:space="preserve">same system of transforming the variables can be used to find the probability that a given stock will yield a value of 0, or the probability it will </w:t>
      </w:r>
      <w:r w:rsidR="00CD45CD">
        <w:rPr>
          <w:rFonts w:ascii="Times New Roman" w:hAnsi="Times New Roman" w:cs="Times New Roman"/>
        </w:rPr>
        <w:t>not be in the top decile of returns.  In this case, the highest probabilities would be used from each</w:t>
      </w:r>
      <w:r w:rsidR="003E11F9">
        <w:rPr>
          <w:rFonts w:ascii="Times New Roman" w:hAnsi="Times New Roman" w:cs="Times New Roman"/>
        </w:rPr>
        <w:t xml:space="preserve"> and then sorted into deciles and chosen for the portfolio according to the same framework described in the papers.  There is an engrained assumption that the highest p</w:t>
      </w:r>
      <w:r w:rsidR="00301E59">
        <w:rPr>
          <w:rFonts w:ascii="Times New Roman" w:hAnsi="Times New Roman" w:cs="Times New Roman"/>
        </w:rPr>
        <w:t>robability of a stock yielding a 0 could be equated to the lowest quartile of returns</w:t>
      </w:r>
      <w:r w:rsidR="00E70FB2">
        <w:rPr>
          <w:rFonts w:ascii="Times New Roman" w:hAnsi="Times New Roman" w:cs="Times New Roman"/>
        </w:rPr>
        <w:t>.  In practice, this assumption does not hold up and could be remedied by creating a similar</w:t>
      </w:r>
      <w:r w:rsidR="00A37D1C">
        <w:rPr>
          <w:rFonts w:ascii="Times New Roman" w:hAnsi="Times New Roman" w:cs="Times New Roman"/>
        </w:rPr>
        <w:t xml:space="preserve"> model simply </w:t>
      </w:r>
      <w:r w:rsidR="003E1A06">
        <w:rPr>
          <w:rFonts w:ascii="Times New Roman" w:hAnsi="Times New Roman" w:cs="Times New Roman"/>
        </w:rPr>
        <w:t>predicting</w:t>
      </w:r>
      <w:r w:rsidR="00A37D1C">
        <w:rPr>
          <w:rFonts w:ascii="Times New Roman" w:hAnsi="Times New Roman" w:cs="Times New Roman"/>
        </w:rPr>
        <w:t xml:space="preserve"> whether a stock will end up in the </w:t>
      </w:r>
      <w:r w:rsidR="00A37D1C">
        <w:rPr>
          <w:rFonts w:ascii="Times New Roman" w:hAnsi="Times New Roman" w:cs="Times New Roman"/>
        </w:rPr>
        <w:lastRenderedPageBreak/>
        <w:t xml:space="preserve">short decile in the holding period.  But due to trouble progressing the </w:t>
      </w:r>
      <w:r w:rsidR="00651457">
        <w:rPr>
          <w:rFonts w:ascii="Times New Roman" w:hAnsi="Times New Roman" w:cs="Times New Roman"/>
        </w:rPr>
        <w:t xml:space="preserve">long momentum model, the </w:t>
      </w:r>
      <w:r w:rsidR="00E650BC" w:rsidRPr="00E650BC">
        <w:rPr>
          <w:rFonts w:ascii="Times New Roman" w:hAnsi="Times New Roman" w:cs="Times New Roman"/>
          <w:noProof/>
        </w:rPr>
        <w:drawing>
          <wp:anchor distT="0" distB="0" distL="114300" distR="114300" simplePos="0" relativeHeight="251658241" behindDoc="0" locked="0" layoutInCell="1" allowOverlap="1" wp14:anchorId="6E72FA41" wp14:editId="4E66FBD2">
            <wp:simplePos x="0" y="0"/>
            <wp:positionH relativeFrom="column">
              <wp:posOffset>3143250</wp:posOffset>
            </wp:positionH>
            <wp:positionV relativeFrom="paragraph">
              <wp:posOffset>342265</wp:posOffset>
            </wp:positionV>
            <wp:extent cx="2514600" cy="1529080"/>
            <wp:effectExtent l="0" t="0" r="0" b="0"/>
            <wp:wrapThrough wrapText="bothSides">
              <wp:wrapPolygon edited="0">
                <wp:start x="0" y="0"/>
                <wp:lineTo x="0" y="21259"/>
                <wp:lineTo x="21436" y="21259"/>
                <wp:lineTo x="21436" y="0"/>
                <wp:lineTo x="0" y="0"/>
              </wp:wrapPolygon>
            </wp:wrapThrough>
            <wp:docPr id="93543554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35549" name="Picture 1" descr="A math equation with numbers and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14600" cy="1529080"/>
                    </a:xfrm>
                    <a:prstGeom prst="rect">
                      <a:avLst/>
                    </a:prstGeom>
                  </pic:spPr>
                </pic:pic>
              </a:graphicData>
            </a:graphic>
            <wp14:sizeRelH relativeFrom="margin">
              <wp14:pctWidth>0</wp14:pctWidth>
            </wp14:sizeRelH>
            <wp14:sizeRelV relativeFrom="margin">
              <wp14:pctHeight>0</wp14:pctHeight>
            </wp14:sizeRelV>
          </wp:anchor>
        </w:drawing>
      </w:r>
      <w:r w:rsidR="00651457">
        <w:rPr>
          <w:rFonts w:ascii="Times New Roman" w:hAnsi="Times New Roman" w:cs="Times New Roman"/>
        </w:rPr>
        <w:t>short model was not able to be constructed.</w:t>
      </w:r>
    </w:p>
    <w:p w14:paraId="6B9827DA" w14:textId="749EA4B1" w:rsidR="00651457" w:rsidRPr="005A7CEC" w:rsidRDefault="00E650BC" w:rsidP="005A7CEC">
      <w:pPr>
        <w:spacing w:line="276" w:lineRule="auto"/>
        <w:rPr>
          <w:rFonts w:ascii="Times New Roman" w:hAnsi="Times New Roman" w:cs="Times New Roman"/>
        </w:rPr>
      </w:pPr>
      <w:r w:rsidRPr="00E650BC">
        <w:rPr>
          <w:rFonts w:ascii="Times New Roman" w:hAnsi="Times New Roman" w:cs="Times New Roman"/>
          <w:noProof/>
        </w:rPr>
        <w:drawing>
          <wp:anchor distT="0" distB="0" distL="114300" distR="114300" simplePos="0" relativeHeight="251658240" behindDoc="0" locked="0" layoutInCell="1" allowOverlap="1" wp14:anchorId="52039CDC" wp14:editId="5A825C2D">
            <wp:simplePos x="0" y="0"/>
            <wp:positionH relativeFrom="margin">
              <wp:posOffset>0</wp:posOffset>
            </wp:positionH>
            <wp:positionV relativeFrom="paragraph">
              <wp:posOffset>260985</wp:posOffset>
            </wp:positionV>
            <wp:extent cx="2881630" cy="742950"/>
            <wp:effectExtent l="0" t="0" r="0" b="0"/>
            <wp:wrapNone/>
            <wp:docPr id="513851321" name="Picture 1" descr="A black and yellow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51321" name="Picture 1" descr="A black and yellow symbol&#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881630" cy="742950"/>
                    </a:xfrm>
                    <a:prstGeom prst="rect">
                      <a:avLst/>
                    </a:prstGeom>
                  </pic:spPr>
                </pic:pic>
              </a:graphicData>
            </a:graphic>
            <wp14:sizeRelH relativeFrom="margin">
              <wp14:pctWidth>0</wp14:pctWidth>
            </wp14:sizeRelH>
            <wp14:sizeRelV relativeFrom="margin">
              <wp14:pctHeight>0</wp14:pctHeight>
            </wp14:sizeRelV>
          </wp:anchor>
        </w:drawing>
      </w:r>
    </w:p>
    <w:p w14:paraId="4DFE3DEA" w14:textId="0333C87A" w:rsidR="005A7CEC" w:rsidRDefault="005A7CEC" w:rsidP="005A7CEC">
      <w:pPr>
        <w:spacing w:line="276" w:lineRule="auto"/>
        <w:ind w:left="720"/>
        <w:rPr>
          <w:rFonts w:ascii="Times New Roman" w:hAnsi="Times New Roman" w:cs="Times New Roman"/>
        </w:rPr>
      </w:pPr>
    </w:p>
    <w:p w14:paraId="10C50B07" w14:textId="77777777" w:rsidR="00325E19" w:rsidRDefault="00325E19" w:rsidP="005F74F4">
      <w:pPr>
        <w:spacing w:line="276" w:lineRule="auto"/>
        <w:rPr>
          <w:rFonts w:ascii="Times New Roman" w:hAnsi="Times New Roman" w:cs="Times New Roman"/>
        </w:rPr>
      </w:pPr>
    </w:p>
    <w:p w14:paraId="1FCC4ECE" w14:textId="7BF7FD97" w:rsidR="00846C74" w:rsidRDefault="00846C74" w:rsidP="005F74F4">
      <w:pPr>
        <w:spacing w:line="276" w:lineRule="auto"/>
        <w:rPr>
          <w:rFonts w:ascii="Times New Roman" w:hAnsi="Times New Roman" w:cs="Times New Roman"/>
        </w:rPr>
      </w:pPr>
      <w:r>
        <w:rPr>
          <w:rFonts w:ascii="Times New Roman" w:hAnsi="Times New Roman" w:cs="Times New Roman"/>
        </w:rPr>
        <w:tab/>
      </w:r>
    </w:p>
    <w:p w14:paraId="41248B64" w14:textId="6DB1085B" w:rsidR="00F45078" w:rsidRDefault="00F45078" w:rsidP="00215AA3">
      <w:pPr>
        <w:spacing w:line="276" w:lineRule="auto"/>
        <w:rPr>
          <w:rFonts w:ascii="Times New Roman" w:hAnsi="Times New Roman" w:cs="Times New Roman"/>
        </w:rPr>
      </w:pPr>
    </w:p>
    <w:p w14:paraId="6B5BEB52" w14:textId="6F45B909" w:rsidR="00E650BC" w:rsidRDefault="00E650BC" w:rsidP="00215AA3">
      <w:pPr>
        <w:spacing w:line="276" w:lineRule="auto"/>
        <w:rPr>
          <w:rFonts w:ascii="Times New Roman" w:hAnsi="Times New Roman" w:cs="Times New Roman"/>
        </w:rPr>
      </w:pPr>
      <w:r>
        <w:rPr>
          <w:rFonts w:ascii="Times New Roman" w:hAnsi="Times New Roman" w:cs="Times New Roman"/>
        </w:rPr>
        <w:t xml:space="preserve">The </w:t>
      </w:r>
      <w:r w:rsidR="00FB127A">
        <w:rPr>
          <w:rFonts w:ascii="Times New Roman" w:hAnsi="Times New Roman" w:cs="Times New Roman"/>
        </w:rPr>
        <w:t>6</w:t>
      </w:r>
      <w:r w:rsidR="308C3A23" w:rsidRPr="308C3A23">
        <w:rPr>
          <w:rFonts w:ascii="Times New Roman" w:hAnsi="Times New Roman" w:cs="Times New Roman"/>
        </w:rPr>
        <w:t>-</w:t>
      </w:r>
      <w:r>
        <w:rPr>
          <w:rFonts w:ascii="Times New Roman" w:hAnsi="Times New Roman" w:cs="Times New Roman"/>
        </w:rPr>
        <w:t xml:space="preserve">month </w:t>
      </w:r>
      <w:r w:rsidR="00F37FD2">
        <w:rPr>
          <w:rFonts w:ascii="Times New Roman" w:hAnsi="Times New Roman" w:cs="Times New Roman"/>
        </w:rPr>
        <w:t>formation period and holding period was the first model trained</w:t>
      </w:r>
      <w:r w:rsidR="00A02133">
        <w:rPr>
          <w:rFonts w:ascii="Times New Roman" w:hAnsi="Times New Roman" w:cs="Times New Roman"/>
        </w:rPr>
        <w:t>.  Th</w:t>
      </w:r>
      <w:r w:rsidR="000B46EC">
        <w:rPr>
          <w:rFonts w:ascii="Times New Roman" w:hAnsi="Times New Roman" w:cs="Times New Roman"/>
        </w:rPr>
        <w:t xml:space="preserve">e results of this model presented a </w:t>
      </w:r>
      <w:r w:rsidR="004E50AA">
        <w:rPr>
          <w:rFonts w:ascii="Times New Roman" w:hAnsi="Times New Roman" w:cs="Times New Roman"/>
        </w:rPr>
        <w:t xml:space="preserve">novel finding that the model had an innate bias towards </w:t>
      </w:r>
      <w:r w:rsidR="007C4485">
        <w:rPr>
          <w:rFonts w:ascii="Times New Roman" w:hAnsi="Times New Roman" w:cs="Times New Roman"/>
        </w:rPr>
        <w:t xml:space="preserve">giving negative results due to the data </w:t>
      </w:r>
      <w:r w:rsidR="12F99D7D" w:rsidRPr="12F99D7D">
        <w:rPr>
          <w:rFonts w:ascii="Times New Roman" w:hAnsi="Times New Roman" w:cs="Times New Roman"/>
        </w:rPr>
        <w:t>proportions</w:t>
      </w:r>
      <w:r w:rsidR="007C4485">
        <w:rPr>
          <w:rFonts w:ascii="Times New Roman" w:hAnsi="Times New Roman" w:cs="Times New Roman"/>
        </w:rPr>
        <w:t>: 90%:  0 &amp; 10%: 1.</w:t>
      </w:r>
      <w:r w:rsidR="006442D9">
        <w:rPr>
          <w:rFonts w:ascii="Times New Roman" w:hAnsi="Times New Roman" w:cs="Times New Roman"/>
        </w:rPr>
        <w:t xml:space="preserve">  The model was able to achieve </w:t>
      </w:r>
      <w:r w:rsidR="00580478">
        <w:rPr>
          <w:rFonts w:ascii="Times New Roman" w:hAnsi="Times New Roman" w:cs="Times New Roman"/>
        </w:rPr>
        <w:t xml:space="preserve">88% precision in </w:t>
      </w:r>
      <w:r w:rsidR="00B03EAA">
        <w:rPr>
          <w:rFonts w:ascii="Times New Roman" w:hAnsi="Times New Roman" w:cs="Times New Roman"/>
        </w:rPr>
        <w:t xml:space="preserve">predicting 0 values in the test set simply by </w:t>
      </w:r>
      <w:r w:rsidR="00B41908">
        <w:rPr>
          <w:rFonts w:ascii="Times New Roman" w:hAnsi="Times New Roman" w:cs="Times New Roman"/>
        </w:rPr>
        <w:t>guessing all 0 values.</w:t>
      </w:r>
      <w:r w:rsidR="0012457C">
        <w:rPr>
          <w:rFonts w:ascii="Times New Roman" w:hAnsi="Times New Roman" w:cs="Times New Roman"/>
        </w:rPr>
        <w:t xml:space="preserve">  The first iteration of the model produced all 0 values, equating to 0% precision in</w:t>
      </w:r>
      <w:r w:rsidR="004745FF">
        <w:rPr>
          <w:rFonts w:ascii="Times New Roman" w:hAnsi="Times New Roman" w:cs="Times New Roman"/>
        </w:rPr>
        <w:t xml:space="preserve"> 1 </w:t>
      </w:r>
      <w:proofErr w:type="gramStart"/>
      <w:r w:rsidR="0B275B89" w:rsidRPr="0B275B89">
        <w:rPr>
          <w:rFonts w:ascii="Times New Roman" w:hAnsi="Times New Roman" w:cs="Times New Roman"/>
        </w:rPr>
        <w:t>predictions</w:t>
      </w:r>
      <w:r w:rsidR="008258C1">
        <w:rPr>
          <w:rFonts w:ascii="Times New Roman" w:hAnsi="Times New Roman" w:cs="Times New Roman"/>
        </w:rPr>
        <w:t>[</w:t>
      </w:r>
      <w:proofErr w:type="gramEnd"/>
      <w:r w:rsidR="008258C1">
        <w:rPr>
          <w:rFonts w:ascii="Times New Roman" w:hAnsi="Times New Roman" w:cs="Times New Roman"/>
        </w:rPr>
        <w:t>See Appendix 1]</w:t>
      </w:r>
      <w:r w:rsidR="004745FF">
        <w:rPr>
          <w:rFonts w:ascii="Times New Roman" w:hAnsi="Times New Roman" w:cs="Times New Roman"/>
        </w:rPr>
        <w:t xml:space="preserve">.  </w:t>
      </w:r>
    </w:p>
    <w:p w14:paraId="1B936600" w14:textId="24249DDF" w:rsidR="006A45AB" w:rsidRDefault="00F97633" w:rsidP="00215AA3">
      <w:pPr>
        <w:spacing w:line="276" w:lineRule="auto"/>
        <w:rPr>
          <w:rFonts w:ascii="Times New Roman" w:hAnsi="Times New Roman" w:cs="Times New Roman"/>
        </w:rPr>
      </w:pPr>
      <w:r>
        <w:rPr>
          <w:rFonts w:ascii="Times New Roman" w:hAnsi="Times New Roman" w:cs="Times New Roman"/>
        </w:rPr>
        <w:t xml:space="preserve">The class weight adjustment was used in the next iteration of the model to reflect that fact that the data was inherently biased towards </w:t>
      </w:r>
      <w:r w:rsidR="008B1733">
        <w:rPr>
          <w:rFonts w:ascii="Times New Roman" w:hAnsi="Times New Roman" w:cs="Times New Roman"/>
        </w:rPr>
        <w:t xml:space="preserve">0 values.  This improved the precision marginally by distributing the </w:t>
      </w:r>
      <w:r w:rsidR="002B60BD">
        <w:rPr>
          <w:rFonts w:ascii="Times New Roman" w:hAnsi="Times New Roman" w:cs="Times New Roman"/>
        </w:rPr>
        <w:t xml:space="preserve">predictions </w:t>
      </w:r>
      <w:r w:rsidR="00C42E2B">
        <w:rPr>
          <w:rFonts w:ascii="Times New Roman" w:hAnsi="Times New Roman" w:cs="Times New Roman"/>
        </w:rPr>
        <w:t xml:space="preserve">more suitable across yes and no values.  However, the </w:t>
      </w:r>
      <w:r w:rsidR="00CF2FEA">
        <w:rPr>
          <w:rFonts w:ascii="Times New Roman" w:hAnsi="Times New Roman" w:cs="Times New Roman"/>
        </w:rPr>
        <w:t xml:space="preserve">precision of </w:t>
      </w:r>
      <w:r w:rsidR="004816BC">
        <w:rPr>
          <w:rFonts w:ascii="Times New Roman" w:hAnsi="Times New Roman" w:cs="Times New Roman"/>
        </w:rPr>
        <w:t xml:space="preserve">1 </w:t>
      </w:r>
      <w:r w:rsidR="55ACCA59" w:rsidRPr="55ACCA59">
        <w:rPr>
          <w:rFonts w:ascii="Times New Roman" w:hAnsi="Times New Roman" w:cs="Times New Roman"/>
        </w:rPr>
        <w:t>guess</w:t>
      </w:r>
      <w:r w:rsidR="004816BC">
        <w:rPr>
          <w:rFonts w:ascii="Times New Roman" w:hAnsi="Times New Roman" w:cs="Times New Roman"/>
        </w:rPr>
        <w:t xml:space="preserve"> was still </w:t>
      </w:r>
      <w:r w:rsidR="00041D3D">
        <w:rPr>
          <w:rFonts w:ascii="Times New Roman" w:hAnsi="Times New Roman" w:cs="Times New Roman"/>
        </w:rPr>
        <w:t xml:space="preserve">insufficient to proceed into </w:t>
      </w:r>
      <w:r w:rsidR="00281AEB">
        <w:rPr>
          <w:rFonts w:ascii="Times New Roman" w:hAnsi="Times New Roman" w:cs="Times New Roman"/>
        </w:rPr>
        <w:t>creating a momentum portfolio using the model betas</w:t>
      </w:r>
      <w:r w:rsidR="12F53134" w:rsidRPr="12F53134">
        <w:rPr>
          <w:rFonts w:ascii="Times New Roman" w:hAnsi="Times New Roman" w:cs="Times New Roman"/>
        </w:rPr>
        <w:t xml:space="preserve"> </w:t>
      </w:r>
      <w:r w:rsidR="00281AEB">
        <w:rPr>
          <w:rFonts w:ascii="Times New Roman" w:hAnsi="Times New Roman" w:cs="Times New Roman"/>
        </w:rPr>
        <w:t xml:space="preserve">[See </w:t>
      </w:r>
      <w:r w:rsidR="007502B1">
        <w:rPr>
          <w:rFonts w:ascii="Times New Roman" w:hAnsi="Times New Roman" w:cs="Times New Roman"/>
        </w:rPr>
        <w:t>A</w:t>
      </w:r>
      <w:r w:rsidR="00281AEB">
        <w:rPr>
          <w:rFonts w:ascii="Times New Roman" w:hAnsi="Times New Roman" w:cs="Times New Roman"/>
        </w:rPr>
        <w:t>ppendix 2]</w:t>
      </w:r>
      <w:r w:rsidR="007502B1">
        <w:rPr>
          <w:rFonts w:ascii="Times New Roman" w:hAnsi="Times New Roman" w:cs="Times New Roman"/>
        </w:rPr>
        <w:t>.</w:t>
      </w:r>
    </w:p>
    <w:p w14:paraId="3A6D8979" w14:textId="77777777" w:rsidR="00AF419D" w:rsidRDefault="00AF419D" w:rsidP="00215AA3">
      <w:pPr>
        <w:spacing w:line="276" w:lineRule="auto"/>
        <w:rPr>
          <w:rFonts w:ascii="Times New Roman" w:hAnsi="Times New Roman" w:cs="Times New Roman"/>
        </w:rPr>
      </w:pPr>
    </w:p>
    <w:p w14:paraId="013661EB" w14:textId="77777777" w:rsidR="00AF419D" w:rsidRDefault="00AF419D" w:rsidP="00215AA3">
      <w:pPr>
        <w:spacing w:line="276" w:lineRule="auto"/>
        <w:rPr>
          <w:rFonts w:ascii="Times New Roman" w:hAnsi="Times New Roman" w:cs="Times New Roman"/>
        </w:rPr>
      </w:pPr>
    </w:p>
    <w:p w14:paraId="0D506921" w14:textId="77777777" w:rsidR="00AF419D" w:rsidRDefault="00AF419D" w:rsidP="00215AA3">
      <w:pPr>
        <w:spacing w:line="276" w:lineRule="auto"/>
        <w:rPr>
          <w:rFonts w:ascii="Times New Roman" w:hAnsi="Times New Roman" w:cs="Times New Roman"/>
        </w:rPr>
      </w:pPr>
    </w:p>
    <w:p w14:paraId="378D6A53" w14:textId="77777777" w:rsidR="00AF419D" w:rsidRDefault="00AF419D" w:rsidP="00215AA3">
      <w:pPr>
        <w:spacing w:line="276" w:lineRule="auto"/>
        <w:rPr>
          <w:rFonts w:ascii="Times New Roman" w:hAnsi="Times New Roman" w:cs="Times New Roman"/>
        </w:rPr>
      </w:pPr>
    </w:p>
    <w:p w14:paraId="507CB5B1" w14:textId="77777777" w:rsidR="00AF419D" w:rsidRDefault="00AF419D" w:rsidP="00215AA3">
      <w:pPr>
        <w:spacing w:line="276" w:lineRule="auto"/>
        <w:rPr>
          <w:rFonts w:ascii="Times New Roman" w:hAnsi="Times New Roman" w:cs="Times New Roman"/>
        </w:rPr>
      </w:pPr>
    </w:p>
    <w:p w14:paraId="22DCE934" w14:textId="77777777" w:rsidR="00AF419D" w:rsidRDefault="00AF419D" w:rsidP="00215AA3">
      <w:pPr>
        <w:spacing w:line="276" w:lineRule="auto"/>
        <w:rPr>
          <w:rFonts w:ascii="Times New Roman" w:hAnsi="Times New Roman" w:cs="Times New Roman"/>
        </w:rPr>
      </w:pPr>
    </w:p>
    <w:p w14:paraId="4E701403" w14:textId="77777777" w:rsidR="00AF419D" w:rsidRDefault="00AF419D" w:rsidP="00215AA3">
      <w:pPr>
        <w:spacing w:line="276" w:lineRule="auto"/>
        <w:rPr>
          <w:rFonts w:ascii="Times New Roman" w:hAnsi="Times New Roman" w:cs="Times New Roman"/>
        </w:rPr>
      </w:pPr>
    </w:p>
    <w:p w14:paraId="2B8C0F8E" w14:textId="77777777" w:rsidR="00AF419D" w:rsidRDefault="00AF419D" w:rsidP="00215AA3">
      <w:pPr>
        <w:spacing w:line="276" w:lineRule="auto"/>
        <w:rPr>
          <w:rFonts w:ascii="Times New Roman" w:hAnsi="Times New Roman" w:cs="Times New Roman"/>
        </w:rPr>
      </w:pPr>
    </w:p>
    <w:p w14:paraId="4C213D0F" w14:textId="77777777" w:rsidR="00AF419D" w:rsidRDefault="00AF419D" w:rsidP="00215AA3">
      <w:pPr>
        <w:spacing w:line="276" w:lineRule="auto"/>
        <w:rPr>
          <w:rFonts w:ascii="Times New Roman" w:hAnsi="Times New Roman" w:cs="Times New Roman"/>
        </w:rPr>
      </w:pPr>
    </w:p>
    <w:p w14:paraId="0268ABAB" w14:textId="77777777" w:rsidR="00AF419D" w:rsidRDefault="00AF419D" w:rsidP="00215AA3">
      <w:pPr>
        <w:spacing w:line="276" w:lineRule="auto"/>
        <w:rPr>
          <w:rFonts w:ascii="Times New Roman" w:hAnsi="Times New Roman" w:cs="Times New Roman"/>
        </w:rPr>
      </w:pPr>
    </w:p>
    <w:p w14:paraId="67A9CAEF" w14:textId="77777777" w:rsidR="00AF419D" w:rsidRDefault="00AF419D" w:rsidP="00215AA3">
      <w:pPr>
        <w:spacing w:line="276" w:lineRule="auto"/>
        <w:rPr>
          <w:rFonts w:ascii="Times New Roman" w:hAnsi="Times New Roman" w:cs="Times New Roman"/>
        </w:rPr>
      </w:pPr>
    </w:p>
    <w:p w14:paraId="0A6E9338" w14:textId="77777777" w:rsidR="00AF419D" w:rsidRDefault="00AF419D" w:rsidP="00215AA3">
      <w:pPr>
        <w:spacing w:line="276" w:lineRule="auto"/>
        <w:rPr>
          <w:rFonts w:ascii="Times New Roman" w:hAnsi="Times New Roman" w:cs="Times New Roman"/>
        </w:rPr>
      </w:pPr>
    </w:p>
    <w:p w14:paraId="149987DF" w14:textId="77777777" w:rsidR="00C03CD7" w:rsidRDefault="00C03CD7" w:rsidP="00215AA3">
      <w:pPr>
        <w:spacing w:line="276" w:lineRule="auto"/>
        <w:rPr>
          <w:rFonts w:ascii="Times New Roman" w:hAnsi="Times New Roman" w:cs="Times New Roman"/>
        </w:rPr>
      </w:pPr>
    </w:p>
    <w:p w14:paraId="70EF0C42" w14:textId="77777777" w:rsidR="00AF419D" w:rsidRPr="00C03CD7" w:rsidRDefault="00AF419D" w:rsidP="00C03CD7">
      <w:pPr>
        <w:pStyle w:val="NormalWeb"/>
        <w:spacing w:before="0" w:beforeAutospacing="0" w:after="0" w:afterAutospacing="0"/>
        <w:jc w:val="center"/>
        <w:rPr>
          <w:sz w:val="18"/>
          <w:szCs w:val="18"/>
        </w:rPr>
      </w:pPr>
      <w:r w:rsidRPr="00C03CD7">
        <w:rPr>
          <w:b/>
          <w:bCs/>
          <w:color w:val="000000"/>
        </w:rPr>
        <w:lastRenderedPageBreak/>
        <w:t>Works Cited</w:t>
      </w:r>
    </w:p>
    <w:p w14:paraId="1DB64188" w14:textId="77777777" w:rsidR="00AF419D" w:rsidRDefault="00AF419D" w:rsidP="00AF419D"/>
    <w:p w14:paraId="14227436" w14:textId="77777777" w:rsidR="00C03CD7" w:rsidRDefault="00AF419D" w:rsidP="00AF419D">
      <w:pPr>
        <w:pStyle w:val="NormalWeb"/>
        <w:spacing w:before="0" w:beforeAutospacing="0" w:after="0" w:afterAutospacing="0" w:line="480" w:lineRule="auto"/>
        <w:rPr>
          <w:color w:val="000000"/>
        </w:rPr>
      </w:pPr>
      <w:proofErr w:type="spellStart"/>
      <w:r w:rsidRPr="00C03CD7">
        <w:rPr>
          <w:color w:val="000000"/>
        </w:rPr>
        <w:t>Asness</w:t>
      </w:r>
      <w:proofErr w:type="spellEnd"/>
      <w:r w:rsidRPr="00C03CD7">
        <w:rPr>
          <w:color w:val="000000"/>
        </w:rPr>
        <w:t xml:space="preserve">, Clifford S., et al. “Fact, Fiction and Momentum Investing.” </w:t>
      </w:r>
      <w:r w:rsidRPr="00C03CD7">
        <w:rPr>
          <w:i/>
          <w:iCs/>
          <w:color w:val="000000"/>
        </w:rPr>
        <w:t>SSRN Electronic Journal</w:t>
      </w:r>
      <w:r w:rsidRPr="00C03CD7">
        <w:rPr>
          <w:color w:val="000000"/>
        </w:rPr>
        <w:t xml:space="preserve">, </w:t>
      </w:r>
    </w:p>
    <w:p w14:paraId="73FCB421" w14:textId="60FE3ACB" w:rsidR="00AF419D" w:rsidRPr="00C03CD7" w:rsidRDefault="32615CBD" w:rsidP="32615CBD">
      <w:pPr>
        <w:pStyle w:val="NormalWeb"/>
        <w:spacing w:before="0" w:beforeAutospacing="0" w:after="0" w:afterAutospacing="0" w:line="480" w:lineRule="auto"/>
        <w:ind w:firstLine="720"/>
        <w:rPr>
          <w:sz w:val="36"/>
          <w:szCs w:val="36"/>
        </w:rPr>
      </w:pPr>
      <w:r w:rsidRPr="32615CBD">
        <w:rPr>
          <w:color w:val="000000" w:themeColor="text1"/>
        </w:rPr>
        <w:t xml:space="preserve">2014, </w:t>
      </w:r>
      <w:hyperlink r:id="rId11">
        <w:r w:rsidRPr="32615CBD">
          <w:rPr>
            <w:rStyle w:val="Hyperlink"/>
          </w:rPr>
          <w:t>https://doi.org/10.2139/ssrn.2435323</w:t>
        </w:r>
      </w:hyperlink>
      <w:r w:rsidRPr="32615CBD">
        <w:rPr>
          <w:color w:val="000000" w:themeColor="text1"/>
        </w:rPr>
        <w:t>.</w:t>
      </w:r>
    </w:p>
    <w:p w14:paraId="2F946F96" w14:textId="0FE923D8" w:rsidR="00C03CD7" w:rsidRDefault="32615CBD" w:rsidP="32615CBD">
      <w:pPr>
        <w:pStyle w:val="NormalWeb"/>
        <w:spacing w:before="0" w:beforeAutospacing="0" w:after="0" w:afterAutospacing="0" w:line="480" w:lineRule="auto"/>
        <w:rPr>
          <w:color w:val="000000" w:themeColor="text1"/>
        </w:rPr>
      </w:pPr>
      <w:r w:rsidRPr="32615CBD">
        <w:rPr>
          <w:color w:val="000000" w:themeColor="text1"/>
        </w:rPr>
        <w:t>Nicholas Barberis, et al. “</w:t>
      </w:r>
      <w:proofErr w:type="spellStart"/>
      <w:r w:rsidRPr="32615CBD">
        <w:rPr>
          <w:color w:val="000000" w:themeColor="text1"/>
        </w:rPr>
        <w:t>Comovement</w:t>
      </w:r>
      <w:proofErr w:type="spellEnd"/>
      <w:r w:rsidRPr="32615CBD">
        <w:rPr>
          <w:color w:val="000000" w:themeColor="text1"/>
        </w:rPr>
        <w:t xml:space="preserve">.” </w:t>
      </w:r>
      <w:r w:rsidRPr="32615CBD">
        <w:rPr>
          <w:i/>
          <w:iCs/>
          <w:color w:val="000000" w:themeColor="text1"/>
        </w:rPr>
        <w:t>Journal of Financial Economics</w:t>
      </w:r>
      <w:r w:rsidRPr="32615CBD">
        <w:rPr>
          <w:color w:val="000000" w:themeColor="text1"/>
        </w:rPr>
        <w:t>,</w:t>
      </w:r>
    </w:p>
    <w:p w14:paraId="76C2CC85" w14:textId="0A96A30A" w:rsidR="00C03CD7" w:rsidRDefault="32615CBD" w:rsidP="32615CBD">
      <w:pPr>
        <w:pStyle w:val="NormalWeb"/>
        <w:spacing w:before="0" w:beforeAutospacing="0" w:after="0" w:afterAutospacing="0" w:line="480" w:lineRule="auto"/>
        <w:ind w:firstLine="720"/>
      </w:pPr>
      <w:r w:rsidRPr="32615CBD">
        <w:rPr>
          <w:color w:val="000000" w:themeColor="text1"/>
        </w:rPr>
        <w:t xml:space="preserve">Volume 75, no. 2, February 2005, pp. 283-317, </w:t>
      </w:r>
      <w:proofErr w:type="spellStart"/>
      <w:proofErr w:type="gramStart"/>
      <w:r w:rsidRPr="001363E0">
        <w:rPr>
          <w:color w:val="000000" w:themeColor="text1"/>
        </w:rPr>
        <w:t>doi:https</w:t>
      </w:r>
      <w:proofErr w:type="spellEnd"/>
      <w:r w:rsidRPr="001363E0">
        <w:rPr>
          <w:color w:val="000000" w:themeColor="text1"/>
        </w:rPr>
        <w:t>://doi.org/10.1016/j.jfineco.2004.04.003</w:t>
      </w:r>
      <w:proofErr w:type="gramEnd"/>
      <w:r w:rsidRPr="001363E0">
        <w:rPr>
          <w:color w:val="000000" w:themeColor="text1"/>
        </w:rPr>
        <w:t>.</w:t>
      </w:r>
    </w:p>
    <w:p w14:paraId="537111E1" w14:textId="5A44B991" w:rsidR="00C03CD7" w:rsidRDefault="32615CBD" w:rsidP="32615CBD">
      <w:pPr>
        <w:pStyle w:val="NormalWeb"/>
        <w:spacing w:before="0" w:beforeAutospacing="0" w:after="0" w:afterAutospacing="0" w:line="480" w:lineRule="auto"/>
        <w:rPr>
          <w:color w:val="000000"/>
        </w:rPr>
      </w:pPr>
      <w:r w:rsidRPr="32615CBD">
        <w:rPr>
          <w:color w:val="000000" w:themeColor="text1"/>
        </w:rPr>
        <w:t xml:space="preserve">Jegadeesh, </w:t>
      </w:r>
      <w:proofErr w:type="gramStart"/>
      <w:r w:rsidRPr="32615CBD">
        <w:rPr>
          <w:color w:val="000000" w:themeColor="text1"/>
        </w:rPr>
        <w:t>Narasimhan, and</w:t>
      </w:r>
      <w:proofErr w:type="gramEnd"/>
      <w:r w:rsidRPr="32615CBD">
        <w:rPr>
          <w:color w:val="000000" w:themeColor="text1"/>
        </w:rPr>
        <w:t xml:space="preserve"> Titman, Sheridan. “Momentum.” </w:t>
      </w:r>
      <w:r w:rsidRPr="32615CBD">
        <w:rPr>
          <w:i/>
          <w:iCs/>
          <w:color w:val="000000" w:themeColor="text1"/>
        </w:rPr>
        <w:t>SSRN Electronic Journal</w:t>
      </w:r>
      <w:r w:rsidRPr="32615CBD">
        <w:rPr>
          <w:color w:val="000000" w:themeColor="text1"/>
        </w:rPr>
        <w:t xml:space="preserve">, 2002, </w:t>
      </w:r>
    </w:p>
    <w:p w14:paraId="409738E5" w14:textId="3FCD9D1B" w:rsidR="00AF419D" w:rsidRPr="00C03CD7" w:rsidRDefault="0E937719" w:rsidP="0E937719">
      <w:pPr>
        <w:pStyle w:val="NormalWeb"/>
        <w:spacing w:before="0" w:beforeAutospacing="0" w:after="0" w:afterAutospacing="0" w:line="480" w:lineRule="auto"/>
        <w:ind w:firstLine="720"/>
        <w:rPr>
          <w:sz w:val="36"/>
          <w:szCs w:val="36"/>
        </w:rPr>
      </w:pPr>
      <w:r w:rsidRPr="0E937719">
        <w:rPr>
          <w:color w:val="000000" w:themeColor="text1"/>
        </w:rPr>
        <w:t>https://doi.org/10.2139/ssrn.</w:t>
      </w:r>
      <w:r w:rsidRPr="00E923E0">
        <w:rPr>
          <w:color w:val="000000" w:themeColor="text1"/>
        </w:rPr>
        <w:t xml:space="preserve">299107. Accessed 25 </w:t>
      </w:r>
      <w:r w:rsidR="00E923E0" w:rsidRPr="00E923E0">
        <w:rPr>
          <w:color w:val="000000" w:themeColor="text1"/>
        </w:rPr>
        <w:t>April</w:t>
      </w:r>
      <w:r w:rsidRPr="00E923E0">
        <w:rPr>
          <w:color w:val="000000" w:themeColor="text1"/>
        </w:rPr>
        <w:t>. 20</w:t>
      </w:r>
      <w:r w:rsidR="00E923E0" w:rsidRPr="00E923E0">
        <w:rPr>
          <w:color w:val="000000" w:themeColor="text1"/>
        </w:rPr>
        <w:t>24</w:t>
      </w:r>
      <w:r w:rsidRPr="00E923E0">
        <w:rPr>
          <w:color w:val="000000" w:themeColor="text1"/>
        </w:rPr>
        <w:t>.</w:t>
      </w:r>
    </w:p>
    <w:p w14:paraId="2D899275" w14:textId="71A21861" w:rsidR="1E1B4C4F" w:rsidRDefault="1E1B4C4F" w:rsidP="1E1B4C4F">
      <w:pPr>
        <w:pStyle w:val="NormalWeb"/>
        <w:spacing w:before="0" w:beforeAutospacing="0" w:after="0" w:afterAutospacing="0" w:line="480" w:lineRule="auto"/>
        <w:jc w:val="both"/>
      </w:pPr>
      <w:r w:rsidRPr="1E1B4C4F">
        <w:t xml:space="preserve">Lehman, B. (1990) Fads, Martingales, and Market efficiency, Quarterly Journal of </w:t>
      </w:r>
      <w:r>
        <w:tab/>
      </w:r>
      <w:r>
        <w:tab/>
      </w:r>
      <w:r w:rsidRPr="1E1B4C4F">
        <w:t>Economics,105, 1-28.</w:t>
      </w:r>
    </w:p>
    <w:p w14:paraId="046E7A0B" w14:textId="19FD5ABD" w:rsidR="00AF419D" w:rsidRPr="00C03CD7" w:rsidRDefault="00AF419D" w:rsidP="00AF419D">
      <w:pPr>
        <w:pStyle w:val="NormalWeb"/>
        <w:spacing w:before="0" w:beforeAutospacing="0" w:after="0" w:afterAutospacing="0" w:line="480" w:lineRule="auto"/>
        <w:rPr>
          <w:sz w:val="36"/>
          <w:szCs w:val="36"/>
        </w:rPr>
      </w:pPr>
      <w:r w:rsidRPr="1E1B4C4F">
        <w:rPr>
          <w:color w:val="000000" w:themeColor="text1"/>
        </w:rPr>
        <w:t xml:space="preserve">Li, </w:t>
      </w:r>
      <w:proofErr w:type="spellStart"/>
      <w:r w:rsidRPr="1E1B4C4F">
        <w:rPr>
          <w:color w:val="000000" w:themeColor="text1"/>
        </w:rPr>
        <w:t>Xiafei</w:t>
      </w:r>
      <w:proofErr w:type="spellEnd"/>
      <w:r w:rsidRPr="1E1B4C4F">
        <w:rPr>
          <w:color w:val="000000" w:themeColor="text1"/>
        </w:rPr>
        <w:t xml:space="preserve">, </w:t>
      </w:r>
      <w:r w:rsidR="1E1B4C4F" w:rsidRPr="1E1B4C4F">
        <w:rPr>
          <w:color w:val="000000" w:themeColor="text1"/>
        </w:rPr>
        <w:t>and Brooks, C.</w:t>
      </w:r>
      <w:r w:rsidRPr="1E1B4C4F">
        <w:rPr>
          <w:color w:val="000000" w:themeColor="text1"/>
        </w:rPr>
        <w:t xml:space="preserve"> “Low-Cost Momentum Strategies.” </w:t>
      </w:r>
    </w:p>
    <w:p w14:paraId="135C891E" w14:textId="77777777" w:rsidR="00C03CD7" w:rsidRDefault="00AF419D" w:rsidP="00AF419D">
      <w:pPr>
        <w:pStyle w:val="NormalWeb"/>
        <w:spacing w:before="0" w:beforeAutospacing="0" w:after="0" w:afterAutospacing="0" w:line="480" w:lineRule="auto"/>
        <w:rPr>
          <w:color w:val="000000"/>
        </w:rPr>
      </w:pPr>
      <w:r w:rsidRPr="00C03CD7">
        <w:rPr>
          <w:rStyle w:val="apple-tab-span"/>
          <w:rFonts w:eastAsiaTheme="majorEastAsia"/>
          <w:i/>
          <w:iCs/>
          <w:color w:val="000000"/>
        </w:rPr>
        <w:tab/>
      </w:r>
      <w:r w:rsidRPr="00C03CD7">
        <w:rPr>
          <w:i/>
          <w:iCs/>
          <w:color w:val="000000"/>
        </w:rPr>
        <w:t>Journal of Asset Management</w:t>
      </w:r>
      <w:r w:rsidRPr="00C03CD7">
        <w:rPr>
          <w:color w:val="000000"/>
        </w:rPr>
        <w:t xml:space="preserve">, vol. 9, no. 6, Feb. 2009, pp. 366–379, </w:t>
      </w:r>
    </w:p>
    <w:p w14:paraId="1D4CAB1A" w14:textId="33C7CEFD" w:rsidR="00AF419D" w:rsidRPr="00C03CD7" w:rsidRDefault="00AF419D" w:rsidP="00C03CD7">
      <w:pPr>
        <w:pStyle w:val="NormalWeb"/>
        <w:spacing w:before="0" w:beforeAutospacing="0" w:after="0" w:afterAutospacing="0" w:line="480" w:lineRule="auto"/>
        <w:ind w:firstLine="720"/>
        <w:rPr>
          <w:sz w:val="36"/>
          <w:szCs w:val="36"/>
        </w:rPr>
      </w:pPr>
      <w:r w:rsidRPr="00C03CD7">
        <w:rPr>
          <w:color w:val="000000"/>
        </w:rPr>
        <w:t>https://doi.org/10.1057/jam.2008.28.</w:t>
      </w:r>
    </w:p>
    <w:p w14:paraId="3C3C30E6" w14:textId="77777777" w:rsidR="00C03CD7" w:rsidRDefault="00AF419D" w:rsidP="00AF419D">
      <w:pPr>
        <w:pStyle w:val="NormalWeb"/>
        <w:spacing w:before="0" w:beforeAutospacing="0" w:after="0" w:afterAutospacing="0" w:line="480" w:lineRule="auto"/>
        <w:rPr>
          <w:i/>
          <w:color w:val="000000" w:themeColor="text1"/>
        </w:rPr>
      </w:pPr>
      <w:proofErr w:type="spellStart"/>
      <w:r w:rsidRPr="00C03CD7">
        <w:rPr>
          <w:color w:val="000000" w:themeColor="text1"/>
        </w:rPr>
        <w:t>Rachwalski</w:t>
      </w:r>
      <w:proofErr w:type="spellEnd"/>
      <w:r w:rsidRPr="00C03CD7">
        <w:rPr>
          <w:color w:val="000000" w:themeColor="text1"/>
        </w:rPr>
        <w:t xml:space="preserve">, Mark, and </w:t>
      </w:r>
      <w:r w:rsidR="68F30701" w:rsidRPr="00C03CD7">
        <w:rPr>
          <w:color w:val="000000" w:themeColor="text1"/>
        </w:rPr>
        <w:t xml:space="preserve">Wen, </w:t>
      </w:r>
      <w:r w:rsidR="51C78C83" w:rsidRPr="00C03CD7">
        <w:rPr>
          <w:color w:val="000000" w:themeColor="text1"/>
        </w:rPr>
        <w:t>Quan.</w:t>
      </w:r>
      <w:r w:rsidRPr="00C03CD7">
        <w:rPr>
          <w:color w:val="000000" w:themeColor="text1"/>
        </w:rPr>
        <w:t xml:space="preserve"> “Momentum, Risk, and Underreaction.” </w:t>
      </w:r>
      <w:r w:rsidRPr="00C03CD7">
        <w:rPr>
          <w:i/>
          <w:color w:val="000000" w:themeColor="text1"/>
        </w:rPr>
        <w:t xml:space="preserve">SSRN Electronic </w:t>
      </w:r>
    </w:p>
    <w:p w14:paraId="214CB347" w14:textId="477861EA" w:rsidR="00AF419D" w:rsidRDefault="00AF419D" w:rsidP="00C03CD7">
      <w:pPr>
        <w:pStyle w:val="NormalWeb"/>
        <w:spacing w:before="0" w:beforeAutospacing="0" w:after="0" w:afterAutospacing="0" w:line="480" w:lineRule="auto"/>
        <w:ind w:firstLine="720"/>
        <w:rPr>
          <w:color w:val="000000" w:themeColor="text1"/>
        </w:rPr>
      </w:pPr>
      <w:r w:rsidRPr="00C03CD7">
        <w:rPr>
          <w:i/>
          <w:color w:val="000000" w:themeColor="text1"/>
        </w:rPr>
        <w:t>Journal</w:t>
      </w:r>
      <w:r w:rsidRPr="00C03CD7">
        <w:rPr>
          <w:color w:val="000000" w:themeColor="text1"/>
        </w:rPr>
        <w:t xml:space="preserve">, 2012, </w:t>
      </w:r>
      <w:hyperlink r:id="rId12" w:history="1">
        <w:r w:rsidR="00C03CD7" w:rsidRPr="0016489F">
          <w:rPr>
            <w:rStyle w:val="Hyperlink"/>
          </w:rPr>
          <w:t>https://doi.org/10.2139/ssrn.2085340</w:t>
        </w:r>
      </w:hyperlink>
      <w:r w:rsidRPr="00C03CD7">
        <w:rPr>
          <w:color w:val="000000" w:themeColor="text1"/>
        </w:rPr>
        <w:t>.</w:t>
      </w:r>
    </w:p>
    <w:p w14:paraId="094F5089" w14:textId="77777777" w:rsidR="00C03CD7" w:rsidRPr="00C03CD7" w:rsidRDefault="00C03CD7" w:rsidP="00C03CD7">
      <w:pPr>
        <w:pStyle w:val="NormalWeb"/>
        <w:spacing w:before="0" w:beforeAutospacing="0" w:after="0" w:afterAutospacing="0" w:line="480" w:lineRule="auto"/>
        <w:rPr>
          <w:sz w:val="36"/>
          <w:szCs w:val="36"/>
        </w:rPr>
      </w:pPr>
    </w:p>
    <w:p w14:paraId="1686726D" w14:textId="77777777" w:rsidR="00AF419D" w:rsidRPr="00C03CD7" w:rsidRDefault="00AF419D" w:rsidP="00AF419D">
      <w:pPr>
        <w:rPr>
          <w:sz w:val="36"/>
          <w:szCs w:val="36"/>
        </w:rPr>
      </w:pPr>
    </w:p>
    <w:p w14:paraId="3EE08BF3" w14:textId="77777777" w:rsidR="00AF419D" w:rsidRDefault="00AF419D" w:rsidP="00AF419D">
      <w:pPr>
        <w:pStyle w:val="NormalWeb"/>
        <w:spacing w:before="0" w:beforeAutospacing="0" w:after="0" w:afterAutospacing="0"/>
      </w:pPr>
      <w:r>
        <w:rPr>
          <w:rFonts w:ascii="Arial" w:hAnsi="Arial" w:cs="Arial"/>
          <w:color w:val="000000"/>
          <w:sz w:val="28"/>
          <w:szCs w:val="28"/>
        </w:rPr>
        <w:t>  </w:t>
      </w:r>
    </w:p>
    <w:p w14:paraId="4765C6A3" w14:textId="77777777" w:rsidR="00AF419D" w:rsidRDefault="00AF419D" w:rsidP="00AF419D"/>
    <w:p w14:paraId="2682417E" w14:textId="77777777" w:rsidR="00AF419D" w:rsidRDefault="00AF419D" w:rsidP="00AF419D">
      <w:pPr>
        <w:pStyle w:val="NormalWeb"/>
        <w:spacing w:before="0" w:beforeAutospacing="0" w:after="0" w:afterAutospacing="0"/>
        <w:jc w:val="center"/>
      </w:pPr>
      <w:r>
        <w:rPr>
          <w:b/>
          <w:bCs/>
          <w:color w:val="FFFFFF"/>
          <w:sz w:val="36"/>
          <w:szCs w:val="36"/>
        </w:rPr>
        <w:t>BUY</w:t>
      </w:r>
    </w:p>
    <w:p w14:paraId="10BA6058" w14:textId="77777777" w:rsidR="00AF419D" w:rsidRPr="00215AA3" w:rsidRDefault="00AF419D" w:rsidP="00215AA3">
      <w:pPr>
        <w:spacing w:line="276" w:lineRule="auto"/>
        <w:rPr>
          <w:rFonts w:ascii="Times New Roman" w:hAnsi="Times New Roman" w:cs="Times New Roman"/>
        </w:rPr>
      </w:pPr>
    </w:p>
    <w:p w14:paraId="03C15E7E" w14:textId="77777777" w:rsidR="008E2EDF" w:rsidRDefault="008E2EDF" w:rsidP="008258C1">
      <w:pPr>
        <w:spacing w:line="276" w:lineRule="auto"/>
        <w:rPr>
          <w:rFonts w:ascii="Times New Roman" w:hAnsi="Times New Roman" w:cs="Times New Roman"/>
        </w:rPr>
      </w:pPr>
    </w:p>
    <w:p w14:paraId="7B3CEB0F" w14:textId="77777777" w:rsidR="008E2EDF" w:rsidRDefault="008E2EDF" w:rsidP="008258C1">
      <w:pPr>
        <w:spacing w:line="276" w:lineRule="auto"/>
        <w:rPr>
          <w:rFonts w:ascii="Times New Roman" w:hAnsi="Times New Roman" w:cs="Times New Roman"/>
        </w:rPr>
      </w:pPr>
    </w:p>
    <w:p w14:paraId="43B685EA" w14:textId="77777777" w:rsidR="008E2EDF" w:rsidRDefault="008E2EDF" w:rsidP="008258C1">
      <w:pPr>
        <w:spacing w:line="276" w:lineRule="auto"/>
        <w:rPr>
          <w:rFonts w:ascii="Times New Roman" w:hAnsi="Times New Roman" w:cs="Times New Roman"/>
        </w:rPr>
      </w:pPr>
    </w:p>
    <w:p w14:paraId="4020EADD" w14:textId="77777777" w:rsidR="008E2EDF" w:rsidRDefault="008E2EDF" w:rsidP="008258C1">
      <w:pPr>
        <w:spacing w:line="276" w:lineRule="auto"/>
        <w:rPr>
          <w:rFonts w:ascii="Times New Roman" w:hAnsi="Times New Roman" w:cs="Times New Roman"/>
        </w:rPr>
      </w:pPr>
    </w:p>
    <w:p w14:paraId="559286A1" w14:textId="77777777" w:rsidR="008E2EDF" w:rsidRDefault="008E2EDF" w:rsidP="008258C1">
      <w:pPr>
        <w:spacing w:line="276" w:lineRule="auto"/>
        <w:rPr>
          <w:rFonts w:ascii="Times New Roman" w:hAnsi="Times New Roman" w:cs="Times New Roman"/>
        </w:rPr>
      </w:pPr>
    </w:p>
    <w:p w14:paraId="5A69013F" w14:textId="77777777" w:rsidR="008E2EDF" w:rsidRDefault="008E2EDF" w:rsidP="008258C1">
      <w:pPr>
        <w:spacing w:line="276" w:lineRule="auto"/>
        <w:rPr>
          <w:rFonts w:ascii="Times New Roman" w:hAnsi="Times New Roman" w:cs="Times New Roman"/>
        </w:rPr>
      </w:pPr>
    </w:p>
    <w:p w14:paraId="1A633B94" w14:textId="354477B4" w:rsidR="006E296C" w:rsidRDefault="008258C1" w:rsidP="008258C1">
      <w:pPr>
        <w:spacing w:line="276" w:lineRule="auto"/>
        <w:rPr>
          <w:rFonts w:ascii="Times New Roman" w:hAnsi="Times New Roman" w:cs="Times New Roman"/>
        </w:rPr>
      </w:pPr>
      <w:r>
        <w:rPr>
          <w:rFonts w:ascii="Times New Roman" w:hAnsi="Times New Roman" w:cs="Times New Roman"/>
        </w:rPr>
        <w:t>Appendices:</w:t>
      </w:r>
    </w:p>
    <w:p w14:paraId="58DDA476" w14:textId="603E27EC" w:rsidR="00C34022" w:rsidRDefault="00FF1CEF" w:rsidP="008258C1">
      <w:pPr>
        <w:spacing w:line="276" w:lineRule="auto"/>
        <w:rPr>
          <w:rFonts w:ascii="Times New Roman" w:hAnsi="Times New Roman" w:cs="Times New Roman"/>
        </w:rPr>
      </w:pPr>
      <w:r w:rsidRPr="00FF1CEF">
        <w:rPr>
          <w:noProof/>
        </w:rPr>
        <w:drawing>
          <wp:anchor distT="0" distB="0" distL="114300" distR="114300" simplePos="0" relativeHeight="251658242" behindDoc="0" locked="0" layoutInCell="1" allowOverlap="1" wp14:anchorId="3790442C" wp14:editId="0F9EDC9E">
            <wp:simplePos x="0" y="0"/>
            <wp:positionH relativeFrom="margin">
              <wp:posOffset>814705</wp:posOffset>
            </wp:positionH>
            <wp:positionV relativeFrom="paragraph">
              <wp:posOffset>254635</wp:posOffset>
            </wp:positionV>
            <wp:extent cx="4429125" cy="3576459"/>
            <wp:effectExtent l="0" t="0" r="0" b="5080"/>
            <wp:wrapThrough wrapText="bothSides">
              <wp:wrapPolygon edited="0">
                <wp:start x="0" y="0"/>
                <wp:lineTo x="0" y="21516"/>
                <wp:lineTo x="21461" y="21516"/>
                <wp:lineTo x="21461" y="0"/>
                <wp:lineTo x="0" y="0"/>
              </wp:wrapPolygon>
            </wp:wrapThrough>
            <wp:docPr id="1939521364" name="Picture 1" descr="A blue squares with numbers and a blu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21364" name="Picture 1" descr="A blue squares with numbers and a blue rectang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29125" cy="3576459"/>
                    </a:xfrm>
                    <a:prstGeom prst="rect">
                      <a:avLst/>
                    </a:prstGeom>
                  </pic:spPr>
                </pic:pic>
              </a:graphicData>
            </a:graphic>
            <wp14:sizeRelH relativeFrom="margin">
              <wp14:pctWidth>0</wp14:pctWidth>
            </wp14:sizeRelH>
            <wp14:sizeRelV relativeFrom="margin">
              <wp14:pctHeight>0</wp14:pctHeight>
            </wp14:sizeRelV>
          </wp:anchor>
        </w:drawing>
      </w:r>
      <w:r w:rsidR="00C34022">
        <w:rPr>
          <w:rFonts w:ascii="Times New Roman" w:hAnsi="Times New Roman" w:cs="Times New Roman"/>
        </w:rPr>
        <w:t xml:space="preserve">1. </w:t>
      </w:r>
    </w:p>
    <w:p w14:paraId="07ACF3EE" w14:textId="069A15AC" w:rsidR="008258C1" w:rsidRDefault="00C34022" w:rsidP="008258C1">
      <w:pPr>
        <w:spacing w:line="276" w:lineRule="auto"/>
        <w:rPr>
          <w:noProof/>
        </w:rPr>
      </w:pPr>
      <w:r w:rsidRPr="00C34022">
        <w:rPr>
          <w:noProof/>
        </w:rPr>
        <w:t xml:space="preserve"> </w:t>
      </w:r>
    </w:p>
    <w:p w14:paraId="27BB7BE7" w14:textId="77777777" w:rsidR="00C34022" w:rsidRDefault="00C34022" w:rsidP="008258C1">
      <w:pPr>
        <w:spacing w:line="276" w:lineRule="auto"/>
        <w:rPr>
          <w:noProof/>
        </w:rPr>
      </w:pPr>
    </w:p>
    <w:p w14:paraId="609589E6" w14:textId="77777777" w:rsidR="00C34022" w:rsidRDefault="00C34022" w:rsidP="008258C1">
      <w:pPr>
        <w:spacing w:line="276" w:lineRule="auto"/>
        <w:rPr>
          <w:noProof/>
        </w:rPr>
      </w:pPr>
    </w:p>
    <w:p w14:paraId="77C2859D" w14:textId="77777777" w:rsidR="00C34022" w:rsidRDefault="00C34022" w:rsidP="008258C1">
      <w:pPr>
        <w:spacing w:line="276" w:lineRule="auto"/>
        <w:rPr>
          <w:noProof/>
        </w:rPr>
      </w:pPr>
    </w:p>
    <w:p w14:paraId="4147F9CE" w14:textId="77777777" w:rsidR="00C34022" w:rsidRDefault="00C34022" w:rsidP="008258C1">
      <w:pPr>
        <w:spacing w:line="276" w:lineRule="auto"/>
        <w:rPr>
          <w:noProof/>
        </w:rPr>
      </w:pPr>
    </w:p>
    <w:p w14:paraId="230093E7" w14:textId="77777777" w:rsidR="00C34022" w:rsidRDefault="00C34022" w:rsidP="008258C1">
      <w:pPr>
        <w:spacing w:line="276" w:lineRule="auto"/>
        <w:rPr>
          <w:noProof/>
        </w:rPr>
      </w:pPr>
    </w:p>
    <w:p w14:paraId="16301929" w14:textId="77777777" w:rsidR="00C34022" w:rsidRDefault="00C34022" w:rsidP="008258C1">
      <w:pPr>
        <w:spacing w:line="276" w:lineRule="auto"/>
        <w:rPr>
          <w:noProof/>
        </w:rPr>
      </w:pPr>
    </w:p>
    <w:p w14:paraId="54C8A9D3" w14:textId="77777777" w:rsidR="00C34022" w:rsidRDefault="00C34022" w:rsidP="008258C1">
      <w:pPr>
        <w:spacing w:line="276" w:lineRule="auto"/>
        <w:rPr>
          <w:noProof/>
        </w:rPr>
      </w:pPr>
    </w:p>
    <w:p w14:paraId="64E1347B" w14:textId="77777777" w:rsidR="00C34022" w:rsidRDefault="00C34022" w:rsidP="008258C1">
      <w:pPr>
        <w:spacing w:line="276" w:lineRule="auto"/>
        <w:rPr>
          <w:noProof/>
        </w:rPr>
      </w:pPr>
    </w:p>
    <w:p w14:paraId="158E4F8B" w14:textId="77777777" w:rsidR="00FF1CEF" w:rsidRDefault="00FF1CEF" w:rsidP="008258C1">
      <w:pPr>
        <w:spacing w:line="276" w:lineRule="auto"/>
        <w:rPr>
          <w:rFonts w:ascii="Times New Roman" w:hAnsi="Times New Roman" w:cs="Times New Roman"/>
          <w:noProof/>
        </w:rPr>
      </w:pPr>
    </w:p>
    <w:p w14:paraId="60BAFA22" w14:textId="77777777" w:rsidR="00FF1CEF" w:rsidRDefault="00FF1CEF" w:rsidP="008258C1">
      <w:pPr>
        <w:spacing w:line="276" w:lineRule="auto"/>
        <w:rPr>
          <w:rFonts w:ascii="Times New Roman" w:hAnsi="Times New Roman" w:cs="Times New Roman"/>
          <w:noProof/>
        </w:rPr>
      </w:pPr>
    </w:p>
    <w:p w14:paraId="62F5CDB7" w14:textId="0F8E4A09" w:rsidR="00C34022" w:rsidRPr="00C34022" w:rsidRDefault="00C34022" w:rsidP="008258C1">
      <w:pPr>
        <w:spacing w:line="276" w:lineRule="auto"/>
        <w:rPr>
          <w:rFonts w:ascii="Times New Roman" w:hAnsi="Times New Roman" w:cs="Times New Roman"/>
          <w:noProof/>
        </w:rPr>
      </w:pPr>
      <w:r w:rsidRPr="00C34022">
        <w:rPr>
          <w:rFonts w:ascii="Times New Roman" w:hAnsi="Times New Roman" w:cs="Times New Roman"/>
          <w:noProof/>
        </w:rPr>
        <w:t xml:space="preserve">2. </w:t>
      </w:r>
    </w:p>
    <w:p w14:paraId="6C11AD1D" w14:textId="38404C1F" w:rsidR="00376BFA" w:rsidRDefault="00376BFA" w:rsidP="008258C1">
      <w:pPr>
        <w:spacing w:line="276" w:lineRule="auto"/>
        <w:rPr>
          <w:rFonts w:ascii="Times New Roman" w:hAnsi="Times New Roman" w:cs="Times New Roman"/>
        </w:rPr>
      </w:pPr>
      <w:r w:rsidRPr="008E2EDF">
        <w:rPr>
          <w:rFonts w:ascii="Times New Roman" w:hAnsi="Times New Roman" w:cs="Times New Roman"/>
          <w:noProof/>
        </w:rPr>
        <w:lastRenderedPageBreak/>
        <w:drawing>
          <wp:anchor distT="0" distB="0" distL="114300" distR="114300" simplePos="0" relativeHeight="251658243" behindDoc="0" locked="0" layoutInCell="1" allowOverlap="1" wp14:anchorId="5DA8EA22" wp14:editId="2210466C">
            <wp:simplePos x="0" y="0"/>
            <wp:positionH relativeFrom="margin">
              <wp:posOffset>913765</wp:posOffset>
            </wp:positionH>
            <wp:positionV relativeFrom="paragraph">
              <wp:posOffset>3810</wp:posOffset>
            </wp:positionV>
            <wp:extent cx="4333875" cy="3503295"/>
            <wp:effectExtent l="0" t="0" r="9525" b="1905"/>
            <wp:wrapThrough wrapText="bothSides">
              <wp:wrapPolygon edited="0">
                <wp:start x="0" y="0"/>
                <wp:lineTo x="0" y="21494"/>
                <wp:lineTo x="21553" y="21494"/>
                <wp:lineTo x="21553" y="0"/>
                <wp:lineTo x="0" y="0"/>
              </wp:wrapPolygon>
            </wp:wrapThrough>
            <wp:docPr id="1723726363" name="Picture 1" descr="A blue and whit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26363" name="Picture 1" descr="A blue and white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333875" cy="3503295"/>
                    </a:xfrm>
                    <a:prstGeom prst="rect">
                      <a:avLst/>
                    </a:prstGeom>
                  </pic:spPr>
                </pic:pic>
              </a:graphicData>
            </a:graphic>
            <wp14:sizeRelH relativeFrom="margin">
              <wp14:pctWidth>0</wp14:pctWidth>
            </wp14:sizeRelH>
            <wp14:sizeRelV relativeFrom="margin">
              <wp14:pctHeight>0</wp14:pctHeight>
            </wp14:sizeRelV>
          </wp:anchor>
        </w:drawing>
      </w:r>
    </w:p>
    <w:p w14:paraId="3E45F695" w14:textId="7A533BB0" w:rsidR="00376BFA" w:rsidRDefault="00376BFA" w:rsidP="008258C1">
      <w:pPr>
        <w:spacing w:line="276" w:lineRule="auto"/>
        <w:rPr>
          <w:rFonts w:ascii="Times New Roman" w:hAnsi="Times New Roman" w:cs="Times New Roman"/>
        </w:rPr>
      </w:pPr>
    </w:p>
    <w:p w14:paraId="3258741A" w14:textId="77777777" w:rsidR="00376BFA" w:rsidRDefault="00376BFA" w:rsidP="008258C1">
      <w:pPr>
        <w:spacing w:line="276" w:lineRule="auto"/>
        <w:rPr>
          <w:rFonts w:ascii="Times New Roman" w:hAnsi="Times New Roman" w:cs="Times New Roman"/>
        </w:rPr>
      </w:pPr>
    </w:p>
    <w:p w14:paraId="4CDDA1DB" w14:textId="77777777" w:rsidR="00376BFA" w:rsidRDefault="00376BFA" w:rsidP="008258C1">
      <w:pPr>
        <w:spacing w:line="276" w:lineRule="auto"/>
        <w:rPr>
          <w:rFonts w:ascii="Times New Roman" w:hAnsi="Times New Roman" w:cs="Times New Roman"/>
        </w:rPr>
      </w:pPr>
    </w:p>
    <w:p w14:paraId="5C06B670" w14:textId="77777777" w:rsidR="00376BFA" w:rsidRDefault="00376BFA" w:rsidP="008258C1">
      <w:pPr>
        <w:spacing w:line="276" w:lineRule="auto"/>
        <w:rPr>
          <w:rFonts w:ascii="Times New Roman" w:hAnsi="Times New Roman" w:cs="Times New Roman"/>
        </w:rPr>
      </w:pPr>
    </w:p>
    <w:p w14:paraId="108A67C1" w14:textId="69CD0517" w:rsidR="00376BFA" w:rsidRDefault="00376BFA" w:rsidP="008258C1">
      <w:pPr>
        <w:spacing w:line="276" w:lineRule="auto"/>
        <w:rPr>
          <w:rFonts w:ascii="Times New Roman" w:hAnsi="Times New Roman" w:cs="Times New Roman"/>
        </w:rPr>
      </w:pPr>
    </w:p>
    <w:p w14:paraId="25EEC033" w14:textId="77777777" w:rsidR="00C34022" w:rsidRDefault="00C34022" w:rsidP="008258C1">
      <w:pPr>
        <w:spacing w:line="276" w:lineRule="auto"/>
        <w:rPr>
          <w:rFonts w:ascii="Times New Roman" w:hAnsi="Times New Roman" w:cs="Times New Roman"/>
        </w:rPr>
      </w:pPr>
    </w:p>
    <w:p w14:paraId="4F354385" w14:textId="77777777" w:rsidR="00376BFA" w:rsidRDefault="00376BFA" w:rsidP="008258C1">
      <w:pPr>
        <w:spacing w:line="276" w:lineRule="auto"/>
        <w:rPr>
          <w:rFonts w:ascii="Times New Roman" w:hAnsi="Times New Roman" w:cs="Times New Roman"/>
        </w:rPr>
      </w:pPr>
    </w:p>
    <w:p w14:paraId="55F69C0E" w14:textId="77777777" w:rsidR="00376BFA" w:rsidRDefault="00376BFA" w:rsidP="008258C1">
      <w:pPr>
        <w:spacing w:line="276" w:lineRule="auto"/>
        <w:rPr>
          <w:rFonts w:ascii="Times New Roman" w:hAnsi="Times New Roman" w:cs="Times New Roman"/>
        </w:rPr>
      </w:pPr>
    </w:p>
    <w:p w14:paraId="19F52BAE" w14:textId="77777777" w:rsidR="00376BFA" w:rsidRDefault="00376BFA" w:rsidP="008258C1">
      <w:pPr>
        <w:spacing w:line="276" w:lineRule="auto"/>
        <w:rPr>
          <w:rFonts w:ascii="Times New Roman" w:hAnsi="Times New Roman" w:cs="Times New Roman"/>
        </w:rPr>
      </w:pPr>
    </w:p>
    <w:p w14:paraId="3209D529" w14:textId="77777777" w:rsidR="00376BFA" w:rsidRDefault="00376BFA" w:rsidP="008258C1">
      <w:pPr>
        <w:spacing w:line="276" w:lineRule="auto"/>
        <w:rPr>
          <w:rFonts w:ascii="Times New Roman" w:hAnsi="Times New Roman" w:cs="Times New Roman"/>
        </w:rPr>
      </w:pPr>
    </w:p>
    <w:p w14:paraId="3A2A0442" w14:textId="77777777" w:rsidR="00376BFA" w:rsidRDefault="00376BFA" w:rsidP="008258C1">
      <w:pPr>
        <w:spacing w:line="276" w:lineRule="auto"/>
        <w:rPr>
          <w:rFonts w:ascii="Times New Roman" w:hAnsi="Times New Roman" w:cs="Times New Roman"/>
        </w:rPr>
      </w:pPr>
    </w:p>
    <w:p w14:paraId="7F510661" w14:textId="77777777" w:rsidR="00376BFA" w:rsidRPr="006E296C" w:rsidRDefault="00376BFA" w:rsidP="008258C1">
      <w:pPr>
        <w:spacing w:line="276" w:lineRule="auto"/>
        <w:rPr>
          <w:rFonts w:ascii="Times New Roman" w:hAnsi="Times New Roman" w:cs="Times New Roman"/>
        </w:rPr>
      </w:pPr>
    </w:p>
    <w:sectPr w:rsidR="00376BFA" w:rsidRPr="006E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O28kwesB" int2:invalidationBookmarkName="" int2:hashCode="3Qc45RBdxeJgV7" int2:id="SQulFDeF">
      <int2:state int2:value="Rejected" int2:type="AugLoop_Text_Critique"/>
    </int2:bookmark>
    <int2:bookmark int2:bookmarkName="_Int_LIa2G8Lj" int2:invalidationBookmarkName="" int2:hashCode="HI8JJw/DOjk68+" int2:id="gESOfCo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074FA1"/>
    <w:multiLevelType w:val="hybridMultilevel"/>
    <w:tmpl w:val="FD204C1E"/>
    <w:lvl w:ilvl="0" w:tplc="1344690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8105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6C"/>
    <w:rsid w:val="00010B4F"/>
    <w:rsid w:val="0001195A"/>
    <w:rsid w:val="00025093"/>
    <w:rsid w:val="00030FD5"/>
    <w:rsid w:val="0003191D"/>
    <w:rsid w:val="00036A32"/>
    <w:rsid w:val="000401D2"/>
    <w:rsid w:val="00041D3D"/>
    <w:rsid w:val="00052DF4"/>
    <w:rsid w:val="00065050"/>
    <w:rsid w:val="00072CB6"/>
    <w:rsid w:val="00075BA5"/>
    <w:rsid w:val="00082636"/>
    <w:rsid w:val="000857A0"/>
    <w:rsid w:val="000864EE"/>
    <w:rsid w:val="000A4465"/>
    <w:rsid w:val="000B46EC"/>
    <w:rsid w:val="000E63F9"/>
    <w:rsid w:val="000F00A5"/>
    <w:rsid w:val="00101539"/>
    <w:rsid w:val="00115951"/>
    <w:rsid w:val="00117CCC"/>
    <w:rsid w:val="00123447"/>
    <w:rsid w:val="0012457C"/>
    <w:rsid w:val="00125EA2"/>
    <w:rsid w:val="001363E0"/>
    <w:rsid w:val="001611C2"/>
    <w:rsid w:val="00170B33"/>
    <w:rsid w:val="00192A7A"/>
    <w:rsid w:val="001A1ACE"/>
    <w:rsid w:val="001A7BE2"/>
    <w:rsid w:val="001B23FC"/>
    <w:rsid w:val="001C0A90"/>
    <w:rsid w:val="001C5499"/>
    <w:rsid w:val="001D188E"/>
    <w:rsid w:val="001D3381"/>
    <w:rsid w:val="001D56E5"/>
    <w:rsid w:val="001E7158"/>
    <w:rsid w:val="001F7B14"/>
    <w:rsid w:val="001F7B16"/>
    <w:rsid w:val="00201605"/>
    <w:rsid w:val="00201DAF"/>
    <w:rsid w:val="00215AA3"/>
    <w:rsid w:val="00226951"/>
    <w:rsid w:val="00232D85"/>
    <w:rsid w:val="00234BB8"/>
    <w:rsid w:val="002464BC"/>
    <w:rsid w:val="002477F3"/>
    <w:rsid w:val="00272E82"/>
    <w:rsid w:val="00281AEB"/>
    <w:rsid w:val="00283C1C"/>
    <w:rsid w:val="002B60BD"/>
    <w:rsid w:val="002C7972"/>
    <w:rsid w:val="00301E59"/>
    <w:rsid w:val="00307674"/>
    <w:rsid w:val="0031435D"/>
    <w:rsid w:val="00325E19"/>
    <w:rsid w:val="0033473A"/>
    <w:rsid w:val="00341B96"/>
    <w:rsid w:val="00367FC2"/>
    <w:rsid w:val="00376BFA"/>
    <w:rsid w:val="00384A10"/>
    <w:rsid w:val="00385274"/>
    <w:rsid w:val="00387A8F"/>
    <w:rsid w:val="00394569"/>
    <w:rsid w:val="003B5A07"/>
    <w:rsid w:val="003B7DAA"/>
    <w:rsid w:val="003C09FF"/>
    <w:rsid w:val="003C3EF7"/>
    <w:rsid w:val="003D2AC3"/>
    <w:rsid w:val="003D2D10"/>
    <w:rsid w:val="003E11F9"/>
    <w:rsid w:val="003E1A06"/>
    <w:rsid w:val="003E36F1"/>
    <w:rsid w:val="003F6B01"/>
    <w:rsid w:val="003F765C"/>
    <w:rsid w:val="0041752A"/>
    <w:rsid w:val="00417803"/>
    <w:rsid w:val="0042168D"/>
    <w:rsid w:val="0043118E"/>
    <w:rsid w:val="00454C54"/>
    <w:rsid w:val="00456392"/>
    <w:rsid w:val="00461615"/>
    <w:rsid w:val="004636E7"/>
    <w:rsid w:val="00467ED7"/>
    <w:rsid w:val="004745FF"/>
    <w:rsid w:val="004750D9"/>
    <w:rsid w:val="00476F13"/>
    <w:rsid w:val="004816BC"/>
    <w:rsid w:val="00484A86"/>
    <w:rsid w:val="004875E1"/>
    <w:rsid w:val="004B2C20"/>
    <w:rsid w:val="004E50AA"/>
    <w:rsid w:val="00511EB1"/>
    <w:rsid w:val="00513850"/>
    <w:rsid w:val="00521021"/>
    <w:rsid w:val="005327AC"/>
    <w:rsid w:val="00532FA3"/>
    <w:rsid w:val="00577BAC"/>
    <w:rsid w:val="00580478"/>
    <w:rsid w:val="005954A0"/>
    <w:rsid w:val="005A1220"/>
    <w:rsid w:val="005A4992"/>
    <w:rsid w:val="005A7CEC"/>
    <w:rsid w:val="005B17ED"/>
    <w:rsid w:val="005B51DE"/>
    <w:rsid w:val="005C6AC5"/>
    <w:rsid w:val="005D49EF"/>
    <w:rsid w:val="005F4DF1"/>
    <w:rsid w:val="005F74F4"/>
    <w:rsid w:val="00600B95"/>
    <w:rsid w:val="00611CAE"/>
    <w:rsid w:val="00623005"/>
    <w:rsid w:val="00623E20"/>
    <w:rsid w:val="00626292"/>
    <w:rsid w:val="00632DC0"/>
    <w:rsid w:val="00640393"/>
    <w:rsid w:val="006442D9"/>
    <w:rsid w:val="006447E1"/>
    <w:rsid w:val="00646FA5"/>
    <w:rsid w:val="00651457"/>
    <w:rsid w:val="00662538"/>
    <w:rsid w:val="00670F14"/>
    <w:rsid w:val="00690F98"/>
    <w:rsid w:val="006A45AB"/>
    <w:rsid w:val="006C2D38"/>
    <w:rsid w:val="006E296C"/>
    <w:rsid w:val="006F727C"/>
    <w:rsid w:val="00712B60"/>
    <w:rsid w:val="00713DFF"/>
    <w:rsid w:val="00733BEE"/>
    <w:rsid w:val="007441E0"/>
    <w:rsid w:val="007502B1"/>
    <w:rsid w:val="007917F6"/>
    <w:rsid w:val="007A3571"/>
    <w:rsid w:val="007C332C"/>
    <w:rsid w:val="007C3D53"/>
    <w:rsid w:val="007C4485"/>
    <w:rsid w:val="007D5520"/>
    <w:rsid w:val="007E647C"/>
    <w:rsid w:val="007F31F8"/>
    <w:rsid w:val="007F55AA"/>
    <w:rsid w:val="008035F4"/>
    <w:rsid w:val="0082196A"/>
    <w:rsid w:val="008258C1"/>
    <w:rsid w:val="00831FFF"/>
    <w:rsid w:val="00834932"/>
    <w:rsid w:val="00840A1D"/>
    <w:rsid w:val="00846C74"/>
    <w:rsid w:val="00865212"/>
    <w:rsid w:val="008672E2"/>
    <w:rsid w:val="00867CA6"/>
    <w:rsid w:val="00873B03"/>
    <w:rsid w:val="00885310"/>
    <w:rsid w:val="00885A24"/>
    <w:rsid w:val="00892B93"/>
    <w:rsid w:val="008A0F1C"/>
    <w:rsid w:val="008A2E72"/>
    <w:rsid w:val="008A3FA2"/>
    <w:rsid w:val="008B034F"/>
    <w:rsid w:val="008B1733"/>
    <w:rsid w:val="008C4A20"/>
    <w:rsid w:val="008C5BAA"/>
    <w:rsid w:val="008D7252"/>
    <w:rsid w:val="008E2EDF"/>
    <w:rsid w:val="008E3631"/>
    <w:rsid w:val="008E517D"/>
    <w:rsid w:val="008E6833"/>
    <w:rsid w:val="00916811"/>
    <w:rsid w:val="0094042D"/>
    <w:rsid w:val="009426C1"/>
    <w:rsid w:val="00971B95"/>
    <w:rsid w:val="009C2747"/>
    <w:rsid w:val="009C7F2F"/>
    <w:rsid w:val="009D176F"/>
    <w:rsid w:val="009D6E30"/>
    <w:rsid w:val="009F7B1A"/>
    <w:rsid w:val="00A02133"/>
    <w:rsid w:val="00A37D1C"/>
    <w:rsid w:val="00A412DE"/>
    <w:rsid w:val="00A527C5"/>
    <w:rsid w:val="00A54A06"/>
    <w:rsid w:val="00A553D5"/>
    <w:rsid w:val="00A60D0B"/>
    <w:rsid w:val="00A6521D"/>
    <w:rsid w:val="00A87660"/>
    <w:rsid w:val="00A90228"/>
    <w:rsid w:val="00A94F25"/>
    <w:rsid w:val="00A96EF5"/>
    <w:rsid w:val="00AC6C59"/>
    <w:rsid w:val="00AD04F7"/>
    <w:rsid w:val="00AE28B5"/>
    <w:rsid w:val="00AE3B47"/>
    <w:rsid w:val="00AE41C9"/>
    <w:rsid w:val="00AF419D"/>
    <w:rsid w:val="00B03EAA"/>
    <w:rsid w:val="00B0648B"/>
    <w:rsid w:val="00B31EAD"/>
    <w:rsid w:val="00B39847"/>
    <w:rsid w:val="00B41908"/>
    <w:rsid w:val="00B5040A"/>
    <w:rsid w:val="00B50F72"/>
    <w:rsid w:val="00B72906"/>
    <w:rsid w:val="00B77351"/>
    <w:rsid w:val="00B83539"/>
    <w:rsid w:val="00B95253"/>
    <w:rsid w:val="00BC12E3"/>
    <w:rsid w:val="00BD5182"/>
    <w:rsid w:val="00C03CD7"/>
    <w:rsid w:val="00C0509D"/>
    <w:rsid w:val="00C34022"/>
    <w:rsid w:val="00C42E2B"/>
    <w:rsid w:val="00C53BC0"/>
    <w:rsid w:val="00C825B4"/>
    <w:rsid w:val="00CA6EA8"/>
    <w:rsid w:val="00CB22A3"/>
    <w:rsid w:val="00CB7C55"/>
    <w:rsid w:val="00CD45CD"/>
    <w:rsid w:val="00CF2FEA"/>
    <w:rsid w:val="00D029F6"/>
    <w:rsid w:val="00D34AB4"/>
    <w:rsid w:val="00D44AED"/>
    <w:rsid w:val="00D46402"/>
    <w:rsid w:val="00D942DB"/>
    <w:rsid w:val="00D94C52"/>
    <w:rsid w:val="00DB24A6"/>
    <w:rsid w:val="00DB264E"/>
    <w:rsid w:val="00DB4034"/>
    <w:rsid w:val="00DC3154"/>
    <w:rsid w:val="00DC5DA6"/>
    <w:rsid w:val="00DC72BD"/>
    <w:rsid w:val="00DD24A8"/>
    <w:rsid w:val="00DE0BC0"/>
    <w:rsid w:val="00DE2767"/>
    <w:rsid w:val="00DE4A31"/>
    <w:rsid w:val="00E0633D"/>
    <w:rsid w:val="00E166C6"/>
    <w:rsid w:val="00E24122"/>
    <w:rsid w:val="00E367DB"/>
    <w:rsid w:val="00E43EEB"/>
    <w:rsid w:val="00E554F2"/>
    <w:rsid w:val="00E650BC"/>
    <w:rsid w:val="00E67305"/>
    <w:rsid w:val="00E70FB2"/>
    <w:rsid w:val="00E73E7B"/>
    <w:rsid w:val="00E75167"/>
    <w:rsid w:val="00E760C2"/>
    <w:rsid w:val="00E923E0"/>
    <w:rsid w:val="00EB0B3A"/>
    <w:rsid w:val="00EB4547"/>
    <w:rsid w:val="00ED4517"/>
    <w:rsid w:val="00EE0C5A"/>
    <w:rsid w:val="00EE2F0A"/>
    <w:rsid w:val="00EF6AF0"/>
    <w:rsid w:val="00F0761E"/>
    <w:rsid w:val="00F37FD2"/>
    <w:rsid w:val="00F40A47"/>
    <w:rsid w:val="00F40D47"/>
    <w:rsid w:val="00F439DE"/>
    <w:rsid w:val="00F45078"/>
    <w:rsid w:val="00F808CE"/>
    <w:rsid w:val="00F90657"/>
    <w:rsid w:val="00F97633"/>
    <w:rsid w:val="00FA705F"/>
    <w:rsid w:val="00FA7D21"/>
    <w:rsid w:val="00FB127A"/>
    <w:rsid w:val="00FD3411"/>
    <w:rsid w:val="00FD5401"/>
    <w:rsid w:val="00FF119D"/>
    <w:rsid w:val="00FF1CEF"/>
    <w:rsid w:val="04019EDF"/>
    <w:rsid w:val="042088B8"/>
    <w:rsid w:val="04E0F43A"/>
    <w:rsid w:val="0681EF9A"/>
    <w:rsid w:val="06B99C2E"/>
    <w:rsid w:val="06F577A2"/>
    <w:rsid w:val="07296590"/>
    <w:rsid w:val="086CCE84"/>
    <w:rsid w:val="097F487F"/>
    <w:rsid w:val="09D6B3CD"/>
    <w:rsid w:val="0B275B89"/>
    <w:rsid w:val="0CA870F1"/>
    <w:rsid w:val="0D59C213"/>
    <w:rsid w:val="0DA9B015"/>
    <w:rsid w:val="0E937719"/>
    <w:rsid w:val="0F02E767"/>
    <w:rsid w:val="0F347775"/>
    <w:rsid w:val="12F53134"/>
    <w:rsid w:val="12F99D7D"/>
    <w:rsid w:val="1615E03B"/>
    <w:rsid w:val="16349743"/>
    <w:rsid w:val="17D3CC3B"/>
    <w:rsid w:val="19C98D08"/>
    <w:rsid w:val="1C06E00D"/>
    <w:rsid w:val="1E1B4C4F"/>
    <w:rsid w:val="1E9B9D65"/>
    <w:rsid w:val="20494015"/>
    <w:rsid w:val="21068469"/>
    <w:rsid w:val="23691A3B"/>
    <w:rsid w:val="24BDC89E"/>
    <w:rsid w:val="26504AB3"/>
    <w:rsid w:val="268631DA"/>
    <w:rsid w:val="29ECC85C"/>
    <w:rsid w:val="2A6BD457"/>
    <w:rsid w:val="2B1E2C30"/>
    <w:rsid w:val="2E1A5720"/>
    <w:rsid w:val="2E488392"/>
    <w:rsid w:val="2F3C4685"/>
    <w:rsid w:val="308C3A23"/>
    <w:rsid w:val="32615CBD"/>
    <w:rsid w:val="332A085E"/>
    <w:rsid w:val="3331C313"/>
    <w:rsid w:val="36F8E05E"/>
    <w:rsid w:val="390E227C"/>
    <w:rsid w:val="3967F642"/>
    <w:rsid w:val="3BF38D87"/>
    <w:rsid w:val="3EA830D7"/>
    <w:rsid w:val="3F12D035"/>
    <w:rsid w:val="406FD0C5"/>
    <w:rsid w:val="408A8BBE"/>
    <w:rsid w:val="42717A2C"/>
    <w:rsid w:val="42E866CB"/>
    <w:rsid w:val="4364683E"/>
    <w:rsid w:val="4374E45F"/>
    <w:rsid w:val="43E6D8D0"/>
    <w:rsid w:val="4787EA00"/>
    <w:rsid w:val="4BBB076F"/>
    <w:rsid w:val="4C3D3A98"/>
    <w:rsid w:val="4D404024"/>
    <w:rsid w:val="4D918454"/>
    <w:rsid w:val="4E76CDFC"/>
    <w:rsid w:val="51244F0A"/>
    <w:rsid w:val="51A2217D"/>
    <w:rsid w:val="51C78C83"/>
    <w:rsid w:val="5229B17B"/>
    <w:rsid w:val="528BFEAC"/>
    <w:rsid w:val="55ACCA59"/>
    <w:rsid w:val="571ADD87"/>
    <w:rsid w:val="58200E22"/>
    <w:rsid w:val="58B57FF3"/>
    <w:rsid w:val="5AA92049"/>
    <w:rsid w:val="5AD61333"/>
    <w:rsid w:val="5CDA89B9"/>
    <w:rsid w:val="5E02D212"/>
    <w:rsid w:val="6266152C"/>
    <w:rsid w:val="6303D82F"/>
    <w:rsid w:val="63BAC38F"/>
    <w:rsid w:val="64C64D1E"/>
    <w:rsid w:val="677C14C6"/>
    <w:rsid w:val="68F30701"/>
    <w:rsid w:val="69DE825F"/>
    <w:rsid w:val="69FBA5D0"/>
    <w:rsid w:val="6AB424C7"/>
    <w:rsid w:val="6CD81C9E"/>
    <w:rsid w:val="6CD97E5F"/>
    <w:rsid w:val="6E1DEE0A"/>
    <w:rsid w:val="6E6541DE"/>
    <w:rsid w:val="73F592AE"/>
    <w:rsid w:val="74F8983A"/>
    <w:rsid w:val="765A8660"/>
    <w:rsid w:val="765EB445"/>
    <w:rsid w:val="770D4D78"/>
    <w:rsid w:val="7A226DF4"/>
    <w:rsid w:val="7A260461"/>
    <w:rsid w:val="7BD508D2"/>
    <w:rsid w:val="7E513545"/>
    <w:rsid w:val="7F9C58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B677"/>
  <w15:chartTrackingRefBased/>
  <w15:docId w15:val="{E0C7E0B7-E38B-46CD-97FB-CDCAE162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96C"/>
    <w:rPr>
      <w:rFonts w:eastAsiaTheme="majorEastAsia" w:cstheme="majorBidi"/>
      <w:color w:val="272727" w:themeColor="text1" w:themeTint="D8"/>
    </w:rPr>
  </w:style>
  <w:style w:type="paragraph" w:styleId="Title">
    <w:name w:val="Title"/>
    <w:basedOn w:val="Normal"/>
    <w:next w:val="Normal"/>
    <w:link w:val="TitleChar"/>
    <w:uiPriority w:val="10"/>
    <w:qFormat/>
    <w:rsid w:val="006E2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96C"/>
    <w:pPr>
      <w:spacing w:before="160"/>
      <w:jc w:val="center"/>
    </w:pPr>
    <w:rPr>
      <w:i/>
      <w:iCs/>
      <w:color w:val="404040" w:themeColor="text1" w:themeTint="BF"/>
    </w:rPr>
  </w:style>
  <w:style w:type="character" w:customStyle="1" w:styleId="QuoteChar">
    <w:name w:val="Quote Char"/>
    <w:basedOn w:val="DefaultParagraphFont"/>
    <w:link w:val="Quote"/>
    <w:uiPriority w:val="29"/>
    <w:rsid w:val="006E296C"/>
    <w:rPr>
      <w:i/>
      <w:iCs/>
      <w:color w:val="404040" w:themeColor="text1" w:themeTint="BF"/>
    </w:rPr>
  </w:style>
  <w:style w:type="paragraph" w:styleId="ListParagraph">
    <w:name w:val="List Paragraph"/>
    <w:basedOn w:val="Normal"/>
    <w:uiPriority w:val="34"/>
    <w:qFormat/>
    <w:rsid w:val="006E296C"/>
    <w:pPr>
      <w:ind w:left="720"/>
      <w:contextualSpacing/>
    </w:pPr>
  </w:style>
  <w:style w:type="character" w:styleId="IntenseEmphasis">
    <w:name w:val="Intense Emphasis"/>
    <w:basedOn w:val="DefaultParagraphFont"/>
    <w:uiPriority w:val="21"/>
    <w:qFormat/>
    <w:rsid w:val="006E296C"/>
    <w:rPr>
      <w:i/>
      <w:iCs/>
      <w:color w:val="0F4761" w:themeColor="accent1" w:themeShade="BF"/>
    </w:rPr>
  </w:style>
  <w:style w:type="paragraph" w:styleId="IntenseQuote">
    <w:name w:val="Intense Quote"/>
    <w:basedOn w:val="Normal"/>
    <w:next w:val="Normal"/>
    <w:link w:val="IntenseQuoteChar"/>
    <w:uiPriority w:val="30"/>
    <w:qFormat/>
    <w:rsid w:val="006E2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96C"/>
    <w:rPr>
      <w:i/>
      <w:iCs/>
      <w:color w:val="0F4761" w:themeColor="accent1" w:themeShade="BF"/>
    </w:rPr>
  </w:style>
  <w:style w:type="character" w:styleId="IntenseReference">
    <w:name w:val="Intense Reference"/>
    <w:basedOn w:val="DefaultParagraphFont"/>
    <w:uiPriority w:val="32"/>
    <w:qFormat/>
    <w:rsid w:val="006E296C"/>
    <w:rPr>
      <w:b/>
      <w:bCs/>
      <w:smallCaps/>
      <w:color w:val="0F4761" w:themeColor="accent1" w:themeShade="BF"/>
      <w:spacing w:val="5"/>
    </w:rPr>
  </w:style>
  <w:style w:type="paragraph" w:styleId="NormalWeb">
    <w:name w:val="Normal (Web)"/>
    <w:basedOn w:val="Normal"/>
    <w:uiPriority w:val="99"/>
    <w:semiHidden/>
    <w:unhideWhenUsed/>
    <w:rsid w:val="00AF419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AF419D"/>
  </w:style>
  <w:style w:type="character" w:styleId="Hyperlink">
    <w:name w:val="Hyperlink"/>
    <w:basedOn w:val="DefaultParagraphFont"/>
    <w:uiPriority w:val="99"/>
    <w:unhideWhenUsed/>
    <w:rsid w:val="00C03CD7"/>
    <w:rPr>
      <w:color w:val="467886" w:themeColor="hyperlink"/>
      <w:u w:val="single"/>
    </w:rPr>
  </w:style>
  <w:style w:type="character" w:styleId="UnresolvedMention">
    <w:name w:val="Unresolved Mention"/>
    <w:basedOn w:val="DefaultParagraphFont"/>
    <w:uiPriority w:val="99"/>
    <w:semiHidden/>
    <w:unhideWhenUsed/>
    <w:rsid w:val="00C03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50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2139/ssrn.2085340"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2139/ssrn.2435323"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6ea14eb-bc1a-417e-ad81-e31cfafbe5f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6C580C9AAEDC4FB7D80EDAEDD713A8" ma:contentTypeVersion="11" ma:contentTypeDescription="Create a new document." ma:contentTypeScope="" ma:versionID="2cb8d069261efb249af33419cb516fff">
  <xsd:schema xmlns:xsd="http://www.w3.org/2001/XMLSchema" xmlns:xs="http://www.w3.org/2001/XMLSchema" xmlns:p="http://schemas.microsoft.com/office/2006/metadata/properties" xmlns:ns3="f6ea14eb-bc1a-417e-ad81-e31cfafbe5f5" xmlns:ns4="7e8d93b8-0a67-47e5-91e0-e1635e9f57e0" targetNamespace="http://schemas.microsoft.com/office/2006/metadata/properties" ma:root="true" ma:fieldsID="27f72145dcee20c1532c48e7dcd76191" ns3:_="" ns4:_="">
    <xsd:import namespace="f6ea14eb-bc1a-417e-ad81-e31cfafbe5f5"/>
    <xsd:import namespace="7e8d93b8-0a67-47e5-91e0-e1635e9f57e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4:SharedWithUsers" minOccurs="0"/>
                <xsd:element ref="ns4:SharedWithDetails" minOccurs="0"/>
                <xsd:element ref="ns4:SharingHintHash" minOccurs="0"/>
                <xsd:element ref="ns3:_activity"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ea14eb-bc1a-417e-ad81-e31cfafbe5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8d93b8-0a67-47e5-91e0-e1635e9f57e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BCBDFE-A5E5-4CD0-B917-CE939FB0D546}">
  <ds:schemaRefs>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7e8d93b8-0a67-47e5-91e0-e1635e9f57e0"/>
    <ds:schemaRef ds:uri="f6ea14eb-bc1a-417e-ad81-e31cfafbe5f5"/>
    <ds:schemaRef ds:uri="http://purl.org/dc/terms/"/>
    <ds:schemaRef ds:uri="http://www.w3.org/XML/1998/namespace"/>
    <ds:schemaRef ds:uri="http://purl.org/dc/elements/1.1/"/>
  </ds:schemaRefs>
</ds:datastoreItem>
</file>

<file path=customXml/itemProps2.xml><?xml version="1.0" encoding="utf-8"?>
<ds:datastoreItem xmlns:ds="http://schemas.openxmlformats.org/officeDocument/2006/customXml" ds:itemID="{D5F090EE-E7D5-45F4-A45E-331DF5002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ea14eb-bc1a-417e-ad81-e31cfafbe5f5"/>
    <ds:schemaRef ds:uri="7e8d93b8-0a67-47e5-91e0-e1635e9f57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B71A0C-DE74-4024-B000-AF90E56B4300}">
  <ds:schemaRefs>
    <ds:schemaRef ds:uri="http://schemas.microsoft.com/sharepoint/v3/contenttype/forms"/>
  </ds:schemaRefs>
</ds:datastoreItem>
</file>

<file path=docMetadata/LabelInfo.xml><?xml version="1.0" encoding="utf-8"?>
<clbl:labelList xmlns:clbl="http://schemas.microsoft.com/office/2020/mipLabelMetadata">
  <clbl:label id="{809929af-2d25-45bf-9837-089eb9cfbd01}" enabled="0" method="" siteId="{809929af-2d25-45bf-9837-089eb9cfbd01}"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2521</Words>
  <Characters>14372</Characters>
  <Application>Microsoft Office Word</Application>
  <DocSecurity>0</DocSecurity>
  <Lines>119</Lines>
  <Paragraphs>33</Paragraphs>
  <ScaleCrop>false</ScaleCrop>
  <Company/>
  <LinksUpToDate>false</LinksUpToDate>
  <CharactersWithSpaces>16860</CharactersWithSpaces>
  <SharedDoc>false</SharedDoc>
  <HLinks>
    <vt:vector size="12" baseType="variant">
      <vt:variant>
        <vt:i4>458828</vt:i4>
      </vt:variant>
      <vt:variant>
        <vt:i4>3</vt:i4>
      </vt:variant>
      <vt:variant>
        <vt:i4>0</vt:i4>
      </vt:variant>
      <vt:variant>
        <vt:i4>5</vt:i4>
      </vt:variant>
      <vt:variant>
        <vt:lpwstr>https://doi.org/10.2139/ssrn.2085340</vt:lpwstr>
      </vt:variant>
      <vt:variant>
        <vt:lpwstr/>
      </vt:variant>
      <vt:variant>
        <vt:i4>983118</vt:i4>
      </vt:variant>
      <vt:variant>
        <vt:i4>0</vt:i4>
      </vt:variant>
      <vt:variant>
        <vt:i4>0</vt:i4>
      </vt:variant>
      <vt:variant>
        <vt:i4>5</vt:i4>
      </vt:variant>
      <vt:variant>
        <vt:lpwstr>https://doi.org/10.2139/ssrn.2435323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Dimaria, Brady (Student)</dc:creator>
  <cp:keywords/>
  <dc:description/>
  <cp:lastModifiedBy>Guest User</cp:lastModifiedBy>
  <cp:revision>2</cp:revision>
  <dcterms:created xsi:type="dcterms:W3CDTF">2024-05-25T06:50:00Z</dcterms:created>
  <dcterms:modified xsi:type="dcterms:W3CDTF">2024-05-25T06:50:00Z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0x010100546C580C9AAEDC4FB7D80EDAEDD713A8</vt:lpwstr>
  </property>
</Properties>
</file>