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5BF80A" w14:textId="04E8A235" w:rsidR="008D0C94" w:rsidRPr="00D40BA5" w:rsidRDefault="008D0C94" w:rsidP="008D0C94">
      <w:pPr>
        <w:jc w:val="center"/>
        <w:rPr>
          <w:rFonts w:ascii="Palatino Linotype" w:hAnsi="Palatino Linotype"/>
          <w:b/>
          <w:bCs/>
          <w:sz w:val="72"/>
          <w:szCs w:val="72"/>
          <w:u w:val="single"/>
        </w:rPr>
      </w:pPr>
      <w:r w:rsidRPr="00D40BA5">
        <w:rPr>
          <w:rFonts w:ascii="Palatino Linotype" w:hAnsi="Palatino Linotype"/>
          <w:b/>
          <w:bCs/>
          <w:sz w:val="72"/>
          <w:szCs w:val="72"/>
          <w:u w:val="single"/>
        </w:rPr>
        <w:t>Ty Miller</w:t>
      </w:r>
    </w:p>
    <w:p w14:paraId="494B0E92" w14:textId="4D9E5D7A" w:rsidR="008D0C94" w:rsidRPr="00D40BA5" w:rsidRDefault="008D0C94" w:rsidP="008D0C94">
      <w:pPr>
        <w:jc w:val="center"/>
        <w:rPr>
          <w:rFonts w:ascii="Palatino Linotype" w:hAnsi="Palatino Linotype"/>
          <w:b/>
          <w:bCs/>
          <w:sz w:val="36"/>
          <w:szCs w:val="36"/>
        </w:rPr>
      </w:pPr>
      <w:r w:rsidRPr="00D40BA5">
        <w:rPr>
          <w:rFonts w:ascii="Palatino Linotype" w:hAnsi="Palatino Linotype"/>
          <w:b/>
          <w:bCs/>
          <w:sz w:val="36"/>
          <w:szCs w:val="36"/>
        </w:rPr>
        <w:t>Equities: An Exploration of Sector Rotation</w:t>
      </w:r>
      <w:r w:rsidR="00D1016E" w:rsidRPr="00D40BA5">
        <w:rPr>
          <w:rFonts w:ascii="Palatino Linotype" w:hAnsi="Palatino Linotype"/>
          <w:b/>
          <w:bCs/>
          <w:sz w:val="36"/>
          <w:szCs w:val="36"/>
        </w:rPr>
        <w:t>: S&amp;P 500</w:t>
      </w:r>
    </w:p>
    <w:p w14:paraId="04A494EC" w14:textId="02FA3750" w:rsidR="008D0C94" w:rsidRPr="00D40BA5" w:rsidRDefault="00D40BA5" w:rsidP="00D1016E">
      <w:pPr>
        <w:jc w:val="center"/>
        <w:rPr>
          <w:rFonts w:ascii="Palatino Linotype" w:hAnsi="Palatino Linotype"/>
          <w:b/>
          <w:bCs/>
          <w:sz w:val="36"/>
          <w:szCs w:val="36"/>
        </w:rPr>
      </w:pPr>
      <w:r w:rsidRPr="00D40BA5">
        <w:rPr>
          <w:rFonts w:ascii="Palatino Linotype" w:hAnsi="Palatino Linotype"/>
          <w:b/>
          <w:bCs/>
          <w:sz w:val="36"/>
          <w:szCs w:val="36"/>
        </w:rPr>
        <w:t>Finance 496 – Prof. Frenzel</w:t>
      </w:r>
    </w:p>
    <w:p w14:paraId="2EB5DF80" w14:textId="77777777" w:rsidR="008D0C94" w:rsidRDefault="008D0C94" w:rsidP="00AB288C">
      <w:pPr>
        <w:jc w:val="both"/>
        <w:rPr>
          <w:rFonts w:ascii="Palatino Linotype" w:hAnsi="Palatino Linotype"/>
          <w:b/>
          <w:bCs/>
        </w:rPr>
      </w:pPr>
    </w:p>
    <w:p w14:paraId="3966067F" w14:textId="77777777" w:rsidR="00D40BA5" w:rsidRDefault="00D40BA5" w:rsidP="00AB288C">
      <w:pPr>
        <w:jc w:val="both"/>
        <w:rPr>
          <w:rFonts w:ascii="Palatino Linotype" w:hAnsi="Palatino Linotype"/>
          <w:b/>
          <w:bCs/>
        </w:rPr>
      </w:pPr>
    </w:p>
    <w:p w14:paraId="0B37C3B7" w14:textId="77777777" w:rsidR="00D40BA5" w:rsidRDefault="00D40BA5" w:rsidP="00AB288C">
      <w:pPr>
        <w:jc w:val="both"/>
        <w:rPr>
          <w:rFonts w:ascii="Palatino Linotype" w:hAnsi="Palatino Linotype"/>
          <w:b/>
          <w:bCs/>
        </w:rPr>
      </w:pPr>
    </w:p>
    <w:p w14:paraId="66656C6C" w14:textId="77777777" w:rsidR="00D40BA5" w:rsidRDefault="00D40BA5" w:rsidP="00AB288C">
      <w:pPr>
        <w:jc w:val="both"/>
        <w:rPr>
          <w:rFonts w:ascii="Palatino Linotype" w:hAnsi="Palatino Linotype"/>
          <w:b/>
          <w:bCs/>
        </w:rPr>
      </w:pPr>
    </w:p>
    <w:p w14:paraId="1F5DEF6B" w14:textId="77777777" w:rsidR="00D40BA5" w:rsidRDefault="00D40BA5" w:rsidP="00AB288C">
      <w:pPr>
        <w:jc w:val="both"/>
        <w:rPr>
          <w:rFonts w:ascii="Palatino Linotype" w:hAnsi="Palatino Linotype"/>
          <w:b/>
          <w:bCs/>
        </w:rPr>
      </w:pPr>
    </w:p>
    <w:p w14:paraId="08C4E009" w14:textId="77777777" w:rsidR="00D40BA5" w:rsidRDefault="00D40BA5" w:rsidP="00AB288C">
      <w:pPr>
        <w:jc w:val="both"/>
        <w:rPr>
          <w:rFonts w:ascii="Palatino Linotype" w:hAnsi="Palatino Linotype"/>
          <w:b/>
          <w:bCs/>
        </w:rPr>
      </w:pPr>
    </w:p>
    <w:p w14:paraId="610B2C8A" w14:textId="77777777" w:rsidR="00D40BA5" w:rsidRDefault="00D40BA5" w:rsidP="00AB288C">
      <w:pPr>
        <w:jc w:val="both"/>
        <w:rPr>
          <w:rFonts w:ascii="Palatino Linotype" w:hAnsi="Palatino Linotype"/>
          <w:b/>
          <w:bCs/>
        </w:rPr>
      </w:pPr>
    </w:p>
    <w:p w14:paraId="38E1D424" w14:textId="77777777" w:rsidR="00D40BA5" w:rsidRDefault="00D40BA5" w:rsidP="00AB288C">
      <w:pPr>
        <w:jc w:val="both"/>
        <w:rPr>
          <w:rFonts w:ascii="Palatino Linotype" w:hAnsi="Palatino Linotype"/>
          <w:b/>
          <w:bCs/>
        </w:rPr>
      </w:pPr>
    </w:p>
    <w:p w14:paraId="365EF175" w14:textId="77777777" w:rsidR="00D40BA5" w:rsidRDefault="00D40BA5" w:rsidP="00AB288C">
      <w:pPr>
        <w:jc w:val="both"/>
        <w:rPr>
          <w:rFonts w:ascii="Palatino Linotype" w:hAnsi="Palatino Linotype"/>
          <w:b/>
          <w:bCs/>
        </w:rPr>
      </w:pPr>
    </w:p>
    <w:p w14:paraId="0B95BDC5" w14:textId="77777777" w:rsidR="00D40BA5" w:rsidRDefault="00D40BA5" w:rsidP="00AB288C">
      <w:pPr>
        <w:jc w:val="both"/>
        <w:rPr>
          <w:rFonts w:ascii="Palatino Linotype" w:hAnsi="Palatino Linotype"/>
          <w:b/>
          <w:bCs/>
        </w:rPr>
      </w:pPr>
    </w:p>
    <w:p w14:paraId="66D007D6" w14:textId="77777777" w:rsidR="00D40BA5" w:rsidRDefault="00D40BA5" w:rsidP="00AB288C">
      <w:pPr>
        <w:jc w:val="both"/>
        <w:rPr>
          <w:rFonts w:ascii="Palatino Linotype" w:hAnsi="Palatino Linotype"/>
          <w:b/>
          <w:bCs/>
        </w:rPr>
      </w:pPr>
    </w:p>
    <w:p w14:paraId="31940D3A" w14:textId="77777777" w:rsidR="00D40BA5" w:rsidRDefault="00D40BA5" w:rsidP="00AB288C">
      <w:pPr>
        <w:jc w:val="both"/>
        <w:rPr>
          <w:rFonts w:ascii="Palatino Linotype" w:hAnsi="Palatino Linotype"/>
          <w:b/>
          <w:bCs/>
        </w:rPr>
      </w:pPr>
    </w:p>
    <w:p w14:paraId="105C2A15" w14:textId="77777777" w:rsidR="00D40BA5" w:rsidRDefault="00D40BA5" w:rsidP="00AB288C">
      <w:pPr>
        <w:jc w:val="both"/>
        <w:rPr>
          <w:rFonts w:ascii="Palatino Linotype" w:hAnsi="Palatino Linotype"/>
          <w:b/>
          <w:bCs/>
        </w:rPr>
      </w:pPr>
    </w:p>
    <w:p w14:paraId="02CC7378" w14:textId="77777777" w:rsidR="00D40BA5" w:rsidRDefault="00D40BA5" w:rsidP="00AB288C">
      <w:pPr>
        <w:jc w:val="both"/>
        <w:rPr>
          <w:rFonts w:ascii="Palatino Linotype" w:hAnsi="Palatino Linotype"/>
          <w:b/>
          <w:bCs/>
        </w:rPr>
      </w:pPr>
    </w:p>
    <w:p w14:paraId="7265F02D" w14:textId="77777777" w:rsidR="00D40BA5" w:rsidRDefault="00D40BA5" w:rsidP="00AB288C">
      <w:pPr>
        <w:jc w:val="both"/>
        <w:rPr>
          <w:rFonts w:ascii="Palatino Linotype" w:hAnsi="Palatino Linotype"/>
          <w:b/>
          <w:bCs/>
        </w:rPr>
      </w:pPr>
    </w:p>
    <w:p w14:paraId="04D51C4D" w14:textId="77777777" w:rsidR="00D40BA5" w:rsidRDefault="00D40BA5" w:rsidP="00AB288C">
      <w:pPr>
        <w:jc w:val="both"/>
        <w:rPr>
          <w:rFonts w:ascii="Palatino Linotype" w:hAnsi="Palatino Linotype"/>
          <w:b/>
          <w:bCs/>
        </w:rPr>
      </w:pPr>
    </w:p>
    <w:p w14:paraId="0EEB2A1F" w14:textId="77777777" w:rsidR="00D40BA5" w:rsidRDefault="00D40BA5" w:rsidP="00AB288C">
      <w:pPr>
        <w:jc w:val="both"/>
        <w:rPr>
          <w:rFonts w:ascii="Palatino Linotype" w:hAnsi="Palatino Linotype"/>
          <w:b/>
          <w:bCs/>
        </w:rPr>
      </w:pPr>
    </w:p>
    <w:p w14:paraId="2C26AD9D" w14:textId="77777777" w:rsidR="00D40BA5" w:rsidRDefault="00D40BA5" w:rsidP="00AB288C">
      <w:pPr>
        <w:jc w:val="both"/>
        <w:rPr>
          <w:rFonts w:ascii="Palatino Linotype" w:hAnsi="Palatino Linotype"/>
          <w:b/>
          <w:bCs/>
        </w:rPr>
      </w:pPr>
    </w:p>
    <w:p w14:paraId="6EFB11D7" w14:textId="77777777" w:rsidR="00D40BA5" w:rsidRDefault="00D40BA5" w:rsidP="00AB288C">
      <w:pPr>
        <w:jc w:val="both"/>
        <w:rPr>
          <w:rFonts w:ascii="Palatino Linotype" w:hAnsi="Palatino Linotype"/>
          <w:b/>
          <w:bCs/>
        </w:rPr>
      </w:pPr>
    </w:p>
    <w:p w14:paraId="38BF6985" w14:textId="0DCC3ADE" w:rsidR="00C31BA0" w:rsidRPr="008D0C94" w:rsidRDefault="00C31BA0" w:rsidP="00AB288C">
      <w:pPr>
        <w:jc w:val="both"/>
        <w:rPr>
          <w:rFonts w:ascii="Palatino Linotype" w:hAnsi="Palatino Linotype"/>
          <w:b/>
          <w:bCs/>
        </w:rPr>
      </w:pPr>
      <w:r w:rsidRPr="008D0C94">
        <w:rPr>
          <w:rFonts w:ascii="Palatino Linotype" w:hAnsi="Palatino Linotype"/>
          <w:b/>
          <w:bCs/>
        </w:rPr>
        <w:lastRenderedPageBreak/>
        <w:t xml:space="preserve">Part 1: </w:t>
      </w:r>
      <w:r w:rsidR="00DF10AD" w:rsidRPr="008D0C94">
        <w:rPr>
          <w:rFonts w:ascii="Palatino Linotype" w:hAnsi="Palatino Linotype"/>
          <w:b/>
          <w:bCs/>
        </w:rPr>
        <w:t xml:space="preserve">Overview and </w:t>
      </w:r>
      <w:r w:rsidRPr="008D0C94">
        <w:rPr>
          <w:rFonts w:ascii="Palatino Linotype" w:hAnsi="Palatino Linotype"/>
          <w:b/>
          <w:bCs/>
        </w:rPr>
        <w:t>Executive Summary</w:t>
      </w:r>
    </w:p>
    <w:p w14:paraId="55F92491" w14:textId="29F04BF0" w:rsidR="009C0D21" w:rsidRPr="008D0C94" w:rsidRDefault="009C0D21" w:rsidP="008D0C94">
      <w:pPr>
        <w:pStyle w:val="paragraph"/>
        <w:spacing w:before="0" w:beforeAutospacing="0" w:after="0" w:afterAutospacing="0"/>
        <w:ind w:firstLine="720"/>
        <w:jc w:val="both"/>
        <w:textAlignment w:val="baseline"/>
        <w:rPr>
          <w:rStyle w:val="eop"/>
          <w:rFonts w:ascii="Palatino Linotype" w:eastAsiaTheme="majorEastAsia" w:hAnsi="Palatino Linotype" w:cs="Segoe UI"/>
        </w:rPr>
      </w:pPr>
      <w:r w:rsidRPr="008D0C94">
        <w:rPr>
          <w:rStyle w:val="normaltextrun"/>
          <w:rFonts w:ascii="Palatino Linotype" w:eastAsiaTheme="majorEastAsia" w:hAnsi="Palatino Linotype" w:cs="Segoe UI"/>
        </w:rPr>
        <w:t>Miller Capital</w:t>
      </w:r>
      <w:r w:rsidR="002E3AAD" w:rsidRPr="008D0C94">
        <w:rPr>
          <w:rStyle w:val="normaltextrun"/>
          <w:rFonts w:ascii="Palatino Linotype" w:eastAsiaTheme="majorEastAsia" w:hAnsi="Palatino Linotype" w:cs="Segoe UI"/>
        </w:rPr>
        <w:t xml:space="preserve"> (“The Firm”)</w:t>
      </w:r>
      <w:r w:rsidRPr="008D0C94">
        <w:rPr>
          <w:rStyle w:val="normaltextrun"/>
          <w:rFonts w:ascii="Palatino Linotype" w:eastAsiaTheme="majorEastAsia" w:hAnsi="Palatino Linotype" w:cs="Segoe UI"/>
        </w:rPr>
        <w:t xml:space="preserve"> is in the process of developing a sector rotation model based on a 100% allocation to 10 sectors of the S&amp;P 500 Index, excluding Real Estate. </w:t>
      </w:r>
      <w:r w:rsidR="00965D5F" w:rsidRPr="008D0C94">
        <w:rPr>
          <w:rStyle w:val="normaltextrun"/>
          <w:rFonts w:ascii="Palatino Linotype" w:eastAsiaTheme="majorEastAsia" w:hAnsi="Palatino Linotype" w:cs="Segoe UI"/>
        </w:rPr>
        <w:t>M</w:t>
      </w:r>
      <w:r w:rsidRPr="008D0C94">
        <w:rPr>
          <w:rStyle w:val="normaltextrun"/>
          <w:rFonts w:ascii="Palatino Linotype" w:eastAsiaTheme="majorEastAsia" w:hAnsi="Palatino Linotype" w:cs="Segoe UI"/>
        </w:rPr>
        <w:t>any investors and firms have a diversified portfolio including U.S. Equities</w:t>
      </w:r>
      <w:r w:rsidR="00965D5F" w:rsidRPr="008D0C94">
        <w:rPr>
          <w:rStyle w:val="normaltextrun"/>
          <w:rFonts w:ascii="Palatino Linotype" w:eastAsiaTheme="majorEastAsia" w:hAnsi="Palatino Linotype" w:cs="Segoe UI"/>
        </w:rPr>
        <w:t>, or stocks,</w:t>
      </w:r>
      <w:r w:rsidRPr="008D0C94">
        <w:rPr>
          <w:rStyle w:val="normaltextrun"/>
          <w:rFonts w:ascii="Palatino Linotype" w:eastAsiaTheme="majorEastAsia" w:hAnsi="Palatino Linotype" w:cs="Segoe UI"/>
        </w:rPr>
        <w:t xml:space="preserve"> (the reason for utilizing the 10 S&amp;P 500 indexes), Fixed Income</w:t>
      </w:r>
      <w:r w:rsidR="00532B58" w:rsidRPr="008D0C94">
        <w:rPr>
          <w:rStyle w:val="normaltextrun"/>
          <w:rFonts w:ascii="Palatino Linotype" w:eastAsiaTheme="majorEastAsia" w:hAnsi="Palatino Linotype" w:cs="Segoe UI"/>
        </w:rPr>
        <w:t xml:space="preserve"> (Bonds)</w:t>
      </w:r>
      <w:r w:rsidRPr="008D0C94">
        <w:rPr>
          <w:rStyle w:val="normaltextrun"/>
          <w:rFonts w:ascii="Palatino Linotype" w:eastAsiaTheme="majorEastAsia" w:hAnsi="Palatino Linotype" w:cs="Segoe UI"/>
        </w:rPr>
        <w:t>, Real Estate and International Equities</w:t>
      </w:r>
      <w:r w:rsidR="00965D5F" w:rsidRPr="008D0C94">
        <w:rPr>
          <w:rStyle w:val="normaltextrun"/>
          <w:rFonts w:ascii="Palatino Linotype" w:eastAsiaTheme="majorEastAsia" w:hAnsi="Palatino Linotype" w:cs="Segoe UI"/>
        </w:rPr>
        <w:t>. However,</w:t>
      </w:r>
      <w:r w:rsidRPr="008D0C94">
        <w:rPr>
          <w:rStyle w:val="normaltextrun"/>
          <w:rFonts w:ascii="Palatino Linotype" w:eastAsiaTheme="majorEastAsia" w:hAnsi="Palatino Linotype" w:cs="Segoe UI"/>
        </w:rPr>
        <w:t xml:space="preserve"> most of the portfolio of Miller Capital is allocated to U.S. Equities which is the specialty of the firm. The portfolio is based on a long-only equity strategy, which aims to optimize Sharpe Ratio based on Sector Allocation within the S&amp;P 500 indexes. </w:t>
      </w:r>
      <w:r w:rsidRPr="008D0C94">
        <w:rPr>
          <w:rStyle w:val="eop"/>
          <w:rFonts w:ascii="Palatino Linotype" w:eastAsiaTheme="majorEastAsia" w:hAnsi="Palatino Linotype" w:cs="Segoe UI"/>
        </w:rPr>
        <w:t> </w:t>
      </w:r>
    </w:p>
    <w:p w14:paraId="04811A15" w14:textId="77777777" w:rsidR="00DF10AD" w:rsidRPr="008D0C94" w:rsidRDefault="00DF10AD" w:rsidP="00AB288C">
      <w:pPr>
        <w:pStyle w:val="paragraph"/>
        <w:spacing w:before="0" w:beforeAutospacing="0" w:after="0" w:afterAutospacing="0"/>
        <w:jc w:val="both"/>
        <w:textAlignment w:val="baseline"/>
        <w:rPr>
          <w:rStyle w:val="eop"/>
          <w:rFonts w:ascii="Palatino Linotype" w:eastAsiaTheme="majorEastAsia" w:hAnsi="Palatino Linotype" w:cs="Segoe UI"/>
        </w:rPr>
      </w:pPr>
    </w:p>
    <w:p w14:paraId="78B08ADF" w14:textId="3F31B385" w:rsidR="006C5813" w:rsidRPr="008D0C94" w:rsidRDefault="00B93DFF" w:rsidP="008D0C94">
      <w:pPr>
        <w:pStyle w:val="paragraph"/>
        <w:spacing w:before="0" w:beforeAutospacing="0" w:after="0" w:afterAutospacing="0"/>
        <w:ind w:firstLine="720"/>
        <w:jc w:val="both"/>
        <w:textAlignment w:val="baseline"/>
        <w:rPr>
          <w:rStyle w:val="eop"/>
          <w:rFonts w:ascii="Palatino Linotype" w:eastAsiaTheme="majorEastAsia" w:hAnsi="Palatino Linotype" w:cs="Segoe UI"/>
        </w:rPr>
      </w:pPr>
      <w:r w:rsidRPr="008D0C94">
        <w:rPr>
          <w:rStyle w:val="eop"/>
          <w:rFonts w:ascii="Palatino Linotype" w:eastAsiaTheme="majorEastAsia" w:hAnsi="Palatino Linotype" w:cs="Segoe UI"/>
        </w:rPr>
        <w:t xml:space="preserve">For those less experienced with the investment environment, a brief overview: </w:t>
      </w:r>
      <w:r w:rsidR="00245E2B" w:rsidRPr="008D0C94">
        <w:rPr>
          <w:rStyle w:val="eop"/>
          <w:rFonts w:ascii="Palatino Linotype" w:eastAsiaTheme="majorEastAsia" w:hAnsi="Palatino Linotype" w:cs="Segoe UI"/>
        </w:rPr>
        <w:t xml:space="preserve">the S&amp;P 500 is a broad stock market index that tracks the top 500 most valuable publicly traded companies </w:t>
      </w:r>
      <w:r w:rsidR="005E5405" w:rsidRPr="008D0C94">
        <w:rPr>
          <w:rStyle w:val="eop"/>
          <w:rFonts w:ascii="Palatino Linotype" w:eastAsiaTheme="majorEastAsia" w:hAnsi="Palatino Linotype" w:cs="Segoe UI"/>
        </w:rPr>
        <w:t xml:space="preserve">listed on United States exchanges. </w:t>
      </w:r>
      <w:r w:rsidR="0048144C" w:rsidRPr="008D0C94">
        <w:rPr>
          <w:rStyle w:val="eop"/>
          <w:rFonts w:ascii="Palatino Linotype" w:eastAsiaTheme="majorEastAsia" w:hAnsi="Palatino Linotype" w:cs="Segoe UI"/>
        </w:rPr>
        <w:t xml:space="preserve">Within this index, companies are categorized into </w:t>
      </w:r>
      <w:r w:rsidR="00561CAC" w:rsidRPr="008D0C94">
        <w:rPr>
          <w:rStyle w:val="eop"/>
          <w:rFonts w:ascii="Palatino Linotype" w:eastAsiaTheme="majorEastAsia" w:hAnsi="Palatino Linotype" w:cs="Segoe UI"/>
        </w:rPr>
        <w:t xml:space="preserve">different “sectors,” which silo companies </w:t>
      </w:r>
      <w:r w:rsidR="00EC0996" w:rsidRPr="008D0C94">
        <w:rPr>
          <w:rStyle w:val="eop"/>
          <w:rFonts w:ascii="Palatino Linotype" w:eastAsiaTheme="majorEastAsia" w:hAnsi="Palatino Linotype" w:cs="Segoe UI"/>
        </w:rPr>
        <w:t xml:space="preserve">into different products and services. </w:t>
      </w:r>
      <w:r w:rsidR="00920850" w:rsidRPr="008D0C94">
        <w:rPr>
          <w:rStyle w:val="normaltextrun"/>
          <w:rFonts w:ascii="Palatino Linotype" w:eastAsiaTheme="majorEastAsia" w:hAnsi="Palatino Linotype" w:cs="Segoe UI"/>
        </w:rPr>
        <w:t>Consumer Discretionary, Consumer Staples, Energy, Financials, Health Care, Industrials, Information Technology, Materials, Telecommunications and Utilities.</w:t>
      </w:r>
      <w:r w:rsidR="00765E5D" w:rsidRPr="008D0C94">
        <w:rPr>
          <w:rStyle w:val="normaltextrun"/>
          <w:rFonts w:ascii="Palatino Linotype" w:eastAsiaTheme="majorEastAsia" w:hAnsi="Palatino Linotype" w:cs="Segoe UI"/>
        </w:rPr>
        <w:t xml:space="preserve"> A famous company within the consumer staples company might be Campbell’s, the soup company. An iconic information technology company is Apple, </w:t>
      </w:r>
      <w:r w:rsidR="00290202" w:rsidRPr="008D0C94">
        <w:rPr>
          <w:rStyle w:val="normaltextrun"/>
          <w:rFonts w:ascii="Palatino Linotype" w:eastAsiaTheme="majorEastAsia" w:hAnsi="Palatino Linotype" w:cs="Segoe UI"/>
        </w:rPr>
        <w:t xml:space="preserve">a </w:t>
      </w:r>
      <w:r w:rsidR="00035C3F" w:rsidRPr="008D0C94">
        <w:rPr>
          <w:rStyle w:val="normaltextrun"/>
          <w:rFonts w:ascii="Palatino Linotype" w:eastAsiaTheme="majorEastAsia" w:hAnsi="Palatino Linotype" w:cs="Segoe UI"/>
        </w:rPr>
        <w:t>well-known</w:t>
      </w:r>
      <w:r w:rsidR="00290202" w:rsidRPr="008D0C94">
        <w:rPr>
          <w:rStyle w:val="normaltextrun"/>
          <w:rFonts w:ascii="Palatino Linotype" w:eastAsiaTheme="majorEastAsia" w:hAnsi="Palatino Linotype" w:cs="Segoe UI"/>
        </w:rPr>
        <w:t xml:space="preserve"> industrials company would be </w:t>
      </w:r>
      <w:r w:rsidR="00035C3F" w:rsidRPr="008D0C94">
        <w:rPr>
          <w:rStyle w:val="normaltextrun"/>
          <w:rFonts w:ascii="Palatino Linotype" w:eastAsiaTheme="majorEastAsia" w:hAnsi="Palatino Linotype" w:cs="Segoe UI"/>
        </w:rPr>
        <w:t>Lockheed Martin</w:t>
      </w:r>
      <w:r w:rsidR="00290202" w:rsidRPr="008D0C94">
        <w:rPr>
          <w:rStyle w:val="normaltextrun"/>
          <w:rFonts w:ascii="Palatino Linotype" w:eastAsiaTheme="majorEastAsia" w:hAnsi="Palatino Linotype" w:cs="Segoe UI"/>
        </w:rPr>
        <w:t xml:space="preserve">. And so on and so forth. </w:t>
      </w:r>
      <w:r w:rsidR="00E54762" w:rsidRPr="008D0C94">
        <w:rPr>
          <w:rStyle w:val="normaltextrun"/>
          <w:rFonts w:ascii="Palatino Linotype" w:eastAsiaTheme="majorEastAsia" w:hAnsi="Palatino Linotype" w:cs="Segoe UI"/>
        </w:rPr>
        <w:t>Other key terminology will be revisited and explained throughout</w:t>
      </w:r>
      <w:r w:rsidR="00EC2073" w:rsidRPr="008D0C94">
        <w:rPr>
          <w:rStyle w:val="normaltextrun"/>
          <w:rFonts w:ascii="Palatino Linotype" w:eastAsiaTheme="majorEastAsia" w:hAnsi="Palatino Linotype" w:cs="Segoe UI"/>
        </w:rPr>
        <w:t xml:space="preserve">. </w:t>
      </w:r>
    </w:p>
    <w:p w14:paraId="6CD98E28" w14:textId="77777777" w:rsidR="006C5813" w:rsidRPr="008D0C94" w:rsidRDefault="006C5813" w:rsidP="00AB288C">
      <w:pPr>
        <w:pStyle w:val="paragraph"/>
        <w:spacing w:before="0" w:beforeAutospacing="0" w:after="0" w:afterAutospacing="0"/>
        <w:jc w:val="both"/>
        <w:textAlignment w:val="baseline"/>
        <w:rPr>
          <w:rStyle w:val="eop"/>
          <w:rFonts w:ascii="Palatino Linotype" w:eastAsiaTheme="majorEastAsia" w:hAnsi="Palatino Linotype" w:cs="Segoe UI"/>
        </w:rPr>
      </w:pPr>
    </w:p>
    <w:p w14:paraId="634D4677" w14:textId="396101FA" w:rsidR="006C5813" w:rsidRPr="008D0C94" w:rsidRDefault="006C5813" w:rsidP="00AB288C">
      <w:pPr>
        <w:pStyle w:val="paragraph"/>
        <w:spacing w:before="0" w:beforeAutospacing="0" w:after="0" w:afterAutospacing="0"/>
        <w:jc w:val="both"/>
        <w:textAlignment w:val="baseline"/>
        <w:rPr>
          <w:rStyle w:val="eop"/>
          <w:rFonts w:ascii="Palatino Linotype" w:eastAsiaTheme="majorEastAsia" w:hAnsi="Palatino Linotype" w:cs="Segoe UI"/>
          <w:b/>
          <w:bCs/>
        </w:rPr>
      </w:pPr>
      <w:r w:rsidRPr="008D0C94">
        <w:rPr>
          <w:rStyle w:val="eop"/>
          <w:rFonts w:ascii="Palatino Linotype" w:eastAsiaTheme="majorEastAsia" w:hAnsi="Palatino Linotype" w:cs="Segoe UI"/>
          <w:b/>
          <w:bCs/>
        </w:rPr>
        <w:t xml:space="preserve">Part 2: Economic </w:t>
      </w:r>
      <w:r w:rsidR="00EC2073" w:rsidRPr="008D0C94">
        <w:rPr>
          <w:rStyle w:val="eop"/>
          <w:rFonts w:ascii="Palatino Linotype" w:eastAsiaTheme="majorEastAsia" w:hAnsi="Palatino Linotype" w:cs="Segoe UI"/>
          <w:b/>
          <w:bCs/>
        </w:rPr>
        <w:t>T</w:t>
      </w:r>
      <w:r w:rsidRPr="008D0C94">
        <w:rPr>
          <w:rStyle w:val="eop"/>
          <w:rFonts w:ascii="Palatino Linotype" w:eastAsiaTheme="majorEastAsia" w:hAnsi="Palatino Linotype" w:cs="Segoe UI"/>
          <w:b/>
          <w:bCs/>
        </w:rPr>
        <w:t>hesis and Rationale:</w:t>
      </w:r>
    </w:p>
    <w:p w14:paraId="447A2B54" w14:textId="7B59310A" w:rsidR="006C5813" w:rsidRPr="008D0C94" w:rsidRDefault="006C5813" w:rsidP="00AB288C">
      <w:pPr>
        <w:pStyle w:val="paragraph"/>
        <w:spacing w:before="0" w:beforeAutospacing="0" w:after="0" w:afterAutospacing="0"/>
        <w:jc w:val="both"/>
        <w:textAlignment w:val="baseline"/>
        <w:rPr>
          <w:rFonts w:ascii="Palatino Linotype" w:hAnsi="Palatino Linotype" w:cs="Segoe UI"/>
          <w:sz w:val="18"/>
          <w:szCs w:val="18"/>
        </w:rPr>
      </w:pPr>
    </w:p>
    <w:p w14:paraId="5FE96AFF" w14:textId="49B8DB1A" w:rsidR="00C31BA0" w:rsidRPr="008D0C94" w:rsidRDefault="002E3AAD" w:rsidP="00AB288C">
      <w:pPr>
        <w:jc w:val="both"/>
        <w:rPr>
          <w:rFonts w:ascii="Palatino Linotype" w:hAnsi="Palatino Linotype"/>
        </w:rPr>
      </w:pPr>
      <w:r w:rsidRPr="008D0C94">
        <w:rPr>
          <w:rFonts w:ascii="Palatino Linotype" w:hAnsi="Palatino Linotype"/>
        </w:rPr>
        <w:t>The firm decided to pursue a st</w:t>
      </w:r>
      <w:r w:rsidR="00DF10AD" w:rsidRPr="008D0C94">
        <w:rPr>
          <w:rFonts w:ascii="Palatino Linotype" w:hAnsi="Palatino Linotype"/>
        </w:rPr>
        <w:t>ra</w:t>
      </w:r>
      <w:r w:rsidRPr="008D0C94">
        <w:rPr>
          <w:rFonts w:ascii="Palatino Linotype" w:hAnsi="Palatino Linotype"/>
        </w:rPr>
        <w:t>tegy that inc</w:t>
      </w:r>
      <w:r w:rsidR="00DF10AD" w:rsidRPr="008D0C94">
        <w:rPr>
          <w:rFonts w:ascii="Palatino Linotype" w:hAnsi="Palatino Linotype"/>
        </w:rPr>
        <w:t>orporated for the following reasons:</w:t>
      </w:r>
    </w:p>
    <w:p w14:paraId="29B2421B" w14:textId="4463D250" w:rsidR="00DF10AD" w:rsidRPr="008D0C94" w:rsidRDefault="00DF10AD" w:rsidP="00AB288C">
      <w:pPr>
        <w:pStyle w:val="ListParagraph"/>
        <w:numPr>
          <w:ilvl w:val="0"/>
          <w:numId w:val="4"/>
        </w:numPr>
        <w:jc w:val="both"/>
        <w:rPr>
          <w:rFonts w:ascii="Palatino Linotype" w:hAnsi="Palatino Linotype"/>
        </w:rPr>
      </w:pPr>
      <w:r w:rsidRPr="008D0C94">
        <w:rPr>
          <w:rFonts w:ascii="Palatino Linotype" w:hAnsi="Palatino Linotype"/>
        </w:rPr>
        <w:t xml:space="preserve">An investment strategy of sector rotation allows </w:t>
      </w:r>
      <w:r w:rsidR="00A01E7E" w:rsidRPr="008D0C94">
        <w:rPr>
          <w:rFonts w:ascii="Palatino Linotype" w:hAnsi="Palatino Linotype"/>
        </w:rPr>
        <w:t xml:space="preserve">an investor to capitalize on </w:t>
      </w:r>
      <w:r w:rsidR="00A5118B" w:rsidRPr="008D0C94">
        <w:rPr>
          <w:rFonts w:ascii="Palatino Linotype" w:hAnsi="Palatino Linotype"/>
        </w:rPr>
        <w:t>changes in the business cycle, dependent on a certain economic indicator(s), or on the indi</w:t>
      </w:r>
      <w:r w:rsidR="008B2A88" w:rsidRPr="008D0C94">
        <w:rPr>
          <w:rFonts w:ascii="Palatino Linotype" w:hAnsi="Palatino Linotype"/>
        </w:rPr>
        <w:t xml:space="preserve">vidual investor’s market analysis. If the investor, or the model they are utilizing </w:t>
      </w:r>
      <w:r w:rsidR="00E27F16" w:rsidRPr="008D0C94">
        <w:rPr>
          <w:rFonts w:ascii="Palatino Linotype" w:hAnsi="Palatino Linotype"/>
        </w:rPr>
        <w:t xml:space="preserve">indicates that a time of economic growth is coming, then they will allocate more of their funds, or capital, to sectors and industries that </w:t>
      </w:r>
      <w:r w:rsidR="005D49F2" w:rsidRPr="008D0C94">
        <w:rPr>
          <w:rFonts w:ascii="Palatino Linotype" w:hAnsi="Palatino Linotype"/>
        </w:rPr>
        <w:t xml:space="preserve">perform very well in times of economic growth. Conversely, if an investor and/or model predicts a time of economic contraction or recession, they may recommend or decide to allocate more capital to sectors and industries that outperform the broader market in times of economic stress. </w:t>
      </w:r>
    </w:p>
    <w:p w14:paraId="690B1125" w14:textId="50711A62" w:rsidR="006253F4" w:rsidRPr="008D0C94" w:rsidRDefault="007D1EDE" w:rsidP="00035C3F">
      <w:pPr>
        <w:pStyle w:val="ListParagraph"/>
        <w:numPr>
          <w:ilvl w:val="0"/>
          <w:numId w:val="4"/>
        </w:numPr>
        <w:jc w:val="both"/>
        <w:rPr>
          <w:rFonts w:ascii="Palatino Linotype" w:hAnsi="Palatino Linotype"/>
        </w:rPr>
      </w:pPr>
      <w:r w:rsidRPr="008D0C94">
        <w:rPr>
          <w:rFonts w:ascii="Palatino Linotype" w:hAnsi="Palatino Linotype"/>
        </w:rPr>
        <w:t xml:space="preserve">Using sector rotation, the investor minimizes what is known as unique risks, or risks inherent to an individual company. By investing in a sector or industry at large, </w:t>
      </w:r>
      <w:r w:rsidR="002930EF" w:rsidRPr="008D0C94">
        <w:rPr>
          <w:rFonts w:ascii="Palatino Linotype" w:hAnsi="Palatino Linotype"/>
        </w:rPr>
        <w:t xml:space="preserve">the investor almost automatically achieves some level of diversification of their assets, </w:t>
      </w:r>
      <w:r w:rsidR="00920F09" w:rsidRPr="008D0C94">
        <w:rPr>
          <w:rFonts w:ascii="Palatino Linotype" w:hAnsi="Palatino Linotype"/>
        </w:rPr>
        <w:t xml:space="preserve">and while may not be able to achieve returns </w:t>
      </w:r>
      <w:r w:rsidR="00920F09" w:rsidRPr="008D0C94">
        <w:rPr>
          <w:rFonts w:ascii="Palatino Linotype" w:hAnsi="Palatino Linotype"/>
        </w:rPr>
        <w:lastRenderedPageBreak/>
        <w:t>e</w:t>
      </w:r>
      <w:r w:rsidR="00B40614" w:rsidRPr="008D0C94">
        <w:rPr>
          <w:rFonts w:ascii="Palatino Linotype" w:hAnsi="Palatino Linotype"/>
        </w:rPr>
        <w:t xml:space="preserve">qual to those of high-flying companies in the sector, they will mitigate potential downsides from underperforming companies </w:t>
      </w:r>
      <w:r w:rsidR="006253F4" w:rsidRPr="008D0C94">
        <w:rPr>
          <w:rFonts w:ascii="Palatino Linotype" w:hAnsi="Palatino Linotype"/>
        </w:rPr>
        <w:t>simultaneously</w:t>
      </w:r>
      <w:r w:rsidR="00B40614" w:rsidRPr="008D0C94">
        <w:rPr>
          <w:rFonts w:ascii="Palatino Linotype" w:hAnsi="Palatino Linotype"/>
        </w:rPr>
        <w:t xml:space="preserve">, and </w:t>
      </w:r>
      <w:r w:rsidR="006253F4" w:rsidRPr="008D0C94">
        <w:rPr>
          <w:rFonts w:ascii="Palatino Linotype" w:hAnsi="Palatino Linotype"/>
        </w:rPr>
        <w:t xml:space="preserve">assuming their model is right, allocating more capital to a sector that will be outperforming the broader market anyway. </w:t>
      </w:r>
    </w:p>
    <w:p w14:paraId="0819336E" w14:textId="0224AE20" w:rsidR="00DF10AD" w:rsidRPr="008D0C94" w:rsidRDefault="00B34440" w:rsidP="00AB288C">
      <w:pPr>
        <w:pStyle w:val="ListParagraph"/>
        <w:numPr>
          <w:ilvl w:val="0"/>
          <w:numId w:val="4"/>
        </w:numPr>
        <w:jc w:val="both"/>
        <w:rPr>
          <w:rFonts w:ascii="Palatino Linotype" w:hAnsi="Palatino Linotype"/>
        </w:rPr>
      </w:pPr>
      <w:r w:rsidRPr="008D0C94">
        <w:rPr>
          <w:rFonts w:ascii="Palatino Linotype" w:hAnsi="Palatino Linotype"/>
        </w:rPr>
        <w:t xml:space="preserve">A sector rotation strategy can serve to generalize the performance of an overall sector. </w:t>
      </w:r>
      <w:r w:rsidR="00D04D84" w:rsidRPr="008D0C94">
        <w:rPr>
          <w:rFonts w:ascii="Palatino Linotype" w:hAnsi="Palatino Linotype"/>
        </w:rPr>
        <w:t>Like</w:t>
      </w:r>
      <w:r w:rsidRPr="008D0C94">
        <w:rPr>
          <w:rFonts w:ascii="Palatino Linotype" w:hAnsi="Palatino Linotype"/>
        </w:rPr>
        <w:t xml:space="preserve"> </w:t>
      </w:r>
      <w:r w:rsidR="006925C4" w:rsidRPr="008D0C94">
        <w:rPr>
          <w:rFonts w:ascii="Palatino Linotype" w:hAnsi="Palatino Linotype"/>
        </w:rPr>
        <w:t xml:space="preserve">the second economic thesis point above, </w:t>
      </w:r>
      <w:r w:rsidR="00266D2A" w:rsidRPr="008D0C94">
        <w:rPr>
          <w:rFonts w:ascii="Palatino Linotype" w:hAnsi="Palatino Linotype"/>
        </w:rPr>
        <w:t xml:space="preserve">sector rotation is beneficial in that the economics and economic drivers for companies in the same sector are usually very similar, if not the same. </w:t>
      </w:r>
      <w:r w:rsidR="00CD5D80" w:rsidRPr="008D0C94">
        <w:rPr>
          <w:rFonts w:ascii="Palatino Linotype" w:hAnsi="Palatino Linotype"/>
        </w:rPr>
        <w:t xml:space="preserve">It drives home the idea that, while possible, it is very difficult for a company to succeed if the underlying economic principles upon which their business model is founded are not </w:t>
      </w:r>
      <w:r w:rsidR="00D04D84" w:rsidRPr="008D0C94">
        <w:rPr>
          <w:rFonts w:ascii="Palatino Linotype" w:hAnsi="Palatino Linotype"/>
        </w:rPr>
        <w:t xml:space="preserve">favorable. </w:t>
      </w:r>
      <w:r w:rsidR="00C61B5E" w:rsidRPr="008D0C94">
        <w:rPr>
          <w:rFonts w:ascii="Palatino Linotype" w:hAnsi="Palatino Linotype"/>
        </w:rPr>
        <w:t xml:space="preserve">To simplify, assume that tomorrow that Apple </w:t>
      </w:r>
      <w:r w:rsidR="0025733C" w:rsidRPr="008D0C94">
        <w:rPr>
          <w:rFonts w:ascii="Palatino Linotype" w:hAnsi="Palatino Linotype"/>
        </w:rPr>
        <w:t xml:space="preserve">released the greatest iPhone ever made. While undoubtedly impressive, </w:t>
      </w:r>
      <w:r w:rsidR="00C61497" w:rsidRPr="008D0C94">
        <w:rPr>
          <w:rFonts w:ascii="Palatino Linotype" w:hAnsi="Palatino Linotype"/>
        </w:rPr>
        <w:t xml:space="preserve">if the underlying financial conditions of Apple’s </w:t>
      </w:r>
      <w:r w:rsidR="001F1772" w:rsidRPr="008D0C94">
        <w:rPr>
          <w:rFonts w:ascii="Palatino Linotype" w:hAnsi="Palatino Linotype"/>
        </w:rPr>
        <w:t>consumers</w:t>
      </w:r>
      <w:r w:rsidR="00C61497" w:rsidRPr="008D0C94">
        <w:rPr>
          <w:rFonts w:ascii="Palatino Linotype" w:hAnsi="Palatino Linotype"/>
        </w:rPr>
        <w:t xml:space="preserve"> were unfavorable,</w:t>
      </w:r>
      <w:r w:rsidR="00680478" w:rsidRPr="008D0C94">
        <w:rPr>
          <w:rFonts w:ascii="Palatino Linotype" w:hAnsi="Palatino Linotype"/>
        </w:rPr>
        <w:t xml:space="preserve"> circumstances change. Pr</w:t>
      </w:r>
      <w:r w:rsidR="001F1772" w:rsidRPr="008D0C94">
        <w:rPr>
          <w:rFonts w:ascii="Palatino Linotype" w:hAnsi="Palatino Linotype"/>
        </w:rPr>
        <w:t>inciples</w:t>
      </w:r>
      <w:r w:rsidR="00C61497" w:rsidRPr="008D0C94">
        <w:rPr>
          <w:rFonts w:ascii="Palatino Linotype" w:hAnsi="Palatino Linotype"/>
        </w:rPr>
        <w:t xml:space="preserve"> such as Maslow’s Hierarchy of needs would suggest that </w:t>
      </w:r>
      <w:r w:rsidR="00597657" w:rsidRPr="008D0C94">
        <w:rPr>
          <w:rFonts w:ascii="Palatino Linotype" w:hAnsi="Palatino Linotype"/>
        </w:rPr>
        <w:t>customers</w:t>
      </w:r>
      <w:r w:rsidR="001F1772" w:rsidRPr="008D0C94">
        <w:rPr>
          <w:rFonts w:ascii="Palatino Linotype" w:hAnsi="Palatino Linotype"/>
        </w:rPr>
        <w:t xml:space="preserve"> would forego the iPhone</w:t>
      </w:r>
      <w:r w:rsidR="00680478" w:rsidRPr="008D0C94">
        <w:rPr>
          <w:rFonts w:ascii="Palatino Linotype" w:hAnsi="Palatino Linotype"/>
        </w:rPr>
        <w:t>. Alternativel</w:t>
      </w:r>
      <w:r w:rsidR="00597657" w:rsidRPr="008D0C94">
        <w:rPr>
          <w:rFonts w:ascii="Palatino Linotype" w:hAnsi="Palatino Linotype"/>
        </w:rPr>
        <w:t>y, they would</w:t>
      </w:r>
      <w:r w:rsidR="001F1772" w:rsidRPr="008D0C94">
        <w:rPr>
          <w:rFonts w:ascii="Palatino Linotype" w:hAnsi="Palatino Linotype"/>
        </w:rPr>
        <w:t xml:space="preserve"> focus on essentials like nutrition and shelter, and delay the gratification of the latest and greatest invention until a later time. </w:t>
      </w:r>
    </w:p>
    <w:p w14:paraId="35488F53" w14:textId="1FE9F179" w:rsidR="00DE18ED" w:rsidRPr="008D0C94" w:rsidRDefault="003C4235" w:rsidP="00DE18ED">
      <w:pPr>
        <w:ind w:firstLine="720"/>
        <w:jc w:val="both"/>
        <w:rPr>
          <w:rFonts w:ascii="Palatino Linotype" w:hAnsi="Palatino Linotype"/>
        </w:rPr>
      </w:pPr>
      <w:r w:rsidRPr="008D0C94">
        <w:rPr>
          <w:rFonts w:ascii="Palatino Linotype" w:hAnsi="Palatino Linotype"/>
        </w:rPr>
        <w:t xml:space="preserve">Well-established financial services firms like </w:t>
      </w:r>
      <w:r w:rsidR="00597657" w:rsidRPr="008D0C94">
        <w:rPr>
          <w:rFonts w:ascii="Palatino Linotype" w:hAnsi="Palatino Linotype"/>
        </w:rPr>
        <w:t xml:space="preserve">Fidelity, </w:t>
      </w:r>
      <w:r w:rsidR="001F7780" w:rsidRPr="008D0C94">
        <w:rPr>
          <w:rFonts w:ascii="Palatino Linotype" w:hAnsi="Palatino Linotype"/>
        </w:rPr>
        <w:t xml:space="preserve">DWS (formerly </w:t>
      </w:r>
      <w:r w:rsidR="00021C41" w:rsidRPr="008D0C94">
        <w:rPr>
          <w:rFonts w:ascii="Palatino Linotype" w:hAnsi="Palatino Linotype"/>
        </w:rPr>
        <w:t xml:space="preserve">of </w:t>
      </w:r>
      <w:r w:rsidR="001F7780" w:rsidRPr="008D0C94">
        <w:rPr>
          <w:rFonts w:ascii="Palatino Linotype" w:hAnsi="Palatino Linotype"/>
        </w:rPr>
        <w:t>Deutsche</w:t>
      </w:r>
      <w:r w:rsidR="00021C41" w:rsidRPr="008D0C94">
        <w:rPr>
          <w:rFonts w:ascii="Palatino Linotype" w:hAnsi="Palatino Linotype"/>
        </w:rPr>
        <w:t xml:space="preserve"> Bank</w:t>
      </w:r>
      <w:r w:rsidR="001F7780" w:rsidRPr="008D0C94">
        <w:rPr>
          <w:rFonts w:ascii="Palatino Linotype" w:hAnsi="Palatino Linotype"/>
        </w:rPr>
        <w:t>)</w:t>
      </w:r>
      <w:r w:rsidR="00021C41" w:rsidRPr="008D0C94">
        <w:rPr>
          <w:rFonts w:ascii="Palatino Linotype" w:hAnsi="Palatino Linotype"/>
        </w:rPr>
        <w:t>, Fisher Investments and</w:t>
      </w:r>
      <w:r w:rsidR="00597657" w:rsidRPr="008D0C94">
        <w:rPr>
          <w:rFonts w:ascii="Palatino Linotype" w:hAnsi="Palatino Linotype"/>
        </w:rPr>
        <w:t xml:space="preserve"> State Street Global Advisors</w:t>
      </w:r>
      <w:r w:rsidRPr="008D0C94">
        <w:rPr>
          <w:rFonts w:ascii="Palatino Linotype" w:hAnsi="Palatino Linotype"/>
        </w:rPr>
        <w:t xml:space="preserve"> have all published research supporting the ideas of a sector rotation strategy or model. </w:t>
      </w:r>
      <w:r w:rsidR="00F90B73" w:rsidRPr="008D0C94">
        <w:rPr>
          <w:rFonts w:ascii="Palatino Linotype" w:hAnsi="Palatino Linotype"/>
        </w:rPr>
        <w:t xml:space="preserve">Fidelity discusses the cyclicality of the economy in their research, while </w:t>
      </w:r>
      <w:r w:rsidR="00537EF4" w:rsidRPr="008D0C94">
        <w:rPr>
          <w:rFonts w:ascii="Palatino Linotype" w:hAnsi="Palatino Linotype"/>
        </w:rPr>
        <w:t xml:space="preserve">DWS focuses more so on searching for value within the sectors. </w:t>
      </w:r>
      <w:r w:rsidR="00EE0CC8" w:rsidRPr="008D0C94">
        <w:rPr>
          <w:rFonts w:ascii="Palatino Linotype" w:hAnsi="Palatino Linotype"/>
        </w:rPr>
        <w:t>Fisher provides an in-depth analysis of each sector a</w:t>
      </w:r>
      <w:r w:rsidR="001F7780" w:rsidRPr="008D0C94">
        <w:rPr>
          <w:rFonts w:ascii="Palatino Linotype" w:hAnsi="Palatino Linotype"/>
        </w:rPr>
        <w:t>s well as</w:t>
      </w:r>
      <w:r w:rsidR="00EE0CC8" w:rsidRPr="008D0C94">
        <w:rPr>
          <w:rFonts w:ascii="Palatino Linotype" w:hAnsi="Palatino Linotype"/>
        </w:rPr>
        <w:t xml:space="preserve"> </w:t>
      </w:r>
      <w:r w:rsidR="001F7780" w:rsidRPr="008D0C94">
        <w:rPr>
          <w:rFonts w:ascii="Palatino Linotype" w:hAnsi="Palatino Linotype"/>
        </w:rPr>
        <w:t>specific economic indicators</w:t>
      </w:r>
      <w:r w:rsidR="00EE0CC8" w:rsidRPr="008D0C94">
        <w:rPr>
          <w:rFonts w:ascii="Palatino Linotype" w:hAnsi="Palatino Linotype"/>
        </w:rPr>
        <w:t xml:space="preserve"> for each of them. </w:t>
      </w:r>
      <w:r w:rsidR="00F37250" w:rsidRPr="008D0C94">
        <w:rPr>
          <w:rFonts w:ascii="Palatino Linotype" w:hAnsi="Palatino Linotype"/>
        </w:rPr>
        <w:t xml:space="preserve">State Street is unique in that they </w:t>
      </w:r>
      <w:r w:rsidR="001F7780" w:rsidRPr="008D0C94">
        <w:rPr>
          <w:rFonts w:ascii="Palatino Linotype" w:hAnsi="Palatino Linotype"/>
        </w:rPr>
        <w:t xml:space="preserve">offer a suite of Exchange Traded Funds (ETFs) available to retail investors.  </w:t>
      </w:r>
      <w:r w:rsidR="00051FE9" w:rsidRPr="008D0C94">
        <w:rPr>
          <w:rFonts w:ascii="Palatino Linotype" w:hAnsi="Palatino Linotype"/>
        </w:rPr>
        <w:t xml:space="preserve">Direct links to the sources can be found </w:t>
      </w:r>
      <w:r w:rsidR="00DE18ED" w:rsidRPr="008D0C94">
        <w:rPr>
          <w:rFonts w:ascii="Palatino Linotype" w:hAnsi="Palatino Linotype"/>
        </w:rPr>
        <w:t xml:space="preserve">below in the references. </w:t>
      </w:r>
    </w:p>
    <w:p w14:paraId="6B7D0848" w14:textId="77777777" w:rsidR="00DE18ED" w:rsidRPr="008D0C94" w:rsidRDefault="00DE18ED" w:rsidP="00DE18ED">
      <w:pPr>
        <w:jc w:val="both"/>
        <w:rPr>
          <w:rFonts w:ascii="Palatino Linotype" w:hAnsi="Palatino Linotype"/>
        </w:rPr>
      </w:pPr>
    </w:p>
    <w:p w14:paraId="19BEEA95" w14:textId="7D97B5EE" w:rsidR="00DE18ED" w:rsidRPr="008D0C94" w:rsidRDefault="00DE18ED" w:rsidP="00DE18ED">
      <w:pPr>
        <w:jc w:val="both"/>
        <w:rPr>
          <w:rFonts w:ascii="Palatino Linotype" w:hAnsi="Palatino Linotype"/>
          <w:b/>
          <w:bCs/>
        </w:rPr>
      </w:pPr>
      <w:r w:rsidRPr="008D0C94">
        <w:rPr>
          <w:rFonts w:ascii="Palatino Linotype" w:hAnsi="Palatino Linotype"/>
          <w:b/>
          <w:bCs/>
        </w:rPr>
        <w:t>Part 3: Sector Breakdown</w:t>
      </w:r>
    </w:p>
    <w:p w14:paraId="5D58244C" w14:textId="43845940" w:rsidR="00DE18ED" w:rsidRPr="008D0C94" w:rsidRDefault="00446199" w:rsidP="00DE18ED">
      <w:pPr>
        <w:jc w:val="both"/>
        <w:rPr>
          <w:rFonts w:ascii="Palatino Linotype" w:hAnsi="Palatino Linotype"/>
        </w:rPr>
      </w:pPr>
      <w:r w:rsidRPr="008D0C94">
        <w:rPr>
          <w:rFonts w:ascii="Palatino Linotype" w:hAnsi="Palatino Linotype"/>
        </w:rPr>
        <w:tab/>
        <w:t xml:space="preserve">For the rotation between sectors, Miller Capital will provide a brief overview of each sector, and why they are classified as such in the ensuing tests. </w:t>
      </w:r>
      <w:r w:rsidR="003667D2" w:rsidRPr="008D0C94">
        <w:rPr>
          <w:rFonts w:ascii="Palatino Linotype" w:hAnsi="Palatino Linotype"/>
        </w:rPr>
        <w:t xml:space="preserve">All definitions are derived from those at Fisher Investments. </w:t>
      </w:r>
      <w:r w:rsidR="00BC0E8C" w:rsidRPr="008D0C94">
        <w:rPr>
          <w:rFonts w:ascii="Palatino Linotype" w:hAnsi="Palatino Linotype"/>
        </w:rPr>
        <w:t>Sectors are classified as either growt</w:t>
      </w:r>
      <w:r w:rsidR="00681279" w:rsidRPr="008D0C94">
        <w:rPr>
          <w:rFonts w:ascii="Palatino Linotype" w:hAnsi="Palatino Linotype"/>
        </w:rPr>
        <w:t>h or defensive. Growth sectors (in a nutshell) tend to outperform when the</w:t>
      </w:r>
      <w:r w:rsidR="00526F98" w:rsidRPr="008D0C94">
        <w:rPr>
          <w:rFonts w:ascii="Palatino Linotype" w:hAnsi="Palatino Linotype"/>
        </w:rPr>
        <w:t xml:space="preserve">re are positive underlying economic fundamentals, whereas defensive, or countercyclical stocks, </w:t>
      </w:r>
      <w:r w:rsidR="00526F98" w:rsidRPr="008D0C94">
        <w:rPr>
          <w:rFonts w:ascii="Palatino Linotype" w:hAnsi="Palatino Linotype"/>
        </w:rPr>
        <w:lastRenderedPageBreak/>
        <w:t xml:space="preserve">outperform the market when the opposite is true (hence the names defensive and countercyclical). </w:t>
      </w:r>
    </w:p>
    <w:p w14:paraId="76A8866D" w14:textId="34D9D126" w:rsidR="00446199" w:rsidRPr="008D0C94" w:rsidRDefault="003667D2" w:rsidP="00BA50CE">
      <w:pPr>
        <w:tabs>
          <w:tab w:val="center" w:pos="4680"/>
        </w:tabs>
        <w:jc w:val="both"/>
        <w:rPr>
          <w:rFonts w:ascii="Palatino Linotype" w:hAnsi="Palatino Linotype"/>
        </w:rPr>
      </w:pPr>
      <w:r w:rsidRPr="008D0C94">
        <w:rPr>
          <w:rFonts w:ascii="Palatino Linotype" w:hAnsi="Palatino Linotype"/>
          <w:b/>
          <w:bCs/>
        </w:rPr>
        <w:t>Consumer</w:t>
      </w:r>
      <w:r w:rsidRPr="008D0C94">
        <w:rPr>
          <w:rFonts w:ascii="Palatino Linotype" w:hAnsi="Palatino Linotype"/>
        </w:rPr>
        <w:t xml:space="preserve"> </w:t>
      </w:r>
      <w:r w:rsidRPr="008D0C94">
        <w:rPr>
          <w:rFonts w:ascii="Palatino Linotype" w:hAnsi="Palatino Linotype"/>
          <w:b/>
          <w:bCs/>
        </w:rPr>
        <w:t>Discretionary</w:t>
      </w:r>
      <w:r w:rsidRPr="008D0C94">
        <w:rPr>
          <w:rFonts w:ascii="Palatino Linotype" w:hAnsi="Palatino Linotype"/>
        </w:rPr>
        <w:t xml:space="preserve">: </w:t>
      </w:r>
      <w:r w:rsidR="00AE2BBF" w:rsidRPr="008D0C94">
        <w:rPr>
          <w:rFonts w:ascii="Palatino Linotype" w:hAnsi="Palatino Linotype"/>
        </w:rPr>
        <w:t xml:space="preserve">Products and Services within this sector </w:t>
      </w:r>
      <w:r w:rsidR="00787B6D" w:rsidRPr="008D0C94">
        <w:rPr>
          <w:rFonts w:ascii="Palatino Linotype" w:hAnsi="Palatino Linotype"/>
        </w:rPr>
        <w:t xml:space="preserve">are usually catered directly to the end user, and are economically elastic, to an extent. This may include subsectors like retail, jewelry, </w:t>
      </w:r>
      <w:r w:rsidR="009A3583" w:rsidRPr="008D0C94">
        <w:rPr>
          <w:rFonts w:ascii="Palatino Linotype" w:hAnsi="Palatino Linotype"/>
        </w:rPr>
        <w:t xml:space="preserve">and </w:t>
      </w:r>
      <w:r w:rsidR="00BC0E8C" w:rsidRPr="008D0C94">
        <w:rPr>
          <w:rFonts w:ascii="Palatino Linotype" w:hAnsi="Palatino Linotype"/>
        </w:rPr>
        <w:t xml:space="preserve">durable goods, like cars and refrigerators. </w:t>
      </w:r>
      <w:r w:rsidR="00787B6D" w:rsidRPr="008D0C94">
        <w:rPr>
          <w:rFonts w:ascii="Palatino Linotype" w:hAnsi="Palatino Linotype"/>
        </w:rPr>
        <w:t xml:space="preserve">Historical performance of this sector </w:t>
      </w:r>
      <w:r w:rsidR="00BC0E8C" w:rsidRPr="008D0C94">
        <w:rPr>
          <w:rFonts w:ascii="Palatino Linotype" w:hAnsi="Palatino Linotype"/>
        </w:rPr>
        <w:t xml:space="preserve">is highly levered to economic growth and spending, which is why this sector is classified as a </w:t>
      </w:r>
      <w:r w:rsidR="00BC0E8C" w:rsidRPr="008D0C94">
        <w:rPr>
          <w:rFonts w:ascii="Palatino Linotype" w:hAnsi="Palatino Linotype"/>
          <w:b/>
          <w:bCs/>
        </w:rPr>
        <w:t>growth</w:t>
      </w:r>
      <w:r w:rsidR="00BC0E8C" w:rsidRPr="008D0C94">
        <w:rPr>
          <w:rFonts w:ascii="Palatino Linotype" w:hAnsi="Palatino Linotype"/>
        </w:rPr>
        <w:t xml:space="preserve"> sector. </w:t>
      </w:r>
    </w:p>
    <w:p w14:paraId="68E3B7C6" w14:textId="1436DCA3" w:rsidR="00526F98" w:rsidRPr="008D0C94" w:rsidRDefault="00526F98" w:rsidP="00BA50CE">
      <w:pPr>
        <w:tabs>
          <w:tab w:val="center" w:pos="4680"/>
        </w:tabs>
        <w:jc w:val="both"/>
        <w:rPr>
          <w:rFonts w:ascii="Palatino Linotype" w:hAnsi="Palatino Linotype"/>
        </w:rPr>
      </w:pPr>
      <w:r w:rsidRPr="008D0C94">
        <w:rPr>
          <w:rFonts w:ascii="Palatino Linotype" w:hAnsi="Palatino Linotype"/>
          <w:b/>
          <w:bCs/>
        </w:rPr>
        <w:t>Consumer</w:t>
      </w:r>
      <w:r w:rsidRPr="008D0C94">
        <w:rPr>
          <w:rFonts w:ascii="Palatino Linotype" w:hAnsi="Palatino Linotype"/>
        </w:rPr>
        <w:t xml:space="preserve"> </w:t>
      </w:r>
      <w:r w:rsidRPr="008D0C94">
        <w:rPr>
          <w:rFonts w:ascii="Palatino Linotype" w:hAnsi="Palatino Linotype"/>
          <w:b/>
          <w:bCs/>
        </w:rPr>
        <w:t>Staples</w:t>
      </w:r>
      <w:r w:rsidRPr="008D0C94">
        <w:rPr>
          <w:rFonts w:ascii="Palatino Linotype" w:hAnsi="Palatino Linotype"/>
        </w:rPr>
        <w:t xml:space="preserve">: Staples are goods used by the end consumer that are considered more inelastic in nature (think household paper products, </w:t>
      </w:r>
      <w:r w:rsidR="003B1485" w:rsidRPr="008D0C94">
        <w:rPr>
          <w:rFonts w:ascii="Palatino Linotype" w:hAnsi="Palatino Linotype"/>
        </w:rPr>
        <w:t xml:space="preserve">frozen foods, </w:t>
      </w:r>
      <w:r w:rsidR="00324234" w:rsidRPr="008D0C94">
        <w:rPr>
          <w:rFonts w:ascii="Palatino Linotype" w:hAnsi="Palatino Linotype"/>
        </w:rPr>
        <w:t xml:space="preserve">etc. Because of their inherent inelasticity, </w:t>
      </w:r>
      <w:r w:rsidR="00F4459E" w:rsidRPr="008D0C94">
        <w:rPr>
          <w:rFonts w:ascii="Palatino Linotype" w:hAnsi="Palatino Linotype"/>
        </w:rPr>
        <w:t xml:space="preserve">and overall relative economic stability, consumer staples are classified as a </w:t>
      </w:r>
      <w:r w:rsidR="00F4459E" w:rsidRPr="008D0C94">
        <w:rPr>
          <w:rFonts w:ascii="Palatino Linotype" w:hAnsi="Palatino Linotype"/>
          <w:b/>
          <w:bCs/>
        </w:rPr>
        <w:t>defensive</w:t>
      </w:r>
      <w:r w:rsidR="00F4459E" w:rsidRPr="008D0C94">
        <w:rPr>
          <w:rFonts w:ascii="Palatino Linotype" w:hAnsi="Palatino Linotype"/>
        </w:rPr>
        <w:t xml:space="preserve"> sector. </w:t>
      </w:r>
    </w:p>
    <w:p w14:paraId="7F8C20D4" w14:textId="0C59F99F" w:rsidR="00F4459E" w:rsidRPr="008D0C94" w:rsidRDefault="004F51FE" w:rsidP="00BA50CE">
      <w:pPr>
        <w:tabs>
          <w:tab w:val="center" w:pos="4680"/>
        </w:tabs>
        <w:jc w:val="both"/>
        <w:rPr>
          <w:rFonts w:ascii="Palatino Linotype" w:hAnsi="Palatino Linotype"/>
        </w:rPr>
      </w:pPr>
      <w:r w:rsidRPr="008D0C94">
        <w:rPr>
          <w:rFonts w:ascii="Palatino Linotype" w:hAnsi="Palatino Linotype"/>
          <w:b/>
          <w:bCs/>
        </w:rPr>
        <w:t>Energy</w:t>
      </w:r>
      <w:r w:rsidRPr="008D0C94">
        <w:rPr>
          <w:rFonts w:ascii="Palatino Linotype" w:hAnsi="Palatino Linotype"/>
        </w:rPr>
        <w:t>: Although diversifying more recently into renewable energy</w:t>
      </w:r>
      <w:r w:rsidR="000A7170" w:rsidRPr="008D0C94">
        <w:rPr>
          <w:rFonts w:ascii="Palatino Linotype" w:hAnsi="Palatino Linotype"/>
        </w:rPr>
        <w:t xml:space="preserve"> which is more levered to economic performance, the energy sector has </w:t>
      </w:r>
      <w:r w:rsidR="007E6EF2" w:rsidRPr="008D0C94">
        <w:rPr>
          <w:rFonts w:ascii="Palatino Linotype" w:hAnsi="Palatino Linotype"/>
        </w:rPr>
        <w:t>historically</w:t>
      </w:r>
      <w:r w:rsidR="000A7170" w:rsidRPr="008D0C94">
        <w:rPr>
          <w:rFonts w:ascii="Palatino Linotype" w:hAnsi="Palatino Linotype"/>
        </w:rPr>
        <w:t xml:space="preserve"> been defined by different </w:t>
      </w:r>
      <w:r w:rsidR="007E6EF2" w:rsidRPr="008D0C94">
        <w:rPr>
          <w:rFonts w:ascii="Palatino Linotype" w:hAnsi="Palatino Linotype"/>
        </w:rPr>
        <w:t xml:space="preserve">types of oil companies, such as Exxon Mobil. </w:t>
      </w:r>
      <w:r w:rsidRPr="008D0C94">
        <w:rPr>
          <w:rFonts w:ascii="Palatino Linotype" w:hAnsi="Palatino Linotype"/>
        </w:rPr>
        <w:t xml:space="preserve"> </w:t>
      </w:r>
      <w:r w:rsidR="007E6EF2" w:rsidRPr="008D0C94">
        <w:rPr>
          <w:rFonts w:ascii="Palatino Linotype" w:hAnsi="Palatino Linotype"/>
        </w:rPr>
        <w:t xml:space="preserve">Energy is classified as a </w:t>
      </w:r>
      <w:r w:rsidR="007E6EF2" w:rsidRPr="008D0C94">
        <w:rPr>
          <w:rFonts w:ascii="Palatino Linotype" w:hAnsi="Palatino Linotype"/>
          <w:b/>
          <w:bCs/>
        </w:rPr>
        <w:t>defensive</w:t>
      </w:r>
      <w:r w:rsidR="007E6EF2" w:rsidRPr="008D0C94">
        <w:rPr>
          <w:rFonts w:ascii="Palatino Linotype" w:hAnsi="Palatino Linotype"/>
        </w:rPr>
        <w:t xml:space="preserve"> sector in this </w:t>
      </w:r>
      <w:r w:rsidR="00150714" w:rsidRPr="008D0C94">
        <w:rPr>
          <w:rFonts w:ascii="Palatino Linotype" w:hAnsi="Palatino Linotype"/>
        </w:rPr>
        <w:t xml:space="preserve">research, as it is not broadly correlated to market movements, more so to underlying commodity prices. However, </w:t>
      </w:r>
      <w:r w:rsidR="00E60853" w:rsidRPr="008D0C94">
        <w:rPr>
          <w:rFonts w:ascii="Palatino Linotype" w:hAnsi="Palatino Linotype"/>
        </w:rPr>
        <w:t>this is a gross generalization, and means that the designation of this sector as defensive is a bi</w:t>
      </w:r>
      <w:r w:rsidR="002650EC" w:rsidRPr="008D0C94">
        <w:rPr>
          <w:rFonts w:ascii="Palatino Linotype" w:hAnsi="Palatino Linotype"/>
        </w:rPr>
        <w:t xml:space="preserve">t </w:t>
      </w:r>
      <w:r w:rsidR="00E60853" w:rsidRPr="008D0C94">
        <w:rPr>
          <w:rFonts w:ascii="Palatino Linotype" w:hAnsi="Palatino Linotype"/>
        </w:rPr>
        <w:t xml:space="preserve">of a red herring, but Miller Capital felt it more appropriate than assigning it a growth sector. </w:t>
      </w:r>
    </w:p>
    <w:p w14:paraId="30A67A18" w14:textId="648780F1" w:rsidR="002650EC" w:rsidRPr="008D0C94" w:rsidRDefault="002650EC" w:rsidP="00BA50CE">
      <w:pPr>
        <w:tabs>
          <w:tab w:val="center" w:pos="4680"/>
        </w:tabs>
        <w:jc w:val="both"/>
        <w:rPr>
          <w:rFonts w:ascii="Palatino Linotype" w:hAnsi="Palatino Linotype"/>
        </w:rPr>
      </w:pPr>
      <w:r w:rsidRPr="008D0C94">
        <w:rPr>
          <w:rFonts w:ascii="Palatino Linotype" w:hAnsi="Palatino Linotype"/>
          <w:b/>
          <w:bCs/>
        </w:rPr>
        <w:t xml:space="preserve">Financials: </w:t>
      </w:r>
      <w:r w:rsidR="00664B60" w:rsidRPr="008D0C94">
        <w:rPr>
          <w:rFonts w:ascii="Palatino Linotype" w:hAnsi="Palatino Linotype"/>
        </w:rPr>
        <w:t>Companies in this sector provide financial services, from banking and lending to financial technology and beyond</w:t>
      </w:r>
      <w:r w:rsidR="00356168" w:rsidRPr="008D0C94">
        <w:rPr>
          <w:rFonts w:ascii="Palatino Linotype" w:hAnsi="Palatino Linotype"/>
        </w:rPr>
        <w:t xml:space="preserve">. A famous example? J.P. Morgan. Wells Fargo. Bank of America. This sector is interesting, in that it </w:t>
      </w:r>
      <w:r w:rsidR="00BD57C5" w:rsidRPr="008D0C94">
        <w:rPr>
          <w:rFonts w:ascii="Palatino Linotype" w:hAnsi="Palatino Linotype"/>
        </w:rPr>
        <w:t>has a very high correlation to broader market movements</w:t>
      </w:r>
      <w:r w:rsidR="00DF0CCC" w:rsidRPr="008D0C94">
        <w:rPr>
          <w:rFonts w:ascii="Palatino Linotype" w:hAnsi="Palatino Linotype"/>
        </w:rPr>
        <w:t xml:space="preserve">. Since an increase in financial services activity </w:t>
      </w:r>
      <w:r w:rsidR="00A27E60" w:rsidRPr="008D0C94">
        <w:rPr>
          <w:rFonts w:ascii="Palatino Linotype" w:hAnsi="Palatino Linotype"/>
        </w:rPr>
        <w:t xml:space="preserve">can </w:t>
      </w:r>
      <w:r w:rsidR="00DF0CCC" w:rsidRPr="008D0C94">
        <w:rPr>
          <w:rFonts w:ascii="Palatino Linotype" w:hAnsi="Palatino Linotype"/>
        </w:rPr>
        <w:t xml:space="preserve">mean investors are gearing up for activity, </w:t>
      </w:r>
      <w:r w:rsidR="00A27E60" w:rsidRPr="008D0C94">
        <w:rPr>
          <w:rFonts w:ascii="Palatino Linotype" w:hAnsi="Palatino Linotype"/>
        </w:rPr>
        <w:t xml:space="preserve">frequently financial services rise and fall with </w:t>
      </w:r>
      <w:r w:rsidR="008B6F39" w:rsidRPr="008D0C94">
        <w:rPr>
          <w:rFonts w:ascii="Palatino Linotype" w:hAnsi="Palatino Linotype"/>
        </w:rPr>
        <w:t xml:space="preserve">major indexes. Because of this, the firm decided to designate it a </w:t>
      </w:r>
      <w:r w:rsidR="008B6F39" w:rsidRPr="008D0C94">
        <w:rPr>
          <w:rFonts w:ascii="Palatino Linotype" w:hAnsi="Palatino Linotype"/>
          <w:b/>
          <w:bCs/>
        </w:rPr>
        <w:t>growth</w:t>
      </w:r>
      <w:r w:rsidR="008B6F39" w:rsidRPr="008D0C94">
        <w:rPr>
          <w:rFonts w:ascii="Palatino Linotype" w:hAnsi="Palatino Linotype"/>
        </w:rPr>
        <w:t xml:space="preserve"> sector. </w:t>
      </w:r>
    </w:p>
    <w:p w14:paraId="3B13AABD" w14:textId="7C90AB63" w:rsidR="008B6F39" w:rsidRPr="008D0C94" w:rsidRDefault="008B6F39" w:rsidP="00B41C0E">
      <w:pPr>
        <w:tabs>
          <w:tab w:val="center" w:pos="4680"/>
          <w:tab w:val="left" w:pos="5205"/>
        </w:tabs>
        <w:jc w:val="both"/>
        <w:rPr>
          <w:rFonts w:ascii="Palatino Linotype" w:hAnsi="Palatino Linotype"/>
          <w:b/>
          <w:bCs/>
        </w:rPr>
      </w:pPr>
      <w:r w:rsidRPr="008D0C94">
        <w:rPr>
          <w:rFonts w:ascii="Palatino Linotype" w:hAnsi="Palatino Linotype"/>
          <w:b/>
          <w:bCs/>
        </w:rPr>
        <w:t xml:space="preserve">Health Care: </w:t>
      </w:r>
      <w:r w:rsidR="00A75301" w:rsidRPr="008D0C94">
        <w:rPr>
          <w:rFonts w:ascii="Palatino Linotype" w:hAnsi="Palatino Linotype"/>
        </w:rPr>
        <w:t xml:space="preserve">As the name implies, this sector </w:t>
      </w:r>
      <w:r w:rsidR="00B41C0E" w:rsidRPr="008D0C94">
        <w:rPr>
          <w:rFonts w:ascii="Palatino Linotype" w:hAnsi="Palatino Linotype"/>
        </w:rPr>
        <w:t xml:space="preserve">includes companies providing products and services </w:t>
      </w:r>
      <w:r w:rsidR="00D52D8B" w:rsidRPr="008D0C94">
        <w:rPr>
          <w:rFonts w:ascii="Palatino Linotype" w:hAnsi="Palatino Linotype"/>
        </w:rPr>
        <w:t xml:space="preserve">related to health care. </w:t>
      </w:r>
      <w:r w:rsidR="001F403B" w:rsidRPr="008D0C94">
        <w:rPr>
          <w:rFonts w:ascii="Palatino Linotype" w:hAnsi="Palatino Linotype"/>
        </w:rPr>
        <w:t xml:space="preserve">Since viruses and bacteria don’t really have a sense of how stock markets work, you tend to get sick irrespective </w:t>
      </w:r>
      <w:r w:rsidR="001A09E1" w:rsidRPr="008D0C94">
        <w:rPr>
          <w:rFonts w:ascii="Palatino Linotype" w:hAnsi="Palatino Linotype"/>
        </w:rPr>
        <w:t xml:space="preserve">of how much you’ve gained in your portfolio. Since the products and services are inelastic, the sector is designated as countercyclical, or </w:t>
      </w:r>
      <w:r w:rsidR="001A09E1" w:rsidRPr="008D0C94">
        <w:rPr>
          <w:rFonts w:ascii="Palatino Linotype" w:hAnsi="Palatino Linotype"/>
          <w:b/>
          <w:bCs/>
        </w:rPr>
        <w:t xml:space="preserve">defensive. </w:t>
      </w:r>
    </w:p>
    <w:p w14:paraId="478CBB93" w14:textId="13C810F2" w:rsidR="001A09E1" w:rsidRPr="008D0C94" w:rsidRDefault="00800CC8" w:rsidP="00B41C0E">
      <w:pPr>
        <w:tabs>
          <w:tab w:val="center" w:pos="4680"/>
          <w:tab w:val="left" w:pos="5205"/>
        </w:tabs>
        <w:jc w:val="both"/>
        <w:rPr>
          <w:rFonts w:ascii="Palatino Linotype" w:hAnsi="Palatino Linotype"/>
          <w:b/>
          <w:bCs/>
        </w:rPr>
      </w:pPr>
      <w:r w:rsidRPr="008D0C94">
        <w:rPr>
          <w:rFonts w:ascii="Palatino Linotype" w:hAnsi="Palatino Linotype"/>
          <w:b/>
          <w:bCs/>
        </w:rPr>
        <w:t xml:space="preserve">Industrials: </w:t>
      </w:r>
      <w:r w:rsidR="008F19C6" w:rsidRPr="008D0C94">
        <w:rPr>
          <w:rFonts w:ascii="Palatino Linotype" w:hAnsi="Palatino Linotype"/>
        </w:rPr>
        <w:t>Arguably the most diverse of the sectors, industrials encompass many different industries, mostly involved in some way with the conversion of raw materials into products</w:t>
      </w:r>
      <w:r w:rsidR="00892692" w:rsidRPr="008D0C94">
        <w:rPr>
          <w:rFonts w:ascii="Palatino Linotype" w:hAnsi="Palatino Linotype"/>
        </w:rPr>
        <w:t xml:space="preserve"> and/or services in some way. Transportation, aerospace and defense, and </w:t>
      </w:r>
      <w:r w:rsidR="00F76581" w:rsidRPr="008D0C94">
        <w:rPr>
          <w:rFonts w:ascii="Palatino Linotype" w:hAnsi="Palatino Linotype"/>
        </w:rPr>
        <w:lastRenderedPageBreak/>
        <w:t xml:space="preserve">janitorial services all fall within the industrials sector. </w:t>
      </w:r>
      <w:r w:rsidR="009932C9" w:rsidRPr="008D0C94">
        <w:rPr>
          <w:rFonts w:ascii="Palatino Linotype" w:hAnsi="Palatino Linotype"/>
        </w:rPr>
        <w:t xml:space="preserve">As mainly business to business offerings, the Industrials sector is sensitive to economic shifts, since firms tend to buy more when underlying economics are favorable. </w:t>
      </w:r>
      <w:r w:rsidR="00871974" w:rsidRPr="008D0C94">
        <w:rPr>
          <w:rFonts w:ascii="Palatino Linotype" w:hAnsi="Palatino Linotype"/>
        </w:rPr>
        <w:t xml:space="preserve">Consequently, Miller Capital assigns this as a cyclical, or </w:t>
      </w:r>
      <w:r w:rsidR="00871974" w:rsidRPr="008D0C94">
        <w:rPr>
          <w:rFonts w:ascii="Palatino Linotype" w:hAnsi="Palatino Linotype"/>
          <w:b/>
          <w:bCs/>
        </w:rPr>
        <w:t>growth</w:t>
      </w:r>
      <w:r w:rsidR="00871974" w:rsidRPr="008D0C94">
        <w:rPr>
          <w:rFonts w:ascii="Palatino Linotype" w:hAnsi="Palatino Linotype"/>
        </w:rPr>
        <w:t xml:space="preserve"> sector. </w:t>
      </w:r>
    </w:p>
    <w:p w14:paraId="29C3D2FA" w14:textId="51520A3E" w:rsidR="00DD5F4E" w:rsidRPr="008D0C94" w:rsidRDefault="00DD5F4E" w:rsidP="00B41C0E">
      <w:pPr>
        <w:tabs>
          <w:tab w:val="center" w:pos="4680"/>
          <w:tab w:val="left" w:pos="5205"/>
        </w:tabs>
        <w:jc w:val="both"/>
        <w:rPr>
          <w:rFonts w:ascii="Palatino Linotype" w:hAnsi="Palatino Linotype"/>
          <w:b/>
          <w:bCs/>
        </w:rPr>
      </w:pPr>
      <w:r w:rsidRPr="008D0C94">
        <w:rPr>
          <w:rFonts w:ascii="Palatino Linotype" w:hAnsi="Palatino Linotype"/>
          <w:b/>
          <w:bCs/>
        </w:rPr>
        <w:t xml:space="preserve">Information Technology: </w:t>
      </w:r>
      <w:r w:rsidR="00972D43" w:rsidRPr="008D0C94">
        <w:rPr>
          <w:rFonts w:ascii="Palatino Linotype" w:hAnsi="Palatino Linotype"/>
        </w:rPr>
        <w:t xml:space="preserve">The fastest growing sector in recent years, information technology represents a </w:t>
      </w:r>
      <w:r w:rsidR="00F739E6" w:rsidRPr="008D0C94">
        <w:rPr>
          <w:rFonts w:ascii="Palatino Linotype" w:hAnsi="Palatino Linotype"/>
        </w:rPr>
        <w:t>service or product that simplifies</w:t>
      </w:r>
      <w:r w:rsidR="00046458" w:rsidRPr="008D0C94">
        <w:rPr>
          <w:rFonts w:ascii="Palatino Linotype" w:hAnsi="Palatino Linotype"/>
        </w:rPr>
        <w:t xml:space="preserve"> something or another. This could be a device, a software, an attachment, </w:t>
      </w:r>
      <w:r w:rsidR="00341C64" w:rsidRPr="008D0C94">
        <w:rPr>
          <w:rFonts w:ascii="Palatino Linotype" w:hAnsi="Palatino Linotype"/>
        </w:rPr>
        <w:t xml:space="preserve">or innovation. The designation of this sector </w:t>
      </w:r>
      <w:r w:rsidR="00A868BD" w:rsidRPr="008D0C94">
        <w:rPr>
          <w:rFonts w:ascii="Palatino Linotype" w:hAnsi="Palatino Linotype"/>
        </w:rPr>
        <w:t xml:space="preserve">has already been given away a bit, hasn’t it? </w:t>
      </w:r>
      <w:r w:rsidR="009E2229" w:rsidRPr="008D0C94">
        <w:rPr>
          <w:rFonts w:ascii="Palatino Linotype" w:hAnsi="Palatino Linotype"/>
          <w:b/>
          <w:bCs/>
        </w:rPr>
        <w:t xml:space="preserve">Growth. </w:t>
      </w:r>
    </w:p>
    <w:p w14:paraId="6D572EC8" w14:textId="2B4FA6EE" w:rsidR="00871974" w:rsidRPr="008D0C94" w:rsidRDefault="00871974" w:rsidP="00B41C0E">
      <w:pPr>
        <w:tabs>
          <w:tab w:val="center" w:pos="4680"/>
          <w:tab w:val="left" w:pos="5205"/>
        </w:tabs>
        <w:jc w:val="both"/>
        <w:rPr>
          <w:rFonts w:ascii="Palatino Linotype" w:hAnsi="Palatino Linotype"/>
        </w:rPr>
      </w:pPr>
      <w:r w:rsidRPr="008D0C94">
        <w:rPr>
          <w:rFonts w:ascii="Palatino Linotype" w:hAnsi="Palatino Linotype"/>
          <w:b/>
          <w:bCs/>
        </w:rPr>
        <w:t xml:space="preserve">Materials: </w:t>
      </w:r>
      <w:r w:rsidR="00373C86" w:rsidRPr="008D0C94">
        <w:rPr>
          <w:rFonts w:ascii="Palatino Linotype" w:hAnsi="Palatino Linotype"/>
        </w:rPr>
        <w:t>The materials sector involves the</w:t>
      </w:r>
      <w:r w:rsidR="00233176" w:rsidRPr="008D0C94">
        <w:rPr>
          <w:rFonts w:ascii="Palatino Linotype" w:hAnsi="Palatino Linotype"/>
        </w:rPr>
        <w:t xml:space="preserve"> sourcing of raw materials and chemicals from the earth. This is an extremely economically sensitive industry, since </w:t>
      </w:r>
      <w:r w:rsidR="00085CBD" w:rsidRPr="008D0C94">
        <w:rPr>
          <w:rFonts w:ascii="Palatino Linotype" w:hAnsi="Palatino Linotype"/>
        </w:rPr>
        <w:t xml:space="preserve">they rely a great deal on debt to finance their very expensive operations and equipment costs. Although they have high exposure to commodity prices, </w:t>
      </w:r>
      <w:r w:rsidR="00BA0D35" w:rsidRPr="008D0C94">
        <w:rPr>
          <w:rFonts w:ascii="Palatino Linotype" w:hAnsi="Palatino Linotype"/>
        </w:rPr>
        <w:t xml:space="preserve">they are very heavily reliant on the supply and demand of their product offerings. This is assigned a </w:t>
      </w:r>
      <w:r w:rsidR="00BA0D35" w:rsidRPr="008D0C94">
        <w:rPr>
          <w:rFonts w:ascii="Palatino Linotype" w:hAnsi="Palatino Linotype"/>
          <w:b/>
          <w:bCs/>
        </w:rPr>
        <w:t>growth</w:t>
      </w:r>
      <w:r w:rsidR="00BA0D35" w:rsidRPr="008D0C94">
        <w:rPr>
          <w:rFonts w:ascii="Palatino Linotype" w:hAnsi="Palatino Linotype"/>
        </w:rPr>
        <w:t xml:space="preserve"> sector designation. </w:t>
      </w:r>
    </w:p>
    <w:p w14:paraId="7AE301CD" w14:textId="138BB0AF" w:rsidR="00BA0D35" w:rsidRPr="008D0C94" w:rsidRDefault="009E2229" w:rsidP="00B41C0E">
      <w:pPr>
        <w:tabs>
          <w:tab w:val="center" w:pos="4680"/>
          <w:tab w:val="left" w:pos="5205"/>
        </w:tabs>
        <w:jc w:val="both"/>
        <w:rPr>
          <w:rFonts w:ascii="Palatino Linotype" w:hAnsi="Palatino Linotype"/>
          <w:b/>
          <w:bCs/>
        </w:rPr>
      </w:pPr>
      <w:r w:rsidRPr="008D0C94">
        <w:rPr>
          <w:rFonts w:ascii="Palatino Linotype" w:hAnsi="Palatino Linotype"/>
          <w:b/>
          <w:bCs/>
        </w:rPr>
        <w:t xml:space="preserve">Telecommunications: </w:t>
      </w:r>
      <w:r w:rsidR="008F1A45" w:rsidRPr="008D0C94">
        <w:rPr>
          <w:rFonts w:ascii="Palatino Linotype" w:hAnsi="Palatino Linotype"/>
        </w:rPr>
        <w:t xml:space="preserve">Companies in the telecommunications sector </w:t>
      </w:r>
      <w:r w:rsidR="00B65947" w:rsidRPr="008D0C94">
        <w:rPr>
          <w:rFonts w:ascii="Palatino Linotype" w:hAnsi="Palatino Linotype"/>
        </w:rPr>
        <w:t xml:space="preserve">monetize the electronic signals that enable mass communication in some form or another, whether it be through infrastructure or </w:t>
      </w:r>
      <w:r w:rsidR="007047DF" w:rsidRPr="008D0C94">
        <w:rPr>
          <w:rFonts w:ascii="Palatino Linotype" w:hAnsi="Palatino Linotype"/>
        </w:rPr>
        <w:t xml:space="preserve">more recently, cloud services. This sector used to have a much more elastic product </w:t>
      </w:r>
      <w:r w:rsidR="00C7449D" w:rsidRPr="008D0C94">
        <w:rPr>
          <w:rFonts w:ascii="Palatino Linotype" w:hAnsi="Palatino Linotype"/>
        </w:rPr>
        <w:t>offering but</w:t>
      </w:r>
      <w:r w:rsidR="007047DF" w:rsidRPr="008D0C94">
        <w:rPr>
          <w:rFonts w:ascii="Palatino Linotype" w:hAnsi="Palatino Linotype"/>
        </w:rPr>
        <w:t xml:space="preserve"> has become almost commoditized in recent years. </w:t>
      </w:r>
      <w:r w:rsidR="004E4F03" w:rsidRPr="008D0C94">
        <w:rPr>
          <w:rFonts w:ascii="Palatino Linotype" w:hAnsi="Palatino Linotype"/>
        </w:rPr>
        <w:t xml:space="preserve">In the age of </w:t>
      </w:r>
      <w:r w:rsidR="00C7449D" w:rsidRPr="008D0C94">
        <w:rPr>
          <w:rFonts w:ascii="Palatino Linotype" w:hAnsi="Palatino Linotype"/>
        </w:rPr>
        <w:t>information</w:t>
      </w:r>
      <w:r w:rsidR="004E4F03" w:rsidRPr="008D0C94">
        <w:rPr>
          <w:rFonts w:ascii="Palatino Linotype" w:hAnsi="Palatino Linotype"/>
        </w:rPr>
        <w:t xml:space="preserve">, telecommunications </w:t>
      </w:r>
      <w:r w:rsidR="00DF7C2E" w:rsidRPr="008D0C94">
        <w:rPr>
          <w:rFonts w:ascii="Palatino Linotype" w:hAnsi="Palatino Linotype"/>
        </w:rPr>
        <w:t>are</w:t>
      </w:r>
      <w:r w:rsidR="004E4F03" w:rsidRPr="008D0C94">
        <w:rPr>
          <w:rFonts w:ascii="Palatino Linotype" w:hAnsi="Palatino Linotype"/>
        </w:rPr>
        <w:t xml:space="preserve"> assigned a </w:t>
      </w:r>
      <w:r w:rsidR="004E4F03" w:rsidRPr="008D0C94">
        <w:rPr>
          <w:rFonts w:ascii="Palatino Linotype" w:hAnsi="Palatino Linotype"/>
          <w:b/>
          <w:bCs/>
        </w:rPr>
        <w:t xml:space="preserve">defensive </w:t>
      </w:r>
      <w:r w:rsidR="00C7449D" w:rsidRPr="008D0C94">
        <w:rPr>
          <w:rFonts w:ascii="Palatino Linotype" w:hAnsi="Palatino Linotype"/>
        </w:rPr>
        <w:t>designation.</w:t>
      </w:r>
    </w:p>
    <w:p w14:paraId="2445648B" w14:textId="5557693D" w:rsidR="009E2229" w:rsidRPr="008D0C94" w:rsidRDefault="009E2229" w:rsidP="00B41C0E">
      <w:pPr>
        <w:tabs>
          <w:tab w:val="center" w:pos="4680"/>
          <w:tab w:val="left" w:pos="5205"/>
        </w:tabs>
        <w:jc w:val="both"/>
        <w:rPr>
          <w:rFonts w:ascii="Palatino Linotype" w:hAnsi="Palatino Linotype"/>
        </w:rPr>
      </w:pPr>
      <w:r w:rsidRPr="008D0C94">
        <w:rPr>
          <w:rFonts w:ascii="Palatino Linotype" w:hAnsi="Palatino Linotype"/>
          <w:b/>
          <w:bCs/>
        </w:rPr>
        <w:t xml:space="preserve">Utilities: </w:t>
      </w:r>
      <w:r w:rsidR="00DF7C2E" w:rsidRPr="008D0C94">
        <w:rPr>
          <w:rFonts w:ascii="Palatino Linotype" w:hAnsi="Palatino Linotype"/>
        </w:rPr>
        <w:t>You want your power on? You</w:t>
      </w:r>
      <w:r w:rsidR="00A10D0E" w:rsidRPr="008D0C94">
        <w:rPr>
          <w:rFonts w:ascii="Palatino Linotype" w:hAnsi="Palatino Linotype"/>
        </w:rPr>
        <w:t xml:space="preserve"> want your water to run? You pay your utilities bill. Need</w:t>
      </w:r>
      <w:r w:rsidR="005B7371" w:rsidRPr="008D0C94">
        <w:rPr>
          <w:rFonts w:ascii="Palatino Linotype" w:hAnsi="Palatino Linotype"/>
        </w:rPr>
        <w:t xml:space="preserve"> we elaborate? This is a highly inelastic product and service offering. Utilities is a </w:t>
      </w:r>
      <w:r w:rsidR="005B7371" w:rsidRPr="008D0C94">
        <w:rPr>
          <w:rFonts w:ascii="Palatino Linotype" w:hAnsi="Palatino Linotype"/>
          <w:b/>
          <w:bCs/>
        </w:rPr>
        <w:t xml:space="preserve">defensive </w:t>
      </w:r>
      <w:r w:rsidR="005B7371" w:rsidRPr="008D0C94">
        <w:rPr>
          <w:rFonts w:ascii="Palatino Linotype" w:hAnsi="Palatino Linotype"/>
        </w:rPr>
        <w:t xml:space="preserve">sector. </w:t>
      </w:r>
    </w:p>
    <w:p w14:paraId="1A5700F9" w14:textId="77777777" w:rsidR="005B7371" w:rsidRPr="008D0C94" w:rsidRDefault="005B7371" w:rsidP="00B41C0E">
      <w:pPr>
        <w:tabs>
          <w:tab w:val="center" w:pos="4680"/>
          <w:tab w:val="left" w:pos="5205"/>
        </w:tabs>
        <w:jc w:val="both"/>
        <w:rPr>
          <w:rFonts w:ascii="Palatino Linotype" w:hAnsi="Palatino Linotype"/>
        </w:rPr>
      </w:pPr>
    </w:p>
    <w:p w14:paraId="4E128957" w14:textId="4AD64B95" w:rsidR="00F360E6" w:rsidRPr="008D0C94" w:rsidRDefault="005B7371" w:rsidP="00B41C0E">
      <w:pPr>
        <w:tabs>
          <w:tab w:val="center" w:pos="4680"/>
          <w:tab w:val="left" w:pos="5205"/>
        </w:tabs>
        <w:jc w:val="both"/>
        <w:rPr>
          <w:rFonts w:ascii="Palatino Linotype" w:hAnsi="Palatino Linotype"/>
        </w:rPr>
      </w:pPr>
      <w:r w:rsidRPr="008D0C94">
        <w:rPr>
          <w:rFonts w:ascii="Palatino Linotype" w:hAnsi="Palatino Linotype"/>
          <w:b/>
          <w:bCs/>
        </w:rPr>
        <w:t xml:space="preserve">Part 4: </w:t>
      </w:r>
      <w:r w:rsidR="00F360E6" w:rsidRPr="008D0C94">
        <w:rPr>
          <w:rFonts w:ascii="Palatino Linotype" w:hAnsi="Palatino Linotype"/>
          <w:b/>
          <w:bCs/>
        </w:rPr>
        <w:t>Introducing the Factor, and the Goal of the Portfolio</w:t>
      </w:r>
    </w:p>
    <w:p w14:paraId="7D79D420" w14:textId="75AD9B9F" w:rsidR="00F360E6" w:rsidRPr="008D0C94" w:rsidRDefault="00BE035D" w:rsidP="008D0C94">
      <w:pPr>
        <w:tabs>
          <w:tab w:val="center" w:pos="4680"/>
          <w:tab w:val="left" w:pos="5205"/>
        </w:tabs>
        <w:jc w:val="both"/>
        <w:rPr>
          <w:rFonts w:ascii="Palatino Linotype" w:hAnsi="Palatino Linotype"/>
        </w:rPr>
      </w:pPr>
      <w:r w:rsidRPr="008D0C94">
        <w:rPr>
          <w:rFonts w:ascii="Palatino Linotype" w:hAnsi="Palatino Linotype"/>
        </w:rPr>
        <w:tab/>
      </w:r>
      <w:r w:rsidR="00140381" w:rsidRPr="008D0C94">
        <w:rPr>
          <w:rFonts w:ascii="Palatino Linotype" w:hAnsi="Palatino Linotype"/>
        </w:rPr>
        <w:t xml:space="preserve">Now, we have our sectors. </w:t>
      </w:r>
      <w:r w:rsidR="00A94EC6" w:rsidRPr="008D0C94">
        <w:rPr>
          <w:rFonts w:ascii="Palatino Linotype" w:hAnsi="Palatino Linotype"/>
        </w:rPr>
        <w:t xml:space="preserve">It’s time to construct the model. Miller Capital decided to utilize Google Colab, a Python interface, to build this factor portfolio. </w:t>
      </w:r>
      <w:r w:rsidR="00140381" w:rsidRPr="008D0C94">
        <w:rPr>
          <w:rFonts w:ascii="Palatino Linotype" w:hAnsi="Palatino Linotype"/>
        </w:rPr>
        <w:t xml:space="preserve">But how do we know when to rotate? Here is where we introduce our factor: The Consumer Price Index (CPI). For all intents and purposes, CPI serves as a proxy for inflation. </w:t>
      </w:r>
      <w:r w:rsidR="002A0CD5" w:rsidRPr="008D0C94">
        <w:rPr>
          <w:rFonts w:ascii="Palatino Linotype" w:hAnsi="Palatino Linotype"/>
        </w:rPr>
        <w:t xml:space="preserve">When </w:t>
      </w:r>
      <w:r w:rsidR="00D02591" w:rsidRPr="008D0C94">
        <w:rPr>
          <w:rFonts w:ascii="Palatino Linotype" w:hAnsi="Palatino Linotype"/>
        </w:rPr>
        <w:t>considering</w:t>
      </w:r>
      <w:r w:rsidR="002A0CD5" w:rsidRPr="008D0C94">
        <w:rPr>
          <w:rFonts w:ascii="Palatino Linotype" w:hAnsi="Palatino Linotype"/>
        </w:rPr>
        <w:t xml:space="preserve"> economic analysis</w:t>
      </w:r>
      <w:r w:rsidR="00541156" w:rsidRPr="008D0C94">
        <w:rPr>
          <w:rFonts w:ascii="Palatino Linotype" w:hAnsi="Palatino Linotype"/>
        </w:rPr>
        <w:t xml:space="preserve"> (especially in the United States), the Federal Reserve often uses CPI to gauge whether the economy is overheating </w:t>
      </w:r>
      <w:r w:rsidR="00D02591" w:rsidRPr="008D0C94">
        <w:rPr>
          <w:rFonts w:ascii="Palatino Linotype" w:hAnsi="Palatino Linotype"/>
        </w:rPr>
        <w:t xml:space="preserve">and tries to keep it at around a 2% target. If the </w:t>
      </w:r>
      <w:r w:rsidR="00A74248" w:rsidRPr="008D0C94">
        <w:rPr>
          <w:rFonts w:ascii="Palatino Linotype" w:hAnsi="Palatino Linotype"/>
        </w:rPr>
        <w:t>CPI</w:t>
      </w:r>
      <w:r w:rsidR="00D02591" w:rsidRPr="008D0C94">
        <w:rPr>
          <w:rFonts w:ascii="Palatino Linotype" w:hAnsi="Palatino Linotype"/>
        </w:rPr>
        <w:t xml:space="preserve"> rises, the Federal Reserve may decide to act and raise interest rates to curb </w:t>
      </w:r>
      <w:r w:rsidR="00D02591" w:rsidRPr="008D0C94">
        <w:rPr>
          <w:rFonts w:ascii="Palatino Linotype" w:hAnsi="Palatino Linotype"/>
        </w:rPr>
        <w:lastRenderedPageBreak/>
        <w:t xml:space="preserve">economic activity, and historically has often resulted in a recessionary economic environment. It is, for this reason, that Miller Capital decided to use CPI as the factor for the portfolio. </w:t>
      </w:r>
      <w:r w:rsidR="00234705" w:rsidRPr="008D0C94">
        <w:rPr>
          <w:rFonts w:ascii="Palatino Linotype" w:hAnsi="Palatino Linotype"/>
        </w:rPr>
        <w:t xml:space="preserve">Miller Capital decided to structure the model for the portfolio </w:t>
      </w:r>
      <w:r w:rsidR="00A94EC6" w:rsidRPr="008D0C94">
        <w:rPr>
          <w:rFonts w:ascii="Palatino Linotype" w:hAnsi="Palatino Linotype"/>
        </w:rPr>
        <w:t>based on</w:t>
      </w:r>
      <w:r w:rsidR="00F05595" w:rsidRPr="008D0C94">
        <w:rPr>
          <w:rFonts w:ascii="Palatino Linotype" w:hAnsi="Palatino Linotype"/>
        </w:rPr>
        <w:t xml:space="preserve"> CP</w:t>
      </w:r>
      <w:r w:rsidRPr="008D0C94">
        <w:rPr>
          <w:rFonts w:ascii="Palatino Linotype" w:hAnsi="Palatino Linotype"/>
        </w:rPr>
        <w:t>I</w:t>
      </w:r>
      <w:r w:rsidR="00F05595" w:rsidRPr="008D0C94">
        <w:rPr>
          <w:rFonts w:ascii="Palatino Linotype" w:hAnsi="Palatino Linotype"/>
        </w:rPr>
        <w:t xml:space="preserve"> change month-over-month (when CPI data is released </w:t>
      </w:r>
      <w:r w:rsidRPr="008D0C94">
        <w:rPr>
          <w:rFonts w:ascii="Palatino Linotype" w:hAnsi="Palatino Linotype"/>
        </w:rPr>
        <w:t>by the Bureau of Economic Analysis)</w:t>
      </w:r>
      <w:r w:rsidR="00A94EC6" w:rsidRPr="008D0C94">
        <w:rPr>
          <w:rFonts w:ascii="Palatino Linotype" w:hAnsi="Palatino Linotype"/>
        </w:rPr>
        <w:t>. If the M-o-M change</w:t>
      </w:r>
      <w:r w:rsidR="00647FDD" w:rsidRPr="008D0C94">
        <w:rPr>
          <w:rFonts w:ascii="Palatino Linotype" w:hAnsi="Palatino Linotype"/>
        </w:rPr>
        <w:t xml:space="preserve"> was positive after aiming for a 2% base </w:t>
      </w:r>
      <w:r w:rsidR="00A94EC6" w:rsidRPr="008D0C94">
        <w:rPr>
          <w:rFonts w:ascii="Palatino Linotype" w:hAnsi="Palatino Linotype"/>
        </w:rPr>
        <w:t>(</w:t>
      </w:r>
      <w:r w:rsidR="00647FDD" w:rsidRPr="008D0C94">
        <w:rPr>
          <w:rFonts w:ascii="Palatino Linotype" w:hAnsi="Palatino Linotype"/>
        </w:rPr>
        <w:t>in which capital would be distributed equally among the sectors</w:t>
      </w:r>
      <w:r w:rsidR="00A94EC6" w:rsidRPr="008D0C94">
        <w:rPr>
          <w:rFonts w:ascii="Palatino Linotype" w:hAnsi="Palatino Linotype"/>
        </w:rPr>
        <w:t>)</w:t>
      </w:r>
      <w:r w:rsidR="00647FDD" w:rsidRPr="008D0C94">
        <w:rPr>
          <w:rFonts w:ascii="Palatino Linotype" w:hAnsi="Palatino Linotype"/>
        </w:rPr>
        <w:t xml:space="preserve">, then </w:t>
      </w:r>
      <w:r w:rsidR="00A94EC6" w:rsidRPr="008D0C94">
        <w:rPr>
          <w:rFonts w:ascii="Palatino Linotype" w:hAnsi="Palatino Linotype"/>
        </w:rPr>
        <w:t xml:space="preserve">the model would increase. </w:t>
      </w:r>
      <w:r w:rsidR="00E43BD6" w:rsidRPr="008D0C94">
        <w:rPr>
          <w:rFonts w:ascii="Palatino Linotype" w:hAnsi="Palatino Linotype"/>
        </w:rPr>
        <w:t>The opposite would happen if CPI change M-o</w:t>
      </w:r>
      <w:r w:rsidR="00994DF4" w:rsidRPr="008D0C94">
        <w:rPr>
          <w:rFonts w:ascii="Palatino Linotype" w:hAnsi="Palatino Linotype"/>
        </w:rPr>
        <w:t>-</w:t>
      </w:r>
      <w:r w:rsidR="00E43BD6" w:rsidRPr="008D0C94">
        <w:rPr>
          <w:rFonts w:ascii="Palatino Linotype" w:hAnsi="Palatino Linotype"/>
        </w:rPr>
        <w:t xml:space="preserve">M were negative: the model would increase allocation to </w:t>
      </w:r>
      <w:r w:rsidR="00E41B84" w:rsidRPr="008D0C94">
        <w:rPr>
          <w:rFonts w:ascii="Palatino Linotype" w:hAnsi="Palatino Linotype"/>
        </w:rPr>
        <w:t xml:space="preserve">growth sectors, since a decreasing inflation rate means undervalued growth sectors, and potential incoming economic growth. </w:t>
      </w:r>
      <w:r w:rsidR="00FD3E28" w:rsidRPr="008D0C94">
        <w:rPr>
          <w:rFonts w:ascii="Palatino Linotype" w:hAnsi="Palatino Linotype"/>
        </w:rPr>
        <w:t xml:space="preserve">If </w:t>
      </w:r>
      <w:r w:rsidR="004B30B6" w:rsidRPr="008D0C94">
        <w:rPr>
          <w:rFonts w:ascii="Palatino Linotype" w:hAnsi="Palatino Linotype"/>
        </w:rPr>
        <w:t>Cpi increased M-o-M, then each of the defensive sectors would be overweighted by 2% each, with the growth sectors being underweighted by 2% each. The opposite was the case when CPI decreased M-o-M.</w:t>
      </w:r>
    </w:p>
    <w:p w14:paraId="02C762CF" w14:textId="77777777" w:rsidR="00F37AC5" w:rsidRPr="008D0C94" w:rsidRDefault="00F37AC5" w:rsidP="00B41C0E">
      <w:pPr>
        <w:tabs>
          <w:tab w:val="center" w:pos="4680"/>
          <w:tab w:val="left" w:pos="5205"/>
        </w:tabs>
        <w:jc w:val="both"/>
        <w:rPr>
          <w:rFonts w:ascii="Palatino Linotype" w:hAnsi="Palatino Linotype"/>
        </w:rPr>
      </w:pPr>
    </w:p>
    <w:p w14:paraId="15C4042D" w14:textId="10DD145A" w:rsidR="00F37AC5" w:rsidRPr="008D0C94" w:rsidRDefault="00F37AC5" w:rsidP="00B41C0E">
      <w:pPr>
        <w:tabs>
          <w:tab w:val="center" w:pos="4680"/>
          <w:tab w:val="left" w:pos="5205"/>
        </w:tabs>
        <w:jc w:val="both"/>
        <w:rPr>
          <w:rFonts w:ascii="Palatino Linotype" w:hAnsi="Palatino Linotype"/>
          <w:b/>
          <w:bCs/>
        </w:rPr>
      </w:pPr>
      <w:r w:rsidRPr="008D0C94">
        <w:rPr>
          <w:rFonts w:ascii="Palatino Linotype" w:hAnsi="Palatino Linotype"/>
          <w:b/>
          <w:bCs/>
        </w:rPr>
        <w:t>Part 5: The Benchmark</w:t>
      </w:r>
    </w:p>
    <w:p w14:paraId="1DB84302" w14:textId="71BCE045" w:rsidR="00F37AC5" w:rsidRPr="008D0C94" w:rsidRDefault="008D0C94" w:rsidP="00B41C0E">
      <w:pPr>
        <w:tabs>
          <w:tab w:val="center" w:pos="4680"/>
          <w:tab w:val="left" w:pos="5205"/>
        </w:tabs>
        <w:jc w:val="both"/>
        <w:rPr>
          <w:rFonts w:ascii="Palatino Linotype" w:hAnsi="Palatino Linotype"/>
        </w:rPr>
      </w:pPr>
      <w:r>
        <w:rPr>
          <w:rFonts w:ascii="Palatino Linotype" w:hAnsi="Palatino Linotype"/>
        </w:rPr>
        <w:tab/>
      </w:r>
      <w:r w:rsidR="00F37AC5" w:rsidRPr="008D0C94">
        <w:rPr>
          <w:rFonts w:ascii="Palatino Linotype" w:hAnsi="Palatino Linotype"/>
        </w:rPr>
        <w:t xml:space="preserve">Now, we need something to compare the portfolio </w:t>
      </w:r>
      <w:r w:rsidR="004F271D" w:rsidRPr="008D0C94">
        <w:rPr>
          <w:rFonts w:ascii="Palatino Linotype" w:hAnsi="Palatino Linotype"/>
        </w:rPr>
        <w:t xml:space="preserve">to (the benchmark). For this analysis, </w:t>
      </w:r>
      <w:r w:rsidR="00A74248" w:rsidRPr="008D0C94">
        <w:rPr>
          <w:rFonts w:ascii="Palatino Linotype" w:hAnsi="Palatino Linotype"/>
        </w:rPr>
        <w:t xml:space="preserve">we assume a traditional 60/40 portfolio. For those who may be unfamiliar, a 60/40 portfolio is a famous and frequently used </w:t>
      </w:r>
      <w:r w:rsidR="00275AD6" w:rsidRPr="008D0C94">
        <w:rPr>
          <w:rFonts w:ascii="Palatino Linotype" w:hAnsi="Palatino Linotype"/>
        </w:rPr>
        <w:t xml:space="preserve">portfolio style that constitutes 60% equity holdings (stocks) and 40% fixed income (bonds) holdings. </w:t>
      </w:r>
      <w:r w:rsidR="00045053" w:rsidRPr="008D0C94">
        <w:rPr>
          <w:rFonts w:ascii="Palatino Linotype" w:hAnsi="Palatino Linotype"/>
        </w:rPr>
        <w:t xml:space="preserve">While by no means a perfect </w:t>
      </w:r>
      <w:r w:rsidR="009711B3" w:rsidRPr="008D0C94">
        <w:rPr>
          <w:rFonts w:ascii="Palatino Linotype" w:hAnsi="Palatino Linotype"/>
        </w:rPr>
        <w:t>strategy, it</w:t>
      </w:r>
      <w:r w:rsidR="00045053" w:rsidRPr="008D0C94">
        <w:rPr>
          <w:rFonts w:ascii="Palatino Linotype" w:hAnsi="Palatino Linotype"/>
        </w:rPr>
        <w:t xml:space="preserve"> was selected as </w:t>
      </w:r>
      <w:r w:rsidR="009711B3" w:rsidRPr="008D0C94">
        <w:rPr>
          <w:rFonts w:ascii="Palatino Linotype" w:hAnsi="Palatino Linotype"/>
        </w:rPr>
        <w:t xml:space="preserve">a benchmark due to its widespread use and general success in allocating into riskier and less-risky investments. </w:t>
      </w:r>
    </w:p>
    <w:p w14:paraId="7DAAD5A5" w14:textId="77777777" w:rsidR="00BA75EC" w:rsidRPr="008D0C94" w:rsidRDefault="00BA75EC" w:rsidP="00B41C0E">
      <w:pPr>
        <w:tabs>
          <w:tab w:val="center" w:pos="4680"/>
          <w:tab w:val="left" w:pos="5205"/>
        </w:tabs>
        <w:jc w:val="both"/>
        <w:rPr>
          <w:rFonts w:ascii="Palatino Linotype" w:hAnsi="Palatino Linotype"/>
        </w:rPr>
      </w:pPr>
    </w:p>
    <w:p w14:paraId="2D34CB1D" w14:textId="11056A2E" w:rsidR="009711B3" w:rsidRPr="008D0C94" w:rsidRDefault="009711B3" w:rsidP="00B41C0E">
      <w:pPr>
        <w:tabs>
          <w:tab w:val="center" w:pos="4680"/>
          <w:tab w:val="left" w:pos="5205"/>
        </w:tabs>
        <w:jc w:val="both"/>
        <w:rPr>
          <w:rFonts w:ascii="Palatino Linotype" w:hAnsi="Palatino Linotype"/>
          <w:b/>
          <w:bCs/>
        </w:rPr>
      </w:pPr>
      <w:r w:rsidRPr="008D0C94">
        <w:rPr>
          <w:rFonts w:ascii="Palatino Linotype" w:hAnsi="Palatino Linotype"/>
          <w:b/>
          <w:bCs/>
        </w:rPr>
        <w:t>Part 6:</w:t>
      </w:r>
      <w:r w:rsidR="00BA75EC" w:rsidRPr="008D0C94">
        <w:rPr>
          <w:rFonts w:ascii="Palatino Linotype" w:hAnsi="Palatino Linotype"/>
          <w:b/>
          <w:bCs/>
        </w:rPr>
        <w:t xml:space="preserve"> </w:t>
      </w:r>
      <w:r w:rsidR="002D2281" w:rsidRPr="008D0C94">
        <w:rPr>
          <w:rFonts w:ascii="Palatino Linotype" w:hAnsi="Palatino Linotype"/>
          <w:b/>
          <w:bCs/>
        </w:rPr>
        <w:t xml:space="preserve">Original </w:t>
      </w:r>
      <w:r w:rsidR="00DB0E87" w:rsidRPr="008D0C94">
        <w:rPr>
          <w:rFonts w:ascii="Palatino Linotype" w:hAnsi="Palatino Linotype"/>
          <w:b/>
          <w:bCs/>
        </w:rPr>
        <w:t>T</w:t>
      </w:r>
      <w:r w:rsidR="002D2281" w:rsidRPr="008D0C94">
        <w:rPr>
          <w:rFonts w:ascii="Palatino Linotype" w:hAnsi="Palatino Linotype"/>
          <w:b/>
          <w:bCs/>
        </w:rPr>
        <w:t>esting and Results</w:t>
      </w:r>
    </w:p>
    <w:p w14:paraId="2FF3902A" w14:textId="7AE8D5A5" w:rsidR="009711B3" w:rsidRPr="008D0C94" w:rsidRDefault="008D0C94" w:rsidP="00B41C0E">
      <w:pPr>
        <w:tabs>
          <w:tab w:val="center" w:pos="4680"/>
          <w:tab w:val="left" w:pos="5205"/>
        </w:tabs>
        <w:jc w:val="both"/>
        <w:rPr>
          <w:rFonts w:ascii="Palatino Linotype" w:hAnsi="Palatino Linotype"/>
        </w:rPr>
      </w:pPr>
      <w:r>
        <w:rPr>
          <w:rFonts w:ascii="Palatino Linotype" w:hAnsi="Palatino Linotype"/>
        </w:rPr>
        <w:tab/>
      </w:r>
      <w:r w:rsidR="00713A52" w:rsidRPr="008D0C94">
        <w:rPr>
          <w:rFonts w:ascii="Palatino Linotype" w:hAnsi="Palatino Linotype"/>
        </w:rPr>
        <w:t xml:space="preserve">When first exploring this strategy, Miller Capital </w:t>
      </w:r>
      <w:r w:rsidR="00C436C7" w:rsidRPr="008D0C94">
        <w:rPr>
          <w:rFonts w:ascii="Palatino Linotype" w:hAnsi="Palatino Linotype"/>
        </w:rPr>
        <w:t xml:space="preserve">attempted to understand how an optimal sector rotation strategy would have performed as a buy and hold, with perfect hindsight. </w:t>
      </w:r>
      <w:r w:rsidR="00572531" w:rsidRPr="008D0C94">
        <w:rPr>
          <w:rFonts w:ascii="Palatino Linotype" w:hAnsi="Palatino Linotype"/>
        </w:rPr>
        <w:t xml:space="preserve">This strategy was originally built out in excel, using a solver tool to allocate among the sectors for </w:t>
      </w:r>
      <w:r w:rsidR="00C0728D" w:rsidRPr="008D0C94">
        <w:rPr>
          <w:rFonts w:ascii="Palatino Linotype" w:hAnsi="Palatino Linotype"/>
        </w:rPr>
        <w:t>a period</w:t>
      </w:r>
      <w:r w:rsidR="00572531" w:rsidRPr="008D0C94">
        <w:rPr>
          <w:rFonts w:ascii="Palatino Linotype" w:hAnsi="Palatino Linotype"/>
        </w:rPr>
        <w:t xml:space="preserve"> f</w:t>
      </w:r>
      <w:r w:rsidR="00C0728D" w:rsidRPr="008D0C94">
        <w:rPr>
          <w:rFonts w:ascii="Palatino Linotype" w:hAnsi="Palatino Linotype"/>
        </w:rPr>
        <w:t>rom</w:t>
      </w:r>
      <w:r w:rsidR="00572531" w:rsidRPr="008D0C94">
        <w:rPr>
          <w:rFonts w:ascii="Palatino Linotype" w:hAnsi="Palatino Linotype"/>
        </w:rPr>
        <w:t xml:space="preserve"> Jan 01</w:t>
      </w:r>
      <w:r w:rsidR="00C0728D" w:rsidRPr="008D0C94">
        <w:rPr>
          <w:rFonts w:ascii="Palatino Linotype" w:hAnsi="Palatino Linotype"/>
        </w:rPr>
        <w:t>, 20</w:t>
      </w:r>
      <w:r w:rsidR="0051127C" w:rsidRPr="008D0C94">
        <w:rPr>
          <w:rFonts w:ascii="Palatino Linotype" w:hAnsi="Palatino Linotype"/>
        </w:rPr>
        <w:t>1</w:t>
      </w:r>
      <w:r w:rsidR="00C0728D" w:rsidRPr="008D0C94">
        <w:rPr>
          <w:rFonts w:ascii="Palatino Linotype" w:hAnsi="Palatino Linotype"/>
        </w:rPr>
        <w:t>0,</w:t>
      </w:r>
      <w:r w:rsidR="00572531" w:rsidRPr="008D0C94">
        <w:rPr>
          <w:rFonts w:ascii="Palatino Linotype" w:hAnsi="Palatino Linotype"/>
        </w:rPr>
        <w:t xml:space="preserve"> to Dec 31</w:t>
      </w:r>
      <w:r w:rsidR="00C0728D" w:rsidRPr="008D0C94">
        <w:rPr>
          <w:rFonts w:ascii="Palatino Linotype" w:hAnsi="Palatino Linotype"/>
        </w:rPr>
        <w:t>, 2019</w:t>
      </w:r>
      <w:r w:rsidR="00572531" w:rsidRPr="008D0C94">
        <w:rPr>
          <w:rFonts w:ascii="Palatino Linotype" w:hAnsi="Palatino Linotype"/>
        </w:rPr>
        <w:t xml:space="preserve">. </w:t>
      </w:r>
      <w:r w:rsidR="00C0728D" w:rsidRPr="008D0C94">
        <w:rPr>
          <w:rFonts w:ascii="Palatino Linotype" w:hAnsi="Palatino Linotype"/>
        </w:rPr>
        <w:t xml:space="preserve">For the optimization process, Miller Capital </w:t>
      </w:r>
      <w:r w:rsidR="00437F90" w:rsidRPr="008D0C94">
        <w:rPr>
          <w:rFonts w:ascii="Palatino Linotype" w:hAnsi="Palatino Linotype"/>
        </w:rPr>
        <w:t>built a covariance matrix (pictured here)</w:t>
      </w:r>
      <w:r w:rsidR="000F6E80" w:rsidRPr="008D0C94">
        <w:rPr>
          <w:rFonts w:ascii="Palatino Linotype" w:hAnsi="Palatino Linotype"/>
        </w:rPr>
        <w:t xml:space="preserve">. </w:t>
      </w:r>
    </w:p>
    <w:p w14:paraId="3C1DC5D4" w14:textId="5D3B2B23" w:rsidR="000F6E80" w:rsidRPr="008D0C94" w:rsidRDefault="000F6E80" w:rsidP="00B41C0E">
      <w:pPr>
        <w:tabs>
          <w:tab w:val="center" w:pos="4680"/>
          <w:tab w:val="left" w:pos="5205"/>
        </w:tabs>
        <w:jc w:val="both"/>
        <w:rPr>
          <w:rFonts w:ascii="Palatino Linotype" w:hAnsi="Palatino Linotype"/>
        </w:rPr>
      </w:pPr>
      <w:r w:rsidRPr="008D0C94">
        <w:rPr>
          <w:rStyle w:val="NormalWeb"/>
          <w:rFonts w:ascii="Palatino Linotype" w:eastAsiaTheme="majorEastAsia" w:hAnsi="Palatino Linotype" w:cs="Segoe UI"/>
          <w:noProof/>
          <w:sz w:val="18"/>
          <w:szCs w:val="18"/>
        </w:rPr>
        <w:lastRenderedPageBreak/>
        <w:drawing>
          <wp:inline distT="0" distB="0" distL="0" distR="0" wp14:anchorId="41F2B562" wp14:editId="13DB4C03">
            <wp:extent cx="5943600" cy="1924050"/>
            <wp:effectExtent l="0" t="0" r="0" b="0"/>
            <wp:docPr id="5" name="Picture 5" descr="A table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able of numbers and letter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24050"/>
                    </a:xfrm>
                    <a:prstGeom prst="rect">
                      <a:avLst/>
                    </a:prstGeom>
                    <a:noFill/>
                    <a:ln>
                      <a:noFill/>
                    </a:ln>
                  </pic:spPr>
                </pic:pic>
              </a:graphicData>
            </a:graphic>
          </wp:inline>
        </w:drawing>
      </w:r>
    </w:p>
    <w:p w14:paraId="0D475769" w14:textId="36C6962C" w:rsidR="00326D77" w:rsidRPr="008D0C94" w:rsidRDefault="00326D77" w:rsidP="00326D77">
      <w:pPr>
        <w:pStyle w:val="paragraph"/>
        <w:spacing w:before="0" w:beforeAutospacing="0" w:after="0" w:afterAutospacing="0"/>
        <w:jc w:val="both"/>
        <w:textAlignment w:val="baseline"/>
        <w:rPr>
          <w:rFonts w:ascii="Palatino Linotype" w:hAnsi="Palatino Linotype" w:cs="Segoe UI"/>
        </w:rPr>
      </w:pPr>
      <w:r w:rsidRPr="008D0C94">
        <w:rPr>
          <w:rStyle w:val="normaltextrun"/>
          <w:rFonts w:ascii="Palatino Linotype" w:eastAsiaTheme="majorEastAsia" w:hAnsi="Palatino Linotype" w:cs="Segoe UI"/>
        </w:rPr>
        <w:t>Following the construction of the matrix, the infrastructure for the optimization was built out, where weights were assigned to the individual sectors, and so the weights once optimized would sum to 100% (effectively, the fund utilizing the strategy is assumed to allocate 100% of its funds into the strategy). Miller Capital then calculated average returns for each sector, to be used as a proxy in the optimization calculation. Following this, the following metrics were calculated: Weekly Return, Weekly Variance, Weekly Standard Deviation, Total Return, and Total Standard Deviation. </w:t>
      </w:r>
      <w:r w:rsidRPr="008D0C94">
        <w:rPr>
          <w:rStyle w:val="eop"/>
          <w:rFonts w:ascii="Palatino Linotype" w:eastAsiaTheme="majorEastAsia" w:hAnsi="Palatino Linotype" w:cs="Segoe UI"/>
        </w:rPr>
        <w:t> </w:t>
      </w:r>
      <w:r w:rsidR="00523B48" w:rsidRPr="008D0C94">
        <w:rPr>
          <w:rStyle w:val="eop"/>
          <w:rFonts w:ascii="Palatino Linotype" w:eastAsiaTheme="majorEastAsia" w:hAnsi="Palatino Linotype" w:cs="Segoe UI"/>
        </w:rPr>
        <w:t xml:space="preserve">The firm decided to optimize the ideal buy and hold portfolio based on Sharpe Ratio. </w:t>
      </w:r>
    </w:p>
    <w:p w14:paraId="69285B0B" w14:textId="44718434" w:rsidR="00E60853" w:rsidRPr="008D0C94" w:rsidRDefault="003C3E25" w:rsidP="00BA50CE">
      <w:pPr>
        <w:tabs>
          <w:tab w:val="center" w:pos="4680"/>
        </w:tabs>
        <w:jc w:val="both"/>
        <w:rPr>
          <w:rFonts w:ascii="Palatino Linotype" w:hAnsi="Palatino Linotype"/>
        </w:rPr>
      </w:pPr>
      <w:r w:rsidRPr="008D0C94">
        <w:rPr>
          <w:rStyle w:val="NormalWeb"/>
          <w:rFonts w:ascii="Palatino Linotype" w:eastAsiaTheme="majorEastAsia" w:hAnsi="Palatino Linotype" w:cs="Segoe UI"/>
          <w:noProof/>
          <w:sz w:val="18"/>
          <w:szCs w:val="18"/>
        </w:rPr>
        <w:drawing>
          <wp:inline distT="0" distB="0" distL="0" distR="0" wp14:anchorId="51E9A431" wp14:editId="5C2708BB">
            <wp:extent cx="2969688" cy="4410075"/>
            <wp:effectExtent l="0" t="0" r="254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0702" cy="4411581"/>
                    </a:xfrm>
                    <a:prstGeom prst="rect">
                      <a:avLst/>
                    </a:prstGeom>
                    <a:noFill/>
                    <a:ln>
                      <a:noFill/>
                    </a:ln>
                  </pic:spPr>
                </pic:pic>
              </a:graphicData>
            </a:graphic>
          </wp:inline>
        </w:drawing>
      </w:r>
    </w:p>
    <w:p w14:paraId="0ADFEA8F" w14:textId="496CDA16" w:rsidR="00A0796B" w:rsidRPr="008D0C94" w:rsidRDefault="00A0796B" w:rsidP="00A0796B">
      <w:pPr>
        <w:pStyle w:val="paragraph"/>
        <w:spacing w:before="0" w:beforeAutospacing="0" w:after="0" w:afterAutospacing="0"/>
        <w:jc w:val="both"/>
        <w:textAlignment w:val="baseline"/>
        <w:rPr>
          <w:rStyle w:val="eop"/>
          <w:rFonts w:ascii="Palatino Linotype" w:eastAsiaTheme="majorEastAsia" w:hAnsi="Palatino Linotype" w:cs="Segoe UI"/>
        </w:rPr>
      </w:pPr>
      <w:r w:rsidRPr="008D0C94">
        <w:rPr>
          <w:rStyle w:val="normaltextrun"/>
          <w:rFonts w:ascii="Palatino Linotype" w:eastAsiaTheme="majorEastAsia" w:hAnsi="Palatino Linotype" w:cs="Segoe UI"/>
        </w:rPr>
        <w:lastRenderedPageBreak/>
        <w:t>When Calculating Sharpe Ratio, which the calculation for the optimization for the portfolio was based on, Miller Capital assumed a risk-free rate of 3%. When optimized, Miller Capital found a Sharpe Ratio of 3.27. </w:t>
      </w:r>
      <w:r w:rsidRPr="008D0C94">
        <w:rPr>
          <w:rStyle w:val="eop"/>
          <w:rFonts w:ascii="Palatino Linotype" w:eastAsiaTheme="majorEastAsia" w:hAnsi="Palatino Linotype" w:cs="Segoe UI"/>
        </w:rPr>
        <w:t> </w:t>
      </w:r>
    </w:p>
    <w:p w14:paraId="33BD0346" w14:textId="77777777" w:rsidR="00DE5474" w:rsidRPr="008D0C94" w:rsidRDefault="00DE5474" w:rsidP="00DE5474">
      <w:pPr>
        <w:pStyle w:val="paragraph"/>
        <w:spacing w:before="0" w:beforeAutospacing="0" w:after="0" w:afterAutospacing="0"/>
        <w:jc w:val="both"/>
        <w:textAlignment w:val="baseline"/>
        <w:rPr>
          <w:rStyle w:val="eop"/>
          <w:rFonts w:ascii="Palatino Linotype" w:eastAsiaTheme="majorEastAsia" w:hAnsi="Palatino Linotype" w:cs="Segoe UI"/>
        </w:rPr>
      </w:pPr>
      <w:r w:rsidRPr="008D0C94">
        <w:rPr>
          <w:rStyle w:val="normaltextrun"/>
          <w:rFonts w:ascii="Palatino Linotype" w:eastAsiaTheme="majorEastAsia" w:hAnsi="Palatino Linotype" w:cs="Segoe UI"/>
        </w:rPr>
        <w:t>Within this calculation, the optimal asset allocation was as follows:</w:t>
      </w:r>
      <w:r w:rsidRPr="008D0C94">
        <w:rPr>
          <w:rStyle w:val="eop"/>
          <w:rFonts w:ascii="Palatino Linotype" w:eastAsiaTheme="majorEastAsia" w:hAnsi="Palatino Linotype" w:cs="Segoe UI"/>
        </w:rPr>
        <w:t> </w:t>
      </w:r>
    </w:p>
    <w:p w14:paraId="7133021F" w14:textId="77777777" w:rsidR="00DE5474" w:rsidRPr="008D0C94" w:rsidRDefault="00DE5474" w:rsidP="00DE5474">
      <w:pPr>
        <w:pStyle w:val="paragraph"/>
        <w:spacing w:before="0" w:beforeAutospacing="0" w:after="0" w:afterAutospacing="0"/>
        <w:jc w:val="both"/>
        <w:textAlignment w:val="baseline"/>
        <w:rPr>
          <w:rFonts w:ascii="Palatino Linotype" w:hAnsi="Palatino Linotype" w:cs="Segoe UI"/>
          <w:sz w:val="18"/>
          <w:szCs w:val="18"/>
        </w:rPr>
      </w:pPr>
    </w:p>
    <w:p w14:paraId="75335DA2" w14:textId="77777777" w:rsidR="00DE5474" w:rsidRPr="008D0C94" w:rsidRDefault="00DE5474" w:rsidP="00DE5474">
      <w:pPr>
        <w:pStyle w:val="paragraph"/>
        <w:spacing w:before="0" w:beforeAutospacing="0" w:after="0" w:afterAutospacing="0"/>
        <w:jc w:val="both"/>
        <w:textAlignment w:val="baseline"/>
        <w:rPr>
          <w:rFonts w:ascii="Palatino Linotype" w:hAnsi="Palatino Linotype" w:cs="Segoe UI"/>
          <w:sz w:val="18"/>
          <w:szCs w:val="18"/>
        </w:rPr>
      </w:pPr>
      <w:r w:rsidRPr="008D0C94">
        <w:rPr>
          <w:rStyle w:val="normaltextrun"/>
          <w:rFonts w:ascii="Palatino Linotype" w:eastAsiaTheme="majorEastAsia" w:hAnsi="Palatino Linotype" w:cs="Segoe UI"/>
        </w:rPr>
        <w:t>25% Allocation to Health Care</w:t>
      </w:r>
      <w:r w:rsidRPr="008D0C94">
        <w:rPr>
          <w:rStyle w:val="eop"/>
          <w:rFonts w:ascii="Palatino Linotype" w:eastAsiaTheme="majorEastAsia" w:hAnsi="Palatino Linotype" w:cs="Segoe UI"/>
        </w:rPr>
        <w:t> </w:t>
      </w:r>
    </w:p>
    <w:p w14:paraId="4E9BFB73" w14:textId="77777777" w:rsidR="00DE5474" w:rsidRPr="008D0C94" w:rsidRDefault="00DE5474" w:rsidP="00DE5474">
      <w:pPr>
        <w:pStyle w:val="paragraph"/>
        <w:spacing w:before="0" w:beforeAutospacing="0" w:after="0" w:afterAutospacing="0"/>
        <w:jc w:val="both"/>
        <w:textAlignment w:val="baseline"/>
        <w:rPr>
          <w:rFonts w:ascii="Palatino Linotype" w:hAnsi="Palatino Linotype" w:cs="Segoe UI"/>
          <w:sz w:val="18"/>
          <w:szCs w:val="18"/>
        </w:rPr>
      </w:pPr>
      <w:r w:rsidRPr="008D0C94">
        <w:rPr>
          <w:rStyle w:val="normaltextrun"/>
          <w:rFonts w:ascii="Palatino Linotype" w:eastAsiaTheme="majorEastAsia" w:hAnsi="Palatino Linotype" w:cs="Segoe UI"/>
        </w:rPr>
        <w:t>19% Allocation to Information Technology</w:t>
      </w:r>
      <w:r w:rsidRPr="008D0C94">
        <w:rPr>
          <w:rStyle w:val="eop"/>
          <w:rFonts w:ascii="Palatino Linotype" w:eastAsiaTheme="majorEastAsia" w:hAnsi="Palatino Linotype" w:cs="Segoe UI"/>
        </w:rPr>
        <w:t> </w:t>
      </w:r>
    </w:p>
    <w:p w14:paraId="510A3E52" w14:textId="77777777" w:rsidR="00DE5474" w:rsidRPr="008D0C94" w:rsidRDefault="00DE5474" w:rsidP="00DE5474">
      <w:pPr>
        <w:pStyle w:val="paragraph"/>
        <w:spacing w:before="0" w:beforeAutospacing="0" w:after="0" w:afterAutospacing="0"/>
        <w:jc w:val="both"/>
        <w:textAlignment w:val="baseline"/>
        <w:rPr>
          <w:rFonts w:ascii="Palatino Linotype" w:hAnsi="Palatino Linotype" w:cs="Segoe UI"/>
          <w:sz w:val="18"/>
          <w:szCs w:val="18"/>
        </w:rPr>
      </w:pPr>
      <w:r w:rsidRPr="008D0C94">
        <w:rPr>
          <w:rStyle w:val="normaltextrun"/>
          <w:rFonts w:ascii="Palatino Linotype" w:eastAsiaTheme="majorEastAsia" w:hAnsi="Palatino Linotype" w:cs="Segoe UI"/>
        </w:rPr>
        <w:t>17% Allocation to Utilities</w:t>
      </w:r>
      <w:r w:rsidRPr="008D0C94">
        <w:rPr>
          <w:rStyle w:val="eop"/>
          <w:rFonts w:ascii="Palatino Linotype" w:eastAsiaTheme="majorEastAsia" w:hAnsi="Palatino Linotype" w:cs="Segoe UI"/>
        </w:rPr>
        <w:t> </w:t>
      </w:r>
    </w:p>
    <w:p w14:paraId="1105BDF0" w14:textId="77777777" w:rsidR="00DE5474" w:rsidRPr="008D0C94" w:rsidRDefault="00DE5474" w:rsidP="00DE5474">
      <w:pPr>
        <w:pStyle w:val="paragraph"/>
        <w:spacing w:before="0" w:beforeAutospacing="0" w:after="0" w:afterAutospacing="0"/>
        <w:jc w:val="both"/>
        <w:textAlignment w:val="baseline"/>
        <w:rPr>
          <w:rFonts w:ascii="Palatino Linotype" w:hAnsi="Palatino Linotype" w:cs="Segoe UI"/>
          <w:sz w:val="18"/>
          <w:szCs w:val="18"/>
        </w:rPr>
      </w:pPr>
      <w:r w:rsidRPr="008D0C94">
        <w:rPr>
          <w:rStyle w:val="normaltextrun"/>
          <w:rFonts w:ascii="Palatino Linotype" w:eastAsiaTheme="majorEastAsia" w:hAnsi="Palatino Linotype" w:cs="Segoe UI"/>
        </w:rPr>
        <w:t>36% Allocation to Consumer Discretionary</w:t>
      </w:r>
      <w:r w:rsidRPr="008D0C94">
        <w:rPr>
          <w:rStyle w:val="eop"/>
          <w:rFonts w:ascii="Palatino Linotype" w:eastAsiaTheme="majorEastAsia" w:hAnsi="Palatino Linotype" w:cs="Segoe UI"/>
        </w:rPr>
        <w:t> </w:t>
      </w:r>
    </w:p>
    <w:p w14:paraId="2454541D" w14:textId="77777777" w:rsidR="00DE5474" w:rsidRPr="008D0C94" w:rsidRDefault="00DE5474" w:rsidP="00DE5474">
      <w:pPr>
        <w:pStyle w:val="paragraph"/>
        <w:spacing w:before="0" w:beforeAutospacing="0" w:after="0" w:afterAutospacing="0"/>
        <w:jc w:val="both"/>
        <w:textAlignment w:val="baseline"/>
        <w:rPr>
          <w:rFonts w:ascii="Palatino Linotype" w:hAnsi="Palatino Linotype" w:cs="Segoe UI"/>
          <w:sz w:val="18"/>
          <w:szCs w:val="18"/>
        </w:rPr>
      </w:pPr>
      <w:r w:rsidRPr="008D0C94">
        <w:rPr>
          <w:rStyle w:val="normaltextrun"/>
          <w:rFonts w:ascii="Palatino Linotype" w:eastAsiaTheme="majorEastAsia" w:hAnsi="Palatino Linotype" w:cs="Segoe UI"/>
        </w:rPr>
        <w:t>4% Allocation to Consumer Staples</w:t>
      </w:r>
      <w:r w:rsidRPr="008D0C94">
        <w:rPr>
          <w:rStyle w:val="eop"/>
          <w:rFonts w:ascii="Palatino Linotype" w:eastAsiaTheme="majorEastAsia" w:hAnsi="Palatino Linotype" w:cs="Segoe UI"/>
        </w:rPr>
        <w:t> </w:t>
      </w:r>
    </w:p>
    <w:p w14:paraId="522BB1A7" w14:textId="77777777" w:rsidR="00DE5474" w:rsidRPr="008D0C94" w:rsidRDefault="00DE5474" w:rsidP="00DE5474">
      <w:pPr>
        <w:pStyle w:val="paragraph"/>
        <w:spacing w:before="0" w:beforeAutospacing="0" w:after="0" w:afterAutospacing="0"/>
        <w:jc w:val="both"/>
        <w:textAlignment w:val="baseline"/>
        <w:rPr>
          <w:rFonts w:ascii="Palatino Linotype" w:hAnsi="Palatino Linotype" w:cs="Segoe UI"/>
          <w:sz w:val="18"/>
          <w:szCs w:val="18"/>
        </w:rPr>
      </w:pPr>
      <w:r w:rsidRPr="008D0C94">
        <w:rPr>
          <w:rStyle w:val="normaltextrun"/>
          <w:rFonts w:ascii="Palatino Linotype" w:eastAsiaTheme="majorEastAsia" w:hAnsi="Palatino Linotype" w:cs="Segoe UI"/>
        </w:rPr>
        <w:t>0% allocation was determined for the following sectors: </w:t>
      </w:r>
      <w:r w:rsidRPr="008D0C94">
        <w:rPr>
          <w:rStyle w:val="eop"/>
          <w:rFonts w:ascii="Palatino Linotype" w:eastAsiaTheme="majorEastAsia" w:hAnsi="Palatino Linotype" w:cs="Segoe UI"/>
        </w:rPr>
        <w:t> </w:t>
      </w:r>
    </w:p>
    <w:p w14:paraId="714B3AB1" w14:textId="77777777" w:rsidR="00DE5474" w:rsidRPr="008D0C94" w:rsidRDefault="00DE5474" w:rsidP="00DE5474">
      <w:pPr>
        <w:pStyle w:val="paragraph"/>
        <w:spacing w:before="0" w:beforeAutospacing="0" w:after="0" w:afterAutospacing="0"/>
        <w:jc w:val="both"/>
        <w:textAlignment w:val="baseline"/>
        <w:rPr>
          <w:rStyle w:val="eop"/>
          <w:rFonts w:ascii="Palatino Linotype" w:eastAsiaTheme="majorEastAsia" w:hAnsi="Palatino Linotype" w:cs="Segoe UI"/>
        </w:rPr>
      </w:pPr>
      <w:r w:rsidRPr="008D0C94">
        <w:rPr>
          <w:rStyle w:val="normaltextrun"/>
          <w:rFonts w:ascii="Palatino Linotype" w:eastAsiaTheme="majorEastAsia" w:hAnsi="Palatino Linotype" w:cs="Segoe UI"/>
        </w:rPr>
        <w:t>Telecommunications, Financials, Materials, Industrials, and Energy.</w:t>
      </w:r>
      <w:r w:rsidRPr="008D0C94">
        <w:rPr>
          <w:rStyle w:val="eop"/>
          <w:rFonts w:ascii="Palatino Linotype" w:eastAsiaTheme="majorEastAsia" w:hAnsi="Palatino Linotype" w:cs="Segoe UI"/>
        </w:rPr>
        <w:t> </w:t>
      </w:r>
    </w:p>
    <w:p w14:paraId="130E3220" w14:textId="77777777" w:rsidR="00DE5474" w:rsidRPr="008D0C94" w:rsidRDefault="00DE5474" w:rsidP="00DE5474">
      <w:pPr>
        <w:pStyle w:val="paragraph"/>
        <w:spacing w:before="0" w:beforeAutospacing="0" w:after="0" w:afterAutospacing="0"/>
        <w:jc w:val="both"/>
        <w:textAlignment w:val="baseline"/>
        <w:rPr>
          <w:rFonts w:ascii="Palatino Linotype" w:hAnsi="Palatino Linotype" w:cs="Segoe UI"/>
          <w:sz w:val="18"/>
          <w:szCs w:val="18"/>
        </w:rPr>
      </w:pPr>
    </w:p>
    <w:p w14:paraId="6E178F22" w14:textId="77777777" w:rsidR="00DE5474" w:rsidRPr="008D0C94" w:rsidRDefault="00DE5474" w:rsidP="00DE5474">
      <w:pPr>
        <w:pStyle w:val="paragraph"/>
        <w:spacing w:before="0" w:beforeAutospacing="0" w:after="0" w:afterAutospacing="0"/>
        <w:jc w:val="both"/>
        <w:textAlignment w:val="baseline"/>
        <w:rPr>
          <w:rFonts w:ascii="Palatino Linotype" w:hAnsi="Palatino Linotype" w:cs="Segoe UI"/>
          <w:sz w:val="18"/>
          <w:szCs w:val="18"/>
        </w:rPr>
      </w:pPr>
      <w:r w:rsidRPr="008D0C94">
        <w:rPr>
          <w:rStyle w:val="normaltextrun"/>
          <w:rFonts w:ascii="Palatino Linotype" w:eastAsiaTheme="majorEastAsia" w:hAnsi="Palatino Linotype" w:cs="Segoe UI"/>
        </w:rPr>
        <w:t>What follows is the tuition behind these results: </w:t>
      </w:r>
      <w:r w:rsidRPr="008D0C94">
        <w:rPr>
          <w:rStyle w:val="eop"/>
          <w:rFonts w:ascii="Palatino Linotype" w:eastAsiaTheme="majorEastAsia" w:hAnsi="Palatino Linotype" w:cs="Segoe UI"/>
        </w:rPr>
        <w:t> </w:t>
      </w:r>
    </w:p>
    <w:p w14:paraId="18DB0EDA" w14:textId="77777777" w:rsidR="00DE5474" w:rsidRPr="008D0C94" w:rsidRDefault="00DE5474" w:rsidP="00DE5474">
      <w:pPr>
        <w:pStyle w:val="paragraph"/>
        <w:spacing w:before="0" w:beforeAutospacing="0" w:after="0" w:afterAutospacing="0"/>
        <w:jc w:val="both"/>
        <w:textAlignment w:val="baseline"/>
        <w:rPr>
          <w:rStyle w:val="eop"/>
          <w:rFonts w:ascii="Palatino Linotype" w:eastAsiaTheme="majorEastAsia" w:hAnsi="Palatino Linotype" w:cs="Segoe UI"/>
        </w:rPr>
      </w:pPr>
      <w:r w:rsidRPr="008D0C94">
        <w:rPr>
          <w:rStyle w:val="normaltextrun"/>
          <w:rFonts w:ascii="Palatino Linotype" w:eastAsiaTheme="majorEastAsia" w:hAnsi="Palatino Linotype" w:cs="Segoe UI"/>
        </w:rPr>
        <w:t>When maximizing Sharpe Ratio, the optimizer would seek to expand additional returns per unit of risk. Information Technology and Consumer Discretionary are highly levered to overall economic performance, with Information Technology being more so, and Consumer Discretionary performance towing the market line a bit closer. Healthcare, Utilities and Consumer Staples are more defensive sectors, and typically outperform in a bear market. They are less volatile and mitigate some risks in the event of an economic slowdown or contraction. </w:t>
      </w:r>
      <w:r w:rsidRPr="008D0C94">
        <w:rPr>
          <w:rStyle w:val="eop"/>
          <w:rFonts w:ascii="Palatino Linotype" w:eastAsiaTheme="majorEastAsia" w:hAnsi="Palatino Linotype" w:cs="Segoe UI"/>
        </w:rPr>
        <w:t> </w:t>
      </w:r>
    </w:p>
    <w:p w14:paraId="0032AB60" w14:textId="77777777" w:rsidR="000934B8" w:rsidRPr="008D0C94" w:rsidRDefault="000934B8" w:rsidP="00DE5474">
      <w:pPr>
        <w:pStyle w:val="paragraph"/>
        <w:spacing w:before="0" w:beforeAutospacing="0" w:after="0" w:afterAutospacing="0"/>
        <w:jc w:val="both"/>
        <w:textAlignment w:val="baseline"/>
        <w:rPr>
          <w:rStyle w:val="eop"/>
          <w:rFonts w:ascii="Palatino Linotype" w:eastAsiaTheme="majorEastAsia" w:hAnsi="Palatino Linotype" w:cs="Segoe UI"/>
        </w:rPr>
      </w:pPr>
    </w:p>
    <w:p w14:paraId="1C458601" w14:textId="51E057E7" w:rsidR="000934B8" w:rsidRPr="008D0C94" w:rsidRDefault="000934B8" w:rsidP="00DE5474">
      <w:pPr>
        <w:pStyle w:val="paragraph"/>
        <w:spacing w:before="0" w:beforeAutospacing="0" w:after="0" w:afterAutospacing="0"/>
        <w:jc w:val="both"/>
        <w:textAlignment w:val="baseline"/>
        <w:rPr>
          <w:rStyle w:val="eop"/>
          <w:rFonts w:ascii="Palatino Linotype" w:eastAsiaTheme="majorEastAsia" w:hAnsi="Palatino Linotype" w:cs="Segoe UI"/>
        </w:rPr>
      </w:pPr>
      <w:r w:rsidRPr="008D0C94">
        <w:rPr>
          <w:rStyle w:val="eop"/>
          <w:rFonts w:ascii="Palatino Linotype" w:eastAsiaTheme="majorEastAsia" w:hAnsi="Palatino Linotype" w:cs="Segoe UI"/>
        </w:rPr>
        <w:t xml:space="preserve">This was a sufficiently attractive result to encourage Miller Capital to pursue the strategy further. However, this first test run was based purely on a perfect scenario basis, with no rebalancing based on a factor. </w:t>
      </w:r>
      <w:r w:rsidR="003572FE" w:rsidRPr="008D0C94">
        <w:rPr>
          <w:rStyle w:val="eop"/>
          <w:rFonts w:ascii="Palatino Linotype" w:eastAsiaTheme="majorEastAsia" w:hAnsi="Palatino Linotype" w:cs="Segoe UI"/>
        </w:rPr>
        <w:t xml:space="preserve">In the second round of tests, the firm tried something a bit different, to observe how the </w:t>
      </w:r>
      <w:r w:rsidR="00E26F43" w:rsidRPr="008D0C94">
        <w:rPr>
          <w:rStyle w:val="eop"/>
          <w:rFonts w:ascii="Palatino Linotype" w:eastAsiaTheme="majorEastAsia" w:hAnsi="Palatino Linotype" w:cs="Segoe UI"/>
        </w:rPr>
        <w:t>portfolio of sector’s would be</w:t>
      </w:r>
      <w:r w:rsidR="00DB0E87" w:rsidRPr="008D0C94">
        <w:rPr>
          <w:rStyle w:val="eop"/>
          <w:rFonts w:ascii="Palatino Linotype" w:eastAsiaTheme="majorEastAsia" w:hAnsi="Palatino Linotype" w:cs="Segoe UI"/>
        </w:rPr>
        <w:t xml:space="preserve">have under a non-fundamental indicator: </w:t>
      </w:r>
      <w:r w:rsidR="00786B7A" w:rsidRPr="008D0C94">
        <w:rPr>
          <w:rStyle w:val="eop"/>
          <w:rFonts w:ascii="Palatino Linotype" w:eastAsiaTheme="majorEastAsia" w:hAnsi="Palatino Linotype" w:cs="Segoe UI"/>
        </w:rPr>
        <w:t>moving averages</w:t>
      </w:r>
      <w:r w:rsidR="00DB0E87" w:rsidRPr="008D0C94">
        <w:rPr>
          <w:rStyle w:val="eop"/>
          <w:rFonts w:ascii="Palatino Linotype" w:eastAsiaTheme="majorEastAsia" w:hAnsi="Palatino Linotype" w:cs="Segoe UI"/>
        </w:rPr>
        <w:t xml:space="preserve">. </w:t>
      </w:r>
    </w:p>
    <w:p w14:paraId="40988E8F" w14:textId="77777777" w:rsidR="00DB0E87" w:rsidRPr="008D0C94" w:rsidRDefault="00DB0E87" w:rsidP="00DE5474">
      <w:pPr>
        <w:pStyle w:val="paragraph"/>
        <w:spacing w:before="0" w:beforeAutospacing="0" w:after="0" w:afterAutospacing="0"/>
        <w:jc w:val="both"/>
        <w:textAlignment w:val="baseline"/>
        <w:rPr>
          <w:rStyle w:val="eop"/>
          <w:rFonts w:ascii="Palatino Linotype" w:eastAsiaTheme="majorEastAsia" w:hAnsi="Palatino Linotype" w:cs="Segoe UI"/>
        </w:rPr>
      </w:pPr>
    </w:p>
    <w:p w14:paraId="558D39A9" w14:textId="3D1A041A" w:rsidR="00DB0E87" w:rsidRPr="008D0C94" w:rsidRDefault="00DB0E87" w:rsidP="00DE5474">
      <w:pPr>
        <w:pStyle w:val="paragraph"/>
        <w:spacing w:before="0" w:beforeAutospacing="0" w:after="0" w:afterAutospacing="0"/>
        <w:jc w:val="both"/>
        <w:textAlignment w:val="baseline"/>
        <w:rPr>
          <w:rStyle w:val="eop"/>
          <w:rFonts w:ascii="Palatino Linotype" w:eastAsiaTheme="majorEastAsia" w:hAnsi="Palatino Linotype" w:cs="Segoe UI"/>
          <w:b/>
          <w:bCs/>
        </w:rPr>
      </w:pPr>
      <w:r w:rsidRPr="008D0C94">
        <w:rPr>
          <w:rStyle w:val="eop"/>
          <w:rFonts w:ascii="Palatino Linotype" w:eastAsiaTheme="majorEastAsia" w:hAnsi="Palatino Linotype" w:cs="Segoe UI"/>
          <w:b/>
          <w:bCs/>
        </w:rPr>
        <w:t xml:space="preserve">Part 7: </w:t>
      </w:r>
      <w:r w:rsidR="00786B7A" w:rsidRPr="008D0C94">
        <w:rPr>
          <w:rStyle w:val="eop"/>
          <w:rFonts w:ascii="Palatino Linotype" w:eastAsiaTheme="majorEastAsia" w:hAnsi="Palatino Linotype" w:cs="Segoe UI"/>
          <w:b/>
          <w:bCs/>
        </w:rPr>
        <w:t>Second Round of Tests: Moving Averages</w:t>
      </w:r>
    </w:p>
    <w:p w14:paraId="16BA4B43" w14:textId="77777777" w:rsidR="00786B7A" w:rsidRPr="008D0C94" w:rsidRDefault="00786B7A" w:rsidP="00DE5474">
      <w:pPr>
        <w:pStyle w:val="paragraph"/>
        <w:spacing w:before="0" w:beforeAutospacing="0" w:after="0" w:afterAutospacing="0"/>
        <w:jc w:val="both"/>
        <w:textAlignment w:val="baseline"/>
        <w:rPr>
          <w:rStyle w:val="eop"/>
          <w:rFonts w:ascii="Palatino Linotype" w:eastAsiaTheme="majorEastAsia" w:hAnsi="Palatino Linotype" w:cs="Segoe UI"/>
          <w:b/>
          <w:bCs/>
        </w:rPr>
      </w:pPr>
    </w:p>
    <w:p w14:paraId="2D3140C8" w14:textId="3AAE3BAC" w:rsidR="00786B7A" w:rsidRPr="008D0C94" w:rsidRDefault="00DA41F4" w:rsidP="00DE5474">
      <w:pPr>
        <w:pStyle w:val="paragraph"/>
        <w:spacing w:before="0" w:beforeAutospacing="0" w:after="0" w:afterAutospacing="0"/>
        <w:jc w:val="both"/>
        <w:textAlignment w:val="baseline"/>
        <w:rPr>
          <w:rFonts w:ascii="Palatino Linotype" w:hAnsi="Palatino Linotype" w:cs="Segoe UI"/>
          <w:shd w:val="clear" w:color="auto" w:fill="FFFFFF"/>
        </w:rPr>
      </w:pPr>
      <w:r w:rsidRPr="008D0C94">
        <w:rPr>
          <w:rFonts w:ascii="Palatino Linotype" w:hAnsi="Palatino Linotype"/>
        </w:rPr>
        <w:br/>
      </w:r>
      <w:r w:rsidRPr="008D0C94">
        <w:rPr>
          <w:rFonts w:ascii="Palatino Linotype" w:hAnsi="Palatino Linotype" w:cs="Segoe UI"/>
          <w:shd w:val="clear" w:color="auto" w:fill="FFFFFF"/>
        </w:rPr>
        <w:t xml:space="preserve">In </w:t>
      </w:r>
      <w:r w:rsidRPr="008D0C94">
        <w:rPr>
          <w:rFonts w:ascii="Palatino Linotype" w:hAnsi="Palatino Linotype" w:cs="Segoe UI"/>
          <w:shd w:val="clear" w:color="auto" w:fill="FFFFFF"/>
        </w:rPr>
        <w:t>this</w:t>
      </w:r>
      <w:r w:rsidRPr="008D0C94">
        <w:rPr>
          <w:rFonts w:ascii="Palatino Linotype" w:hAnsi="Palatino Linotype" w:cs="Segoe UI"/>
          <w:shd w:val="clear" w:color="auto" w:fill="FFFFFF"/>
        </w:rPr>
        <w:t xml:space="preserve"> sector rotation portfolio model, short (50-day) and long (200-day) moving averages are used to detect momentum and guide investment decisions. A short moving average that exceeds the long moving average signals a buy opportunity, indicating upward momentum, while the opposite scenario suggests a sell, indicating downward momentum. These signals, derived from the moving averages, help determine optimal entry and exit points in different sectors, aiming to capitalize on their expected performance. The strategy utilizes these trends along with Sharpe ratio optimization to allocate investments across sectors efficiently, attempting to maximize returns relative to risk.</w:t>
      </w:r>
    </w:p>
    <w:p w14:paraId="2F681A31" w14:textId="77777777" w:rsidR="00D13620" w:rsidRPr="008D0C94" w:rsidRDefault="00D13620" w:rsidP="00DE5474">
      <w:pPr>
        <w:pStyle w:val="paragraph"/>
        <w:spacing w:before="0" w:beforeAutospacing="0" w:after="0" w:afterAutospacing="0"/>
        <w:jc w:val="both"/>
        <w:textAlignment w:val="baseline"/>
        <w:rPr>
          <w:rFonts w:ascii="Palatino Linotype" w:hAnsi="Palatino Linotype" w:cs="Segoe UI"/>
          <w:shd w:val="clear" w:color="auto" w:fill="FFFFFF"/>
        </w:rPr>
      </w:pPr>
    </w:p>
    <w:p w14:paraId="6B7BB311" w14:textId="362E6D16" w:rsidR="00D13620" w:rsidRPr="008D0C94" w:rsidRDefault="00D13620" w:rsidP="00DE5474">
      <w:pPr>
        <w:pStyle w:val="paragraph"/>
        <w:spacing w:before="0" w:beforeAutospacing="0" w:after="0" w:afterAutospacing="0"/>
        <w:jc w:val="both"/>
        <w:textAlignment w:val="baseline"/>
        <w:rPr>
          <w:rFonts w:ascii="Palatino Linotype" w:hAnsi="Palatino Linotype" w:cs="Segoe UI"/>
          <w:b/>
          <w:bCs/>
        </w:rPr>
      </w:pPr>
      <w:r w:rsidRPr="008D0C94">
        <w:rPr>
          <w:rFonts w:ascii="Palatino Linotype" w:hAnsi="Palatino Linotype" w:cs="Segoe UI"/>
          <w:shd w:val="clear" w:color="auto" w:fill="FFFFFF"/>
        </w:rPr>
        <w:t xml:space="preserve">This </w:t>
      </w:r>
      <w:r w:rsidR="0039467F" w:rsidRPr="008D0C94">
        <w:rPr>
          <w:rFonts w:ascii="Palatino Linotype" w:hAnsi="Palatino Linotype" w:cs="Segoe UI"/>
          <w:shd w:val="clear" w:color="auto" w:fill="FFFFFF"/>
        </w:rPr>
        <w:t xml:space="preserve">version of the model (the first coded in Colab/Python), </w:t>
      </w:r>
      <w:r w:rsidR="008D2543" w:rsidRPr="008D0C94">
        <w:rPr>
          <w:rFonts w:ascii="Palatino Linotype" w:hAnsi="Palatino Linotype" w:cs="Segoe UI"/>
          <w:shd w:val="clear" w:color="auto" w:fill="FFFFFF"/>
        </w:rPr>
        <w:t xml:space="preserve">represents more of a momentum strategy than a rotation based on economic indicators. It is less of a marriage of qualitative and quantitative investing, which is the goal of Miller Capital. Instead, </w:t>
      </w:r>
      <w:r w:rsidR="00231D41" w:rsidRPr="008D0C94">
        <w:rPr>
          <w:rFonts w:ascii="Palatino Linotype" w:hAnsi="Palatino Linotype" w:cs="Segoe UI"/>
          <w:shd w:val="clear" w:color="auto" w:fill="FFFFFF"/>
        </w:rPr>
        <w:t xml:space="preserve">it was much more of a quantitative model, and now the goal was to merge the first two </w:t>
      </w:r>
      <w:r w:rsidR="0073656C" w:rsidRPr="008D0C94">
        <w:rPr>
          <w:rFonts w:ascii="Palatino Linotype" w:hAnsi="Palatino Linotype" w:cs="Segoe UI"/>
          <w:shd w:val="clear" w:color="auto" w:fill="FFFFFF"/>
        </w:rPr>
        <w:t>strategies and</w:t>
      </w:r>
      <w:r w:rsidR="00231D41" w:rsidRPr="008D0C94">
        <w:rPr>
          <w:rFonts w:ascii="Palatino Linotype" w:hAnsi="Palatino Linotype" w:cs="Segoe UI"/>
          <w:shd w:val="clear" w:color="auto" w:fill="FFFFFF"/>
        </w:rPr>
        <w:t xml:space="preserve"> incorporate</w:t>
      </w:r>
      <w:r w:rsidR="0073656C" w:rsidRPr="008D0C94">
        <w:rPr>
          <w:rFonts w:ascii="Palatino Linotype" w:hAnsi="Palatino Linotype" w:cs="Segoe UI"/>
          <w:shd w:val="clear" w:color="auto" w:fill="FFFFFF"/>
        </w:rPr>
        <w:t xml:space="preserve"> an economic factor as well. (Spoiler alert, it did not result in how Miller Capital thought it would). </w:t>
      </w:r>
      <w:r w:rsidR="008D2543" w:rsidRPr="008D0C94">
        <w:rPr>
          <w:rFonts w:ascii="Palatino Linotype" w:hAnsi="Palatino Linotype" w:cs="Segoe UI"/>
          <w:shd w:val="clear" w:color="auto" w:fill="FFFFFF"/>
        </w:rPr>
        <w:t xml:space="preserve"> </w:t>
      </w:r>
    </w:p>
    <w:p w14:paraId="166820BF" w14:textId="77777777" w:rsidR="00DE5474" w:rsidRPr="008D0C94" w:rsidRDefault="00DE5474" w:rsidP="00A0796B">
      <w:pPr>
        <w:pStyle w:val="paragraph"/>
        <w:spacing w:before="0" w:beforeAutospacing="0" w:after="0" w:afterAutospacing="0"/>
        <w:jc w:val="both"/>
        <w:textAlignment w:val="baseline"/>
        <w:rPr>
          <w:rFonts w:ascii="Palatino Linotype" w:hAnsi="Palatino Linotype" w:cs="Segoe UI"/>
          <w:sz w:val="20"/>
          <w:szCs w:val="20"/>
        </w:rPr>
      </w:pPr>
    </w:p>
    <w:p w14:paraId="79A880B8" w14:textId="7F37BE09" w:rsidR="0073656C" w:rsidRPr="008D0C94" w:rsidRDefault="0073656C" w:rsidP="00A0796B">
      <w:pPr>
        <w:pStyle w:val="paragraph"/>
        <w:spacing w:before="0" w:beforeAutospacing="0" w:after="0" w:afterAutospacing="0"/>
        <w:jc w:val="both"/>
        <w:textAlignment w:val="baseline"/>
        <w:rPr>
          <w:rFonts w:ascii="Palatino Linotype" w:hAnsi="Palatino Linotype" w:cs="Segoe UI"/>
          <w:b/>
          <w:bCs/>
        </w:rPr>
      </w:pPr>
      <w:r w:rsidRPr="008D0C94">
        <w:rPr>
          <w:rFonts w:ascii="Palatino Linotype" w:hAnsi="Palatino Linotype" w:cs="Segoe UI"/>
          <w:b/>
          <w:bCs/>
        </w:rPr>
        <w:t xml:space="preserve">Part 8: </w:t>
      </w:r>
      <w:r w:rsidR="00291D8C" w:rsidRPr="008D0C94">
        <w:rPr>
          <w:rFonts w:ascii="Palatino Linotype" w:hAnsi="Palatino Linotype" w:cs="Segoe UI"/>
          <w:b/>
          <w:bCs/>
        </w:rPr>
        <w:t>Before the Final Model: Data Cleaning and Sourcing</w:t>
      </w:r>
    </w:p>
    <w:p w14:paraId="38FC32B2" w14:textId="77777777" w:rsidR="00291D8C" w:rsidRPr="008D0C94" w:rsidRDefault="00291D8C" w:rsidP="00A0796B">
      <w:pPr>
        <w:pStyle w:val="paragraph"/>
        <w:spacing w:before="0" w:beforeAutospacing="0" w:after="0" w:afterAutospacing="0"/>
        <w:jc w:val="both"/>
        <w:textAlignment w:val="baseline"/>
        <w:rPr>
          <w:rFonts w:ascii="Palatino Linotype" w:hAnsi="Palatino Linotype" w:cs="Segoe UI"/>
          <w:b/>
          <w:bCs/>
        </w:rPr>
      </w:pPr>
    </w:p>
    <w:p w14:paraId="14302C52" w14:textId="5A2243D0" w:rsidR="00291D8C" w:rsidRDefault="00CF42BF" w:rsidP="00A0796B">
      <w:pPr>
        <w:pStyle w:val="paragraph"/>
        <w:spacing w:before="0" w:beforeAutospacing="0" w:after="0" w:afterAutospacing="0"/>
        <w:jc w:val="both"/>
        <w:textAlignment w:val="baseline"/>
        <w:rPr>
          <w:rFonts w:ascii="Palatino Linotype" w:hAnsi="Palatino Linotype" w:cs="Segoe UI"/>
        </w:rPr>
      </w:pPr>
      <w:r w:rsidRPr="008D0C94">
        <w:rPr>
          <w:rFonts w:ascii="Palatino Linotype" w:hAnsi="Palatino Linotype" w:cs="Segoe UI"/>
        </w:rPr>
        <w:t>As we approach a discussion of the</w:t>
      </w:r>
      <w:r w:rsidR="00EE5650" w:rsidRPr="008D0C94">
        <w:rPr>
          <w:rFonts w:ascii="Palatino Linotype" w:hAnsi="Palatino Linotype" w:cs="Segoe UI"/>
        </w:rPr>
        <w:t xml:space="preserve"> end</w:t>
      </w:r>
      <w:r w:rsidRPr="008D0C94">
        <w:rPr>
          <w:rFonts w:ascii="Palatino Linotype" w:hAnsi="Palatino Linotype" w:cs="Segoe UI"/>
        </w:rPr>
        <w:t xml:space="preserve"> </w:t>
      </w:r>
      <w:r w:rsidR="00EE5650" w:rsidRPr="008D0C94">
        <w:rPr>
          <w:rFonts w:ascii="Palatino Linotype" w:hAnsi="Palatino Linotype" w:cs="Segoe UI"/>
        </w:rPr>
        <w:t>results</w:t>
      </w:r>
      <w:r w:rsidR="00B761EC" w:rsidRPr="008D0C94">
        <w:rPr>
          <w:rFonts w:ascii="Palatino Linotype" w:hAnsi="Palatino Linotype" w:cs="Segoe UI"/>
        </w:rPr>
        <w:t xml:space="preserve">, Miller </w:t>
      </w:r>
      <w:r w:rsidR="001F47B9" w:rsidRPr="008D0C94">
        <w:rPr>
          <w:rFonts w:ascii="Palatino Linotype" w:hAnsi="Palatino Linotype" w:cs="Segoe UI"/>
        </w:rPr>
        <w:t>Capital</w:t>
      </w:r>
      <w:r w:rsidR="00B761EC" w:rsidRPr="008D0C94">
        <w:rPr>
          <w:rFonts w:ascii="Palatino Linotype" w:hAnsi="Palatino Linotype" w:cs="Segoe UI"/>
        </w:rPr>
        <w:t xml:space="preserve"> feels it is prudent to be transparent about the </w:t>
      </w:r>
      <w:r w:rsidR="001F47B9" w:rsidRPr="008D0C94">
        <w:rPr>
          <w:rFonts w:ascii="Palatino Linotype" w:hAnsi="Palatino Linotype" w:cs="Segoe UI"/>
        </w:rPr>
        <w:t xml:space="preserve">collection and cleaning of the data. All data used </w:t>
      </w:r>
      <w:r w:rsidR="00EE5650" w:rsidRPr="008D0C94">
        <w:rPr>
          <w:rFonts w:ascii="Palatino Linotype" w:hAnsi="Palatino Linotype" w:cs="Segoe UI"/>
        </w:rPr>
        <w:t>in this</w:t>
      </w:r>
      <w:r w:rsidR="001F47B9" w:rsidRPr="008D0C94">
        <w:rPr>
          <w:rFonts w:ascii="Palatino Linotype" w:hAnsi="Palatino Linotype" w:cs="Segoe UI"/>
        </w:rPr>
        <w:t xml:space="preserve"> analysis was sourced from Bloomberg Terminals</w:t>
      </w:r>
      <w:r w:rsidR="00EE5650" w:rsidRPr="008D0C94">
        <w:rPr>
          <w:rFonts w:ascii="Palatino Linotype" w:hAnsi="Palatino Linotype" w:cs="Segoe UI"/>
        </w:rPr>
        <w:t xml:space="preserve">. </w:t>
      </w:r>
      <w:r w:rsidR="00F35BDA" w:rsidRPr="008D0C94">
        <w:rPr>
          <w:rFonts w:ascii="Palatino Linotype" w:hAnsi="Palatino Linotype" w:cs="Segoe UI"/>
        </w:rPr>
        <w:t>The data for each portion of the test was analyz</w:t>
      </w:r>
      <w:r w:rsidR="0051127C" w:rsidRPr="008D0C94">
        <w:rPr>
          <w:rFonts w:ascii="Palatino Linotype" w:hAnsi="Palatino Linotype" w:cs="Segoe UI"/>
        </w:rPr>
        <w:t xml:space="preserve">ed for the time frame from Jan 01, 2000, to Dec 31, 2019. </w:t>
      </w:r>
      <w:r w:rsidR="00EE5650" w:rsidRPr="008D0C94">
        <w:rPr>
          <w:rFonts w:ascii="Palatino Linotype" w:hAnsi="Palatino Linotype" w:cs="Segoe UI"/>
        </w:rPr>
        <w:t xml:space="preserve">All price data is initially input into a data frame in Excel as the ending price data from said week (for the sector prices and for the benchmark index prices, S&amp;P 500 Index and LBUSTRUU Index U.S. bond index). For CPI, data is released monthly by the Bureau of Economic Analysis. </w:t>
      </w:r>
      <w:r w:rsidR="00D4083C" w:rsidRPr="008D0C94">
        <w:rPr>
          <w:rFonts w:ascii="Palatino Linotype" w:hAnsi="Palatino Linotype" w:cs="Segoe UI"/>
        </w:rPr>
        <w:t xml:space="preserve">To account for this, when new CPI data was released, the number was rolled forward week-over-week </w:t>
      </w:r>
      <w:r w:rsidR="008303DE" w:rsidRPr="008D0C94">
        <w:rPr>
          <w:rFonts w:ascii="Palatino Linotype" w:hAnsi="Palatino Linotype" w:cs="Segoe UI"/>
        </w:rPr>
        <w:t xml:space="preserve">to match the index and sector data frequency. Consequently, the portfolio model is “rebalanced” </w:t>
      </w:r>
      <w:r w:rsidR="00D56DB5" w:rsidRPr="008D0C94">
        <w:rPr>
          <w:rFonts w:ascii="Palatino Linotype" w:hAnsi="Palatino Linotype" w:cs="Segoe UI"/>
        </w:rPr>
        <w:t>monthly</w:t>
      </w:r>
      <w:r w:rsidR="008303DE" w:rsidRPr="008D0C94">
        <w:rPr>
          <w:rFonts w:ascii="Palatino Linotype" w:hAnsi="Palatino Linotype" w:cs="Segoe UI"/>
        </w:rPr>
        <w:t xml:space="preserve">. </w:t>
      </w:r>
      <w:r w:rsidR="00FE0B3E" w:rsidRPr="008D0C94">
        <w:rPr>
          <w:rFonts w:ascii="Palatino Linotype" w:hAnsi="Palatino Linotype" w:cs="Segoe UI"/>
        </w:rPr>
        <w:t>Finally, the portfolio model calculated daily</w:t>
      </w:r>
      <w:r w:rsidR="00686FBC" w:rsidRPr="008D0C94">
        <w:rPr>
          <w:rFonts w:ascii="Palatino Linotype" w:hAnsi="Palatino Linotype" w:cs="Segoe UI"/>
        </w:rPr>
        <w:t xml:space="preserve"> changes in each sector and normalized the initial values to 0, to ensure a simpler visual and numerical analysis could be conducted at the conclusion of the tests. Cumulative returns were tabulated, and then display</w:t>
      </w:r>
      <w:r w:rsidR="00D015F5" w:rsidRPr="008D0C94">
        <w:rPr>
          <w:rFonts w:ascii="Palatino Linotype" w:hAnsi="Palatino Linotype" w:cs="Segoe UI"/>
        </w:rPr>
        <w:t xml:space="preserve">ed. From the above data and model, the model calculated the </w:t>
      </w:r>
      <w:r w:rsidR="003C3900" w:rsidRPr="008D0C94">
        <w:rPr>
          <w:rFonts w:ascii="Palatino Linotype" w:hAnsi="Palatino Linotype" w:cs="Segoe UI"/>
        </w:rPr>
        <w:t>following portfolio</w:t>
      </w:r>
      <w:r w:rsidR="00F35BDA" w:rsidRPr="008D0C94">
        <w:rPr>
          <w:rFonts w:ascii="Palatino Linotype" w:hAnsi="Palatino Linotype" w:cs="Segoe UI"/>
        </w:rPr>
        <w:t xml:space="preserve"> metrics</w:t>
      </w:r>
      <w:r w:rsidR="008D0C94">
        <w:rPr>
          <w:rFonts w:ascii="Palatino Linotype" w:hAnsi="Palatino Linotype" w:cs="Segoe UI"/>
        </w:rPr>
        <w:t xml:space="preserve">. </w:t>
      </w:r>
    </w:p>
    <w:p w14:paraId="122136FA" w14:textId="77777777" w:rsidR="008D0C94" w:rsidRDefault="008D0C94" w:rsidP="00A0796B">
      <w:pPr>
        <w:pStyle w:val="paragraph"/>
        <w:spacing w:before="0" w:beforeAutospacing="0" w:after="0" w:afterAutospacing="0"/>
        <w:jc w:val="both"/>
        <w:textAlignment w:val="baseline"/>
        <w:rPr>
          <w:rFonts w:ascii="Palatino Linotype" w:hAnsi="Palatino Linotype" w:cs="Segoe UI"/>
        </w:rPr>
      </w:pPr>
    </w:p>
    <w:p w14:paraId="7D10F427" w14:textId="21784C53" w:rsidR="008D0C94" w:rsidRDefault="008D0C94" w:rsidP="00A0796B">
      <w:pPr>
        <w:pStyle w:val="paragraph"/>
        <w:spacing w:before="0" w:beforeAutospacing="0" w:after="0" w:afterAutospacing="0"/>
        <w:jc w:val="both"/>
        <w:textAlignment w:val="baseline"/>
        <w:rPr>
          <w:rFonts w:ascii="Palatino Linotype" w:hAnsi="Palatino Linotype" w:cs="Segoe UI"/>
          <w:b/>
          <w:bCs/>
        </w:rPr>
      </w:pPr>
      <w:r w:rsidRPr="008D0C94">
        <w:rPr>
          <w:rFonts w:ascii="Palatino Linotype" w:hAnsi="Palatino Linotype" w:cs="Segoe UI"/>
          <w:b/>
          <w:bCs/>
        </w:rPr>
        <w:t>Part 9: Final Test Results</w:t>
      </w:r>
    </w:p>
    <w:p w14:paraId="79F15631" w14:textId="77777777" w:rsidR="008D0C94" w:rsidRPr="008D0C94" w:rsidRDefault="008D0C94" w:rsidP="00A0796B">
      <w:pPr>
        <w:pStyle w:val="paragraph"/>
        <w:spacing w:before="0" w:beforeAutospacing="0" w:after="0" w:afterAutospacing="0"/>
        <w:jc w:val="both"/>
        <w:textAlignment w:val="baseline"/>
        <w:rPr>
          <w:rFonts w:ascii="Palatino Linotype" w:hAnsi="Palatino Linotype" w:cs="Segoe UI"/>
          <w:b/>
          <w:bCs/>
        </w:rPr>
      </w:pPr>
    </w:p>
    <w:p w14:paraId="2F6718B1" w14:textId="17C6B9EE" w:rsidR="00A0796B" w:rsidRPr="008D0C94" w:rsidRDefault="003C3900" w:rsidP="00BA50CE">
      <w:pPr>
        <w:tabs>
          <w:tab w:val="center" w:pos="4680"/>
        </w:tabs>
        <w:jc w:val="both"/>
        <w:rPr>
          <w:rFonts w:ascii="Palatino Linotype" w:hAnsi="Palatino Linotype"/>
        </w:rPr>
      </w:pPr>
      <w:r w:rsidRPr="008D0C94">
        <w:rPr>
          <w:rFonts w:ascii="Palatino Linotype" w:hAnsi="Palatino Linotype"/>
          <w:noProof/>
        </w:rPr>
        <w:drawing>
          <wp:inline distT="0" distB="0" distL="0" distR="0" wp14:anchorId="3DD79915" wp14:editId="0AC7CB8D">
            <wp:extent cx="3600447" cy="2446073"/>
            <wp:effectExtent l="0" t="0" r="635" b="0"/>
            <wp:docPr id="964278138" name="Picture 1" descr="A table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278138" name="Picture 1" descr="A table with text and numbers&#10;&#10;Description automatically generated"/>
                    <pic:cNvPicPr/>
                  </pic:nvPicPr>
                  <pic:blipFill>
                    <a:blip r:embed="rId7"/>
                    <a:stretch>
                      <a:fillRect/>
                    </a:stretch>
                  </pic:blipFill>
                  <pic:spPr>
                    <a:xfrm>
                      <a:off x="0" y="0"/>
                      <a:ext cx="3609745" cy="2452390"/>
                    </a:xfrm>
                    <a:prstGeom prst="rect">
                      <a:avLst/>
                    </a:prstGeom>
                  </pic:spPr>
                </pic:pic>
              </a:graphicData>
            </a:graphic>
          </wp:inline>
        </w:drawing>
      </w:r>
    </w:p>
    <w:p w14:paraId="1128F687" w14:textId="1B4D1E20" w:rsidR="003C3900" w:rsidRPr="008D0C94" w:rsidRDefault="003C3900" w:rsidP="00BA50CE">
      <w:pPr>
        <w:tabs>
          <w:tab w:val="center" w:pos="4680"/>
        </w:tabs>
        <w:jc w:val="both"/>
        <w:rPr>
          <w:rFonts w:ascii="Palatino Linotype" w:hAnsi="Palatino Linotype"/>
        </w:rPr>
      </w:pPr>
      <w:r w:rsidRPr="008D0C94">
        <w:rPr>
          <w:rFonts w:ascii="Palatino Linotype" w:hAnsi="Palatino Linotype"/>
        </w:rPr>
        <w:lastRenderedPageBreak/>
        <w:t xml:space="preserve">The visualized returns of the portfolio compared to the benchmark can be found here </w:t>
      </w:r>
      <w:r w:rsidR="00270AD0" w:rsidRPr="008D0C94">
        <w:rPr>
          <w:rFonts w:ascii="Palatino Linotype" w:hAnsi="Palatino Linotype"/>
        </w:rPr>
        <w:t>(Cumulative Portfolio Returns in Blue, Benchmark Returns in Green)</w:t>
      </w:r>
      <w:r w:rsidR="00876E30" w:rsidRPr="008D0C94">
        <w:rPr>
          <w:rFonts w:ascii="Palatino Linotype" w:hAnsi="Palatino Linotype"/>
        </w:rPr>
        <w:t>:</w:t>
      </w:r>
    </w:p>
    <w:p w14:paraId="1F8BA8E8" w14:textId="327648E8" w:rsidR="00270AD0" w:rsidRPr="008D0C94" w:rsidRDefault="00270AD0" w:rsidP="00BA50CE">
      <w:pPr>
        <w:tabs>
          <w:tab w:val="center" w:pos="4680"/>
        </w:tabs>
        <w:jc w:val="both"/>
        <w:rPr>
          <w:rFonts w:ascii="Palatino Linotype" w:hAnsi="Palatino Linotype"/>
        </w:rPr>
      </w:pPr>
      <w:r w:rsidRPr="008D0C94">
        <w:rPr>
          <w:rFonts w:ascii="Palatino Linotype" w:hAnsi="Palatino Linotype"/>
          <w:noProof/>
        </w:rPr>
        <w:drawing>
          <wp:inline distT="0" distB="0" distL="0" distR="0" wp14:anchorId="7ED7BA94" wp14:editId="27310C20">
            <wp:extent cx="5943600" cy="2621915"/>
            <wp:effectExtent l="0" t="0" r="0" b="6985"/>
            <wp:docPr id="2" name="Picture 1" descr="A graph with green and blue lines&#10;&#10;Description automatically generated">
              <a:extLst xmlns:a="http://schemas.openxmlformats.org/drawingml/2006/main">
                <a:ext uri="{FF2B5EF4-FFF2-40B4-BE49-F238E27FC236}">
                  <a16:creationId xmlns:a16="http://schemas.microsoft.com/office/drawing/2014/main" id="{D39012C2-77D0-1641-5EB9-8C8FDBE771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graph with green and blue lines&#10;&#10;Description automatically generated">
                      <a:extLst>
                        <a:ext uri="{FF2B5EF4-FFF2-40B4-BE49-F238E27FC236}">
                          <a16:creationId xmlns:a16="http://schemas.microsoft.com/office/drawing/2014/main" id="{D39012C2-77D0-1641-5EB9-8C8FDBE77184}"/>
                        </a:ext>
                      </a:extLst>
                    </pic:cNvPr>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21915"/>
                    </a:xfrm>
                    <a:prstGeom prst="rect">
                      <a:avLst/>
                    </a:prstGeom>
                    <a:noFill/>
                    <a:ln>
                      <a:noFill/>
                    </a:ln>
                  </pic:spPr>
                </pic:pic>
              </a:graphicData>
            </a:graphic>
          </wp:inline>
        </w:drawing>
      </w:r>
    </w:p>
    <w:p w14:paraId="396F6CE9" w14:textId="2AEFEB5B" w:rsidR="0015031E" w:rsidRDefault="0015031E" w:rsidP="00BA50CE">
      <w:pPr>
        <w:tabs>
          <w:tab w:val="center" w:pos="4680"/>
        </w:tabs>
        <w:jc w:val="both"/>
        <w:rPr>
          <w:rFonts w:ascii="Palatino Linotype" w:hAnsi="Palatino Linotype"/>
          <w:b/>
          <w:bCs/>
        </w:rPr>
      </w:pPr>
      <w:r>
        <w:rPr>
          <w:rFonts w:ascii="Palatino Linotype" w:hAnsi="Palatino Linotype"/>
          <w:b/>
          <w:bCs/>
        </w:rPr>
        <w:t>Part 10: Analysis of Portfolio Results</w:t>
      </w:r>
    </w:p>
    <w:p w14:paraId="2E5AC4ED" w14:textId="0086B043" w:rsidR="003B28EE" w:rsidRDefault="00A870BE" w:rsidP="00BA50CE">
      <w:pPr>
        <w:tabs>
          <w:tab w:val="center" w:pos="4680"/>
        </w:tabs>
        <w:jc w:val="both"/>
        <w:rPr>
          <w:rFonts w:ascii="Palatino Linotype" w:hAnsi="Palatino Linotype"/>
        </w:rPr>
      </w:pPr>
      <w:r>
        <w:rPr>
          <w:rFonts w:ascii="Palatino Linotype" w:hAnsi="Palatino Linotype"/>
        </w:rPr>
        <w:tab/>
      </w:r>
      <w:r w:rsidR="002F1FC2">
        <w:rPr>
          <w:rFonts w:ascii="Palatino Linotype" w:hAnsi="Palatino Linotype"/>
        </w:rPr>
        <w:t xml:space="preserve">While the new portfolio was able to generate </w:t>
      </w:r>
      <w:r w:rsidR="00401EBD">
        <w:rPr>
          <w:rFonts w:ascii="Palatino Linotype" w:hAnsi="Palatino Linotype"/>
        </w:rPr>
        <w:t>alpha</w:t>
      </w:r>
      <w:r w:rsidR="002F1FC2">
        <w:rPr>
          <w:rFonts w:ascii="Palatino Linotype" w:hAnsi="Palatino Linotype"/>
        </w:rPr>
        <w:t xml:space="preserve"> </w:t>
      </w:r>
      <w:r w:rsidR="00401EBD">
        <w:rPr>
          <w:rFonts w:ascii="Palatino Linotype" w:hAnsi="Palatino Linotype"/>
        </w:rPr>
        <w:t>over</w:t>
      </w:r>
      <w:r w:rsidR="002F1FC2">
        <w:rPr>
          <w:rFonts w:ascii="Palatino Linotype" w:hAnsi="Palatino Linotype"/>
        </w:rPr>
        <w:t xml:space="preserve"> the benchmark</w:t>
      </w:r>
      <w:r w:rsidR="000662CA">
        <w:rPr>
          <w:rFonts w:ascii="Palatino Linotype" w:hAnsi="Palatino Linotype"/>
        </w:rPr>
        <w:t xml:space="preserve">, it came with significant drawbacks. When rebalanced based on changes in CPI, the portfolio was significantly more volatile and </w:t>
      </w:r>
      <w:r w:rsidR="00451DB8">
        <w:rPr>
          <w:rFonts w:ascii="Palatino Linotype" w:hAnsi="Palatino Linotype"/>
        </w:rPr>
        <w:t xml:space="preserve">assumed unnecessary risk to </w:t>
      </w:r>
      <w:r w:rsidR="002116E0">
        <w:rPr>
          <w:rFonts w:ascii="Palatino Linotype" w:hAnsi="Palatino Linotype"/>
        </w:rPr>
        <w:t xml:space="preserve">generate said alpha (excess returns divided by the units of risk of the portfolio is known as the </w:t>
      </w:r>
      <w:r w:rsidR="002116E0">
        <w:rPr>
          <w:rFonts w:ascii="Palatino Linotype" w:hAnsi="Palatino Linotype"/>
          <w:i/>
          <w:iCs/>
        </w:rPr>
        <w:t>Sharpe Ratio</w:t>
      </w:r>
      <w:r w:rsidR="00451DB8">
        <w:rPr>
          <w:rFonts w:ascii="Palatino Linotype" w:hAnsi="Palatino Linotype"/>
        </w:rPr>
        <w:t xml:space="preserve">. </w:t>
      </w:r>
      <w:r w:rsidR="006D51BE">
        <w:rPr>
          <w:rFonts w:ascii="Palatino Linotype" w:hAnsi="Palatino Linotype"/>
        </w:rPr>
        <w:t xml:space="preserve">Since the portfolio had a lower Sharpe Ratio than the benchmark, this indicates that, based on additional risk taken, the portfolio would not have been the optimal choice. </w:t>
      </w:r>
      <w:r w:rsidR="00EB56B9">
        <w:rPr>
          <w:rFonts w:ascii="Palatino Linotype" w:hAnsi="Palatino Linotype"/>
        </w:rPr>
        <w:t xml:space="preserve">Needless to say, a portfolio comprising of exclusively S&amp;P 500 stocks would’ve outperformed the portfolio </w:t>
      </w:r>
      <w:r w:rsidR="002F1802">
        <w:rPr>
          <w:rFonts w:ascii="Palatino Linotype" w:hAnsi="Palatino Linotype"/>
        </w:rPr>
        <w:t xml:space="preserve">on both a returns basis and a return-risk basis. </w:t>
      </w:r>
    </w:p>
    <w:p w14:paraId="4C4C4416" w14:textId="5AB001C7" w:rsidR="003B28EE" w:rsidRDefault="00A870BE" w:rsidP="00BA50CE">
      <w:pPr>
        <w:tabs>
          <w:tab w:val="center" w:pos="4680"/>
        </w:tabs>
        <w:jc w:val="both"/>
        <w:rPr>
          <w:rFonts w:ascii="Palatino Linotype" w:hAnsi="Palatino Linotype"/>
        </w:rPr>
      </w:pPr>
      <w:r>
        <w:rPr>
          <w:rFonts w:ascii="Palatino Linotype" w:hAnsi="Palatino Linotype"/>
        </w:rPr>
        <w:t xml:space="preserve">When observing the portfolio returns visually, it becomes clear that in times of economic </w:t>
      </w:r>
      <w:r w:rsidR="006E058E">
        <w:rPr>
          <w:rFonts w:ascii="Palatino Linotype" w:hAnsi="Palatino Linotype"/>
        </w:rPr>
        <w:t>stress, such as the early 2000s and the 2008 financial crisis</w:t>
      </w:r>
      <w:r w:rsidR="00A132C3">
        <w:rPr>
          <w:rFonts w:ascii="Palatino Linotype" w:hAnsi="Palatino Linotype"/>
        </w:rPr>
        <w:t xml:space="preserve">, the portfolio significantly underperforms the </w:t>
      </w:r>
      <w:r w:rsidR="00E1458B">
        <w:rPr>
          <w:rFonts w:ascii="Palatino Linotype" w:hAnsi="Palatino Linotype"/>
        </w:rPr>
        <w:t xml:space="preserve">benchmark portfolio, and outperforms </w:t>
      </w:r>
      <w:r w:rsidR="00DB2A33">
        <w:rPr>
          <w:rFonts w:ascii="Palatino Linotype" w:hAnsi="Palatino Linotype"/>
        </w:rPr>
        <w:t xml:space="preserve">the benchmark </w:t>
      </w:r>
      <w:r w:rsidR="009E42A1">
        <w:rPr>
          <w:rFonts w:ascii="Palatino Linotype" w:hAnsi="Palatino Linotype"/>
        </w:rPr>
        <w:t>in times of economic growth and relative stability. While this is not damning evidence of the strategy’s failure</w:t>
      </w:r>
      <w:r w:rsidR="00BB1861">
        <w:rPr>
          <w:rFonts w:ascii="Palatino Linotype" w:hAnsi="Palatino Linotype"/>
        </w:rPr>
        <w:t xml:space="preserve"> in terms of robustness</w:t>
      </w:r>
      <w:r w:rsidR="009E42A1">
        <w:rPr>
          <w:rFonts w:ascii="Palatino Linotype" w:hAnsi="Palatino Linotype"/>
        </w:rPr>
        <w:t>, it certainly opens the door to discussion of potential improvements</w:t>
      </w:r>
      <w:r w:rsidR="00BB1861">
        <w:rPr>
          <w:rFonts w:ascii="Palatino Linotype" w:hAnsi="Palatino Linotype"/>
        </w:rPr>
        <w:t xml:space="preserve"> to be made. </w:t>
      </w:r>
    </w:p>
    <w:p w14:paraId="4A68903C" w14:textId="77777777" w:rsidR="00986A76" w:rsidRDefault="00986A76" w:rsidP="00BA50CE">
      <w:pPr>
        <w:tabs>
          <w:tab w:val="center" w:pos="4680"/>
        </w:tabs>
        <w:jc w:val="both"/>
        <w:rPr>
          <w:rFonts w:ascii="Palatino Linotype" w:hAnsi="Palatino Linotype"/>
        </w:rPr>
      </w:pPr>
    </w:p>
    <w:p w14:paraId="3D19F8E4" w14:textId="0E9EE1EA" w:rsidR="00986A76" w:rsidRPr="00986A76" w:rsidRDefault="00986A76" w:rsidP="00BA50CE">
      <w:pPr>
        <w:tabs>
          <w:tab w:val="center" w:pos="4680"/>
        </w:tabs>
        <w:jc w:val="both"/>
        <w:rPr>
          <w:rFonts w:ascii="Palatino Linotype" w:hAnsi="Palatino Linotype"/>
          <w:b/>
          <w:bCs/>
        </w:rPr>
      </w:pPr>
      <w:r w:rsidRPr="00D5239E">
        <w:rPr>
          <w:rFonts w:ascii="Palatino Linotype" w:hAnsi="Palatino Linotype"/>
          <w:b/>
          <w:bCs/>
        </w:rPr>
        <w:t>Part 1</w:t>
      </w:r>
      <w:r w:rsidR="00283C07" w:rsidRPr="00D5239E">
        <w:rPr>
          <w:rFonts w:ascii="Palatino Linotype" w:hAnsi="Palatino Linotype"/>
          <w:b/>
          <w:bCs/>
        </w:rPr>
        <w:t xml:space="preserve">1: </w:t>
      </w:r>
      <w:r w:rsidRPr="00D5239E">
        <w:rPr>
          <w:rFonts w:ascii="Palatino Linotype" w:hAnsi="Palatino Linotype"/>
          <w:b/>
          <w:bCs/>
        </w:rPr>
        <w:t>Monte Carlo</w:t>
      </w:r>
      <w:r w:rsidR="00A754BF">
        <w:rPr>
          <w:rFonts w:ascii="Palatino Linotype" w:hAnsi="Palatino Linotype"/>
          <w:b/>
          <w:bCs/>
        </w:rPr>
        <w:t xml:space="preserve"> Analysis</w:t>
      </w:r>
    </w:p>
    <w:p w14:paraId="4EF19AF9" w14:textId="6D3ACC27" w:rsidR="00876DB2" w:rsidRPr="00D5239E" w:rsidRDefault="00D5239E" w:rsidP="00BA50CE">
      <w:pPr>
        <w:tabs>
          <w:tab w:val="center" w:pos="4680"/>
        </w:tabs>
        <w:jc w:val="both"/>
        <w:rPr>
          <w:rFonts w:ascii="Palatino Linotype" w:hAnsi="Palatino Linotype"/>
        </w:rPr>
      </w:pPr>
      <w:r>
        <w:rPr>
          <w:noProof/>
        </w:rPr>
        <w:lastRenderedPageBreak/>
        <w:drawing>
          <wp:inline distT="0" distB="0" distL="0" distR="0" wp14:anchorId="03B6D38E" wp14:editId="78BFF08E">
            <wp:extent cx="5943600" cy="3865880"/>
            <wp:effectExtent l="0" t="0" r="0" b="1270"/>
            <wp:docPr id="197266595" name="Picture 1" descr="A graph of a distribution of portfolio values&#10;&#10;Description automatically generated">
              <a:extLst xmlns:a="http://schemas.openxmlformats.org/drawingml/2006/main">
                <a:ext uri="{FF2B5EF4-FFF2-40B4-BE49-F238E27FC236}">
                  <a16:creationId xmlns:a16="http://schemas.microsoft.com/office/drawing/2014/main" id="{A57CC205-68F8-D923-83EE-9A4033480B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66595" name="Picture 1" descr="A graph of a distribution of portfolio values&#10;&#10;Description automatically generated">
                      <a:extLst>
                        <a:ext uri="{FF2B5EF4-FFF2-40B4-BE49-F238E27FC236}">
                          <a16:creationId xmlns:a16="http://schemas.microsoft.com/office/drawing/2014/main" id="{A57CC205-68F8-D923-83EE-9A4033480B00}"/>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65880"/>
                    </a:xfrm>
                    <a:prstGeom prst="rect">
                      <a:avLst/>
                    </a:prstGeom>
                    <a:noFill/>
                  </pic:spPr>
                </pic:pic>
              </a:graphicData>
            </a:graphic>
          </wp:inline>
        </w:drawing>
      </w:r>
    </w:p>
    <w:p w14:paraId="6DEBD4EE" w14:textId="55D9E318" w:rsidR="00D5239E" w:rsidRPr="00D5239E" w:rsidRDefault="00D5239E" w:rsidP="00BA50CE">
      <w:pPr>
        <w:tabs>
          <w:tab w:val="center" w:pos="4680"/>
        </w:tabs>
        <w:jc w:val="both"/>
        <w:rPr>
          <w:rFonts w:ascii="Palatino Linotype" w:hAnsi="Palatino Linotype"/>
        </w:rPr>
      </w:pPr>
      <w:r w:rsidRPr="00D5239E">
        <w:rPr>
          <w:rFonts w:ascii="Palatino Linotype" w:hAnsi="Palatino Linotype"/>
        </w:rPr>
        <w:t>Pictured above is Monte Carlo Analysis</w:t>
      </w:r>
      <w:r>
        <w:rPr>
          <w:rFonts w:ascii="Palatino Linotype" w:hAnsi="Palatino Linotype"/>
        </w:rPr>
        <w:t>, which was utilized to forecast the expected retur</w:t>
      </w:r>
      <w:r w:rsidR="002B2A1D">
        <w:rPr>
          <w:rFonts w:ascii="Palatino Linotype" w:hAnsi="Palatino Linotype"/>
        </w:rPr>
        <w:t xml:space="preserve">ns of the portfolio for one year after it concluded. A slightly long-left tail is observed. </w:t>
      </w:r>
      <w:r w:rsidR="00A754BF">
        <w:rPr>
          <w:rFonts w:ascii="Palatino Linotype" w:hAnsi="Palatino Linotype"/>
        </w:rPr>
        <w:t xml:space="preserve">The forecasts were higher than what </w:t>
      </w:r>
      <w:r w:rsidR="00D8205E">
        <w:rPr>
          <w:rFonts w:ascii="Palatino Linotype" w:hAnsi="Palatino Linotype"/>
        </w:rPr>
        <w:t>transpired</w:t>
      </w:r>
      <w:r w:rsidR="00A754BF">
        <w:rPr>
          <w:rFonts w:ascii="Palatino Linotype" w:hAnsi="Palatino Linotype"/>
        </w:rPr>
        <w:t xml:space="preserve"> in </w:t>
      </w:r>
      <w:r w:rsidR="00D8205E">
        <w:rPr>
          <w:rFonts w:ascii="Palatino Linotype" w:hAnsi="Palatino Linotype"/>
        </w:rPr>
        <w:t>f</w:t>
      </w:r>
      <w:r w:rsidR="00A754BF">
        <w:rPr>
          <w:rFonts w:ascii="Palatino Linotype" w:hAnsi="Palatino Linotype"/>
        </w:rPr>
        <w:t xml:space="preserve">iscal year 2020. </w:t>
      </w:r>
    </w:p>
    <w:p w14:paraId="467E1EFC" w14:textId="030DB3CA" w:rsidR="003B28EE" w:rsidRDefault="003B28EE" w:rsidP="00BA50CE">
      <w:pPr>
        <w:tabs>
          <w:tab w:val="center" w:pos="4680"/>
        </w:tabs>
        <w:jc w:val="both"/>
        <w:rPr>
          <w:rFonts w:ascii="Palatino Linotype" w:hAnsi="Palatino Linotype"/>
          <w:b/>
          <w:bCs/>
        </w:rPr>
      </w:pPr>
      <w:r w:rsidRPr="003B28EE">
        <w:rPr>
          <w:rFonts w:ascii="Palatino Linotype" w:hAnsi="Palatino Linotype"/>
          <w:b/>
          <w:bCs/>
        </w:rPr>
        <w:t>Part 1</w:t>
      </w:r>
      <w:r w:rsidR="002B317C">
        <w:rPr>
          <w:rFonts w:ascii="Palatino Linotype" w:hAnsi="Palatino Linotype"/>
          <w:b/>
          <w:bCs/>
        </w:rPr>
        <w:t>2</w:t>
      </w:r>
      <w:r w:rsidRPr="003B28EE">
        <w:rPr>
          <w:rFonts w:ascii="Palatino Linotype" w:hAnsi="Palatino Linotype"/>
          <w:b/>
          <w:bCs/>
        </w:rPr>
        <w:t xml:space="preserve">: </w:t>
      </w:r>
      <w:r>
        <w:rPr>
          <w:rFonts w:ascii="Palatino Linotype" w:hAnsi="Palatino Linotype"/>
          <w:b/>
          <w:bCs/>
        </w:rPr>
        <w:t>Pitfalls of the Final Portfolio, and Possible Future Improvements</w:t>
      </w:r>
    </w:p>
    <w:p w14:paraId="4BA8154D" w14:textId="6F7168F8" w:rsidR="00282DBC" w:rsidRDefault="00DB2A33" w:rsidP="00BA50CE">
      <w:pPr>
        <w:tabs>
          <w:tab w:val="center" w:pos="4680"/>
        </w:tabs>
        <w:jc w:val="both"/>
        <w:rPr>
          <w:rFonts w:ascii="Palatino Linotype" w:hAnsi="Palatino Linotype"/>
        </w:rPr>
      </w:pPr>
      <w:r>
        <w:rPr>
          <w:rFonts w:ascii="Palatino Linotype" w:hAnsi="Palatino Linotype"/>
        </w:rPr>
        <w:t xml:space="preserve">One factor: A glaring shortcoming of the strategy is the use of a sole factor for </w:t>
      </w:r>
      <w:r w:rsidR="009E42A1">
        <w:rPr>
          <w:rFonts w:ascii="Palatino Linotype" w:hAnsi="Palatino Linotype"/>
        </w:rPr>
        <w:t>rebalancing</w:t>
      </w:r>
      <w:r>
        <w:rPr>
          <w:rFonts w:ascii="Palatino Linotype" w:hAnsi="Palatino Linotype"/>
        </w:rPr>
        <w:t xml:space="preserve">/adjusting the </w:t>
      </w:r>
      <w:r w:rsidR="009E42A1">
        <w:rPr>
          <w:rFonts w:ascii="Palatino Linotype" w:hAnsi="Palatino Linotype"/>
        </w:rPr>
        <w:t>weights</w:t>
      </w:r>
      <w:r>
        <w:rPr>
          <w:rFonts w:ascii="Palatino Linotype" w:hAnsi="Palatino Linotype"/>
        </w:rPr>
        <w:t xml:space="preserve"> </w:t>
      </w:r>
      <w:r w:rsidR="009E42A1">
        <w:rPr>
          <w:rFonts w:ascii="Palatino Linotype" w:hAnsi="Palatino Linotype"/>
        </w:rPr>
        <w:t>of</w:t>
      </w:r>
      <w:r>
        <w:rPr>
          <w:rFonts w:ascii="Palatino Linotype" w:hAnsi="Palatino Linotype"/>
        </w:rPr>
        <w:t xml:space="preserve"> the portfolio. </w:t>
      </w:r>
      <w:r w:rsidR="00FB4A09">
        <w:rPr>
          <w:rFonts w:ascii="Palatino Linotype" w:hAnsi="Palatino Linotype"/>
        </w:rPr>
        <w:t xml:space="preserve">While Miller Capital was </w:t>
      </w:r>
      <w:r w:rsidR="004F61D6">
        <w:rPr>
          <w:rFonts w:ascii="Palatino Linotype" w:hAnsi="Palatino Linotype"/>
        </w:rPr>
        <w:t xml:space="preserve">planning to utilize PCE as a secondary indicator for the portfolio, </w:t>
      </w:r>
      <w:r w:rsidR="00644CD3">
        <w:rPr>
          <w:rFonts w:ascii="Palatino Linotype" w:hAnsi="Palatino Linotype"/>
        </w:rPr>
        <w:t>the firm found a great deal of correlation and similarity between CPI and PCE</w:t>
      </w:r>
      <w:r w:rsidR="004355F1">
        <w:rPr>
          <w:rFonts w:ascii="Palatino Linotype" w:hAnsi="Palatino Linotype"/>
        </w:rPr>
        <w:t xml:space="preserve">, with CPI frequently overshadowing the changes in PCE changes, so the premise of including PCE was eventually abandoned. </w:t>
      </w:r>
      <w:r w:rsidR="00444489">
        <w:rPr>
          <w:rFonts w:ascii="Palatino Linotype" w:hAnsi="Palatino Linotype"/>
        </w:rPr>
        <w:t xml:space="preserve">While it could be used in the future as a supplementary indicator, Miller Capital feels at this time that its use as a primary indicating factor is not appropriate. </w:t>
      </w:r>
      <w:r w:rsidR="00904A50">
        <w:rPr>
          <w:rFonts w:ascii="Palatino Linotype" w:hAnsi="Palatino Linotype"/>
        </w:rPr>
        <w:t xml:space="preserve">The normalization of the factor also to a slightly higher value may be prudent: inflation </w:t>
      </w:r>
      <w:r w:rsidR="00E002C0">
        <w:rPr>
          <w:rFonts w:ascii="Palatino Linotype" w:hAnsi="Palatino Linotype"/>
        </w:rPr>
        <w:t>rarely</w:t>
      </w:r>
      <w:r w:rsidR="00904A50">
        <w:rPr>
          <w:rFonts w:ascii="Palatino Linotype" w:hAnsi="Palatino Linotype"/>
        </w:rPr>
        <w:t xml:space="preserve"> crept below 2%, so </w:t>
      </w:r>
      <w:r w:rsidR="00E002C0">
        <w:rPr>
          <w:rFonts w:ascii="Palatino Linotype" w:hAnsi="Palatino Linotype"/>
        </w:rPr>
        <w:t xml:space="preserve">there is a significant possibility that growth sectors were neglected throughout the model. </w:t>
      </w:r>
      <w:r w:rsidR="008F460D">
        <w:rPr>
          <w:rFonts w:ascii="Palatino Linotype" w:hAnsi="Palatino Linotype"/>
        </w:rPr>
        <w:t xml:space="preserve">Building out the codebase </w:t>
      </w:r>
      <w:r w:rsidR="0044767D">
        <w:rPr>
          <w:rFonts w:ascii="Palatino Linotype" w:hAnsi="Palatino Linotype"/>
        </w:rPr>
        <w:t xml:space="preserve">to adapt for more economic indicators is </w:t>
      </w:r>
      <w:r w:rsidR="009059FD">
        <w:rPr>
          <w:rFonts w:ascii="Palatino Linotype" w:hAnsi="Palatino Linotype"/>
        </w:rPr>
        <w:t>recommended</w:t>
      </w:r>
      <w:r w:rsidR="0044767D">
        <w:rPr>
          <w:rFonts w:ascii="Palatino Linotype" w:hAnsi="Palatino Linotype"/>
        </w:rPr>
        <w:t xml:space="preserve"> </w:t>
      </w:r>
      <w:r w:rsidR="009059FD">
        <w:rPr>
          <w:rFonts w:ascii="Palatino Linotype" w:hAnsi="Palatino Linotype"/>
        </w:rPr>
        <w:t xml:space="preserve">to test robustness and resilience to economic strife in the future. </w:t>
      </w:r>
    </w:p>
    <w:p w14:paraId="2B2970D2" w14:textId="55948EE3" w:rsidR="00282DBC" w:rsidRDefault="006A107B" w:rsidP="00BA50CE">
      <w:pPr>
        <w:tabs>
          <w:tab w:val="center" w:pos="4680"/>
        </w:tabs>
        <w:jc w:val="both"/>
        <w:rPr>
          <w:rFonts w:ascii="Palatino Linotype" w:hAnsi="Palatino Linotype"/>
        </w:rPr>
      </w:pPr>
      <w:r>
        <w:rPr>
          <w:rFonts w:ascii="Palatino Linotype" w:hAnsi="Palatino Linotype"/>
        </w:rPr>
        <w:lastRenderedPageBreak/>
        <w:t xml:space="preserve">A second debilitating factor in the model is that it only incorporates along-only equity strategy. </w:t>
      </w:r>
      <w:r w:rsidR="007801A7">
        <w:rPr>
          <w:rFonts w:ascii="Palatino Linotype" w:hAnsi="Palatino Linotype"/>
        </w:rPr>
        <w:t xml:space="preserve">This means that, if the market and/or the model were predicting an economic contraction, there would be </w:t>
      </w:r>
      <w:r w:rsidR="00A172AF">
        <w:rPr>
          <w:rFonts w:ascii="Palatino Linotype" w:hAnsi="Palatino Linotype"/>
        </w:rPr>
        <w:t xml:space="preserve">no </w:t>
      </w:r>
      <w:r w:rsidR="008F460D">
        <w:rPr>
          <w:rFonts w:ascii="Palatino Linotype" w:hAnsi="Palatino Linotype"/>
        </w:rPr>
        <w:t>means to capitalize on the expected downside. An incorporation</w:t>
      </w:r>
      <w:r w:rsidR="009059FD">
        <w:rPr>
          <w:rFonts w:ascii="Palatino Linotype" w:hAnsi="Palatino Linotype"/>
        </w:rPr>
        <w:t xml:space="preserve"> of </w:t>
      </w:r>
      <w:r w:rsidR="00A6204F">
        <w:rPr>
          <w:rFonts w:ascii="Palatino Linotype" w:hAnsi="Palatino Linotype"/>
        </w:rPr>
        <w:t>a short-selling strategy, even utilizing academic assumptions, could prove fruitful.</w:t>
      </w:r>
    </w:p>
    <w:p w14:paraId="1879AA35" w14:textId="27618383" w:rsidR="00282DBC" w:rsidRDefault="003F58D2" w:rsidP="00BA50CE">
      <w:pPr>
        <w:tabs>
          <w:tab w:val="center" w:pos="4680"/>
        </w:tabs>
        <w:jc w:val="both"/>
        <w:rPr>
          <w:rFonts w:ascii="Palatino Linotype" w:hAnsi="Palatino Linotype"/>
        </w:rPr>
      </w:pPr>
      <w:r>
        <w:rPr>
          <w:rFonts w:ascii="Palatino Linotype" w:hAnsi="Palatino Linotype"/>
        </w:rPr>
        <w:t>The d</w:t>
      </w:r>
      <w:r w:rsidR="00B949C8">
        <w:rPr>
          <w:rFonts w:ascii="Palatino Linotype" w:hAnsi="Palatino Linotype"/>
        </w:rPr>
        <w:t>esignations of Growth vs Defensive</w:t>
      </w:r>
      <w:r>
        <w:rPr>
          <w:rFonts w:ascii="Palatino Linotype" w:hAnsi="Palatino Linotype"/>
        </w:rPr>
        <w:t xml:space="preserve"> sectors</w:t>
      </w:r>
      <w:r w:rsidR="00B949C8">
        <w:rPr>
          <w:rFonts w:ascii="Palatino Linotype" w:hAnsi="Palatino Linotype"/>
        </w:rPr>
        <w:t xml:space="preserve"> were assumptive to an </w:t>
      </w:r>
      <w:r w:rsidR="007801A7">
        <w:rPr>
          <w:rFonts w:ascii="Palatino Linotype" w:hAnsi="Palatino Linotype"/>
        </w:rPr>
        <w:t>extent and</w:t>
      </w:r>
      <w:r w:rsidR="00B949C8">
        <w:rPr>
          <w:rFonts w:ascii="Palatino Linotype" w:hAnsi="Palatino Linotype"/>
        </w:rPr>
        <w:t xml:space="preserve"> may have altered potential outcomes of the model. </w:t>
      </w:r>
      <w:r w:rsidR="00B167F6">
        <w:rPr>
          <w:rFonts w:ascii="Palatino Linotype" w:hAnsi="Palatino Linotype"/>
        </w:rPr>
        <w:t xml:space="preserve">For instance, CPI was likely not an applicable indicator in many ways for energy, or for periods of growth in the market. </w:t>
      </w:r>
      <w:r w:rsidR="002B0ABF">
        <w:rPr>
          <w:rFonts w:ascii="Palatino Linotype" w:hAnsi="Palatino Linotype"/>
        </w:rPr>
        <w:t xml:space="preserve">Again, here we would recommend incorporating more factors </w:t>
      </w:r>
      <w:r w:rsidR="009E02F1">
        <w:rPr>
          <w:rFonts w:ascii="Palatino Linotype" w:hAnsi="Palatino Linotype"/>
        </w:rPr>
        <w:t>to</w:t>
      </w:r>
      <w:r w:rsidR="002B0ABF">
        <w:rPr>
          <w:rFonts w:ascii="Palatino Linotype" w:hAnsi="Palatino Linotype"/>
        </w:rPr>
        <w:t xml:space="preserve"> diversify the risk of one sole factor determining portfolio allocations. </w:t>
      </w:r>
      <w:r w:rsidR="009E02F1">
        <w:rPr>
          <w:rFonts w:ascii="Palatino Linotype" w:hAnsi="Palatino Linotype"/>
        </w:rPr>
        <w:t xml:space="preserve">Speaking of diversification, it would be highly recommended installing more risk-neutral assets into the portfolio to diversify risk and provide </w:t>
      </w:r>
      <w:r w:rsidR="00554120">
        <w:rPr>
          <w:rFonts w:ascii="Palatino Linotype" w:hAnsi="Palatino Linotype"/>
        </w:rPr>
        <w:t xml:space="preserve">other </w:t>
      </w:r>
      <w:r w:rsidR="009E02F1">
        <w:rPr>
          <w:rFonts w:ascii="Palatino Linotype" w:hAnsi="Palatino Linotype"/>
        </w:rPr>
        <w:t xml:space="preserve">growth </w:t>
      </w:r>
      <w:r w:rsidR="00554120">
        <w:rPr>
          <w:rFonts w:ascii="Palatino Linotype" w:hAnsi="Palatino Linotype"/>
        </w:rPr>
        <w:t xml:space="preserve">opportunities. For instance, the real estate sector was left out of this analysis due to its similarity to the financials sector and </w:t>
      </w:r>
      <w:r w:rsidR="00052C8B">
        <w:rPr>
          <w:rFonts w:ascii="Palatino Linotype" w:hAnsi="Palatino Linotype"/>
        </w:rPr>
        <w:t xml:space="preserve">because of its non-equity-like behavior at times. This was meant to be a study in the behavior of equity sectors. </w:t>
      </w:r>
      <w:r w:rsidR="00817430">
        <w:rPr>
          <w:rFonts w:ascii="Palatino Linotype" w:hAnsi="Palatino Linotype"/>
        </w:rPr>
        <w:t>Diversification</w:t>
      </w:r>
      <w:r w:rsidR="00052C8B">
        <w:rPr>
          <w:rFonts w:ascii="Palatino Linotype" w:hAnsi="Palatino Linotype"/>
        </w:rPr>
        <w:t xml:space="preserve"> is always preferable, and </w:t>
      </w:r>
      <w:r w:rsidR="00817430">
        <w:rPr>
          <w:rFonts w:ascii="Palatino Linotype" w:hAnsi="Palatino Linotype"/>
        </w:rPr>
        <w:t xml:space="preserve">bringing in other asset classes would likely improve both the overall performance and the metrics of the portfolio. </w:t>
      </w:r>
    </w:p>
    <w:p w14:paraId="64648A72" w14:textId="6CAA53C3" w:rsidR="00282DBC" w:rsidRDefault="00282DBC" w:rsidP="00BA50CE">
      <w:pPr>
        <w:tabs>
          <w:tab w:val="center" w:pos="4680"/>
        </w:tabs>
        <w:jc w:val="both"/>
        <w:rPr>
          <w:rFonts w:ascii="Palatino Linotype" w:hAnsi="Palatino Linotype"/>
          <w:b/>
          <w:bCs/>
        </w:rPr>
      </w:pPr>
      <w:r w:rsidRPr="00282DBC">
        <w:rPr>
          <w:rFonts w:ascii="Palatino Linotype" w:hAnsi="Palatino Linotype"/>
          <w:b/>
          <w:bCs/>
        </w:rPr>
        <w:t>Part 1</w:t>
      </w:r>
      <w:r w:rsidR="002B317C">
        <w:rPr>
          <w:rFonts w:ascii="Palatino Linotype" w:hAnsi="Palatino Linotype"/>
          <w:b/>
          <w:bCs/>
        </w:rPr>
        <w:t>3</w:t>
      </w:r>
      <w:r w:rsidRPr="00282DBC">
        <w:rPr>
          <w:rFonts w:ascii="Palatino Linotype" w:hAnsi="Palatino Linotype"/>
          <w:b/>
          <w:bCs/>
        </w:rPr>
        <w:t xml:space="preserve">: </w:t>
      </w:r>
      <w:r>
        <w:rPr>
          <w:rFonts w:ascii="Palatino Linotype" w:hAnsi="Palatino Linotype"/>
          <w:b/>
          <w:bCs/>
        </w:rPr>
        <w:t>Current Economic Analysis, and Outlook for the Strategy</w:t>
      </w:r>
    </w:p>
    <w:p w14:paraId="3C846FF4" w14:textId="1590838B" w:rsidR="00282DBC" w:rsidRDefault="00707FA4" w:rsidP="00BA50CE">
      <w:pPr>
        <w:tabs>
          <w:tab w:val="center" w:pos="4680"/>
        </w:tabs>
        <w:jc w:val="both"/>
        <w:rPr>
          <w:rFonts w:ascii="Palatino Linotype" w:hAnsi="Palatino Linotype"/>
        </w:rPr>
      </w:pPr>
      <w:r>
        <w:rPr>
          <w:rFonts w:ascii="Palatino Linotype" w:hAnsi="Palatino Linotype"/>
        </w:rPr>
        <w:t xml:space="preserve">Current market trends indicate some causes for concern among investors. Sticky inflation has prompted the U.S. Federal Reserve to change </w:t>
      </w:r>
      <w:r w:rsidR="009052C5">
        <w:rPr>
          <w:rFonts w:ascii="Palatino Linotype" w:hAnsi="Palatino Linotype"/>
        </w:rPr>
        <w:t>course and</w:t>
      </w:r>
      <w:r>
        <w:rPr>
          <w:rFonts w:ascii="Palatino Linotype" w:hAnsi="Palatino Linotype"/>
        </w:rPr>
        <w:t xml:space="preserve"> begin pushing the narrative of higher interest rates for longer</w:t>
      </w:r>
      <w:r w:rsidR="009052C5">
        <w:rPr>
          <w:rFonts w:ascii="Palatino Linotype" w:hAnsi="Palatino Linotype"/>
        </w:rPr>
        <w:t xml:space="preserve">. Based on historical information, if CPI were still high above 2% as it is (somewhat) right now, then the recommendation would be to allocate more towards defensive sectors. </w:t>
      </w:r>
      <w:r w:rsidR="004A0F25">
        <w:rPr>
          <w:rFonts w:ascii="Palatino Linotype" w:hAnsi="Palatino Linotype"/>
        </w:rPr>
        <w:t xml:space="preserve">However, this analysis is investor-specific, and analysis beyond one economic factor, like CPI or GDP is </w:t>
      </w:r>
      <w:r w:rsidR="00500B39">
        <w:rPr>
          <w:rFonts w:ascii="Palatino Linotype" w:hAnsi="Palatino Linotype"/>
        </w:rPr>
        <w:t>recommended</w:t>
      </w:r>
      <w:r w:rsidR="004A0F25">
        <w:rPr>
          <w:rFonts w:ascii="Palatino Linotype" w:hAnsi="Palatino Linotype"/>
        </w:rPr>
        <w:t xml:space="preserve">. </w:t>
      </w:r>
      <w:r w:rsidR="00500B39">
        <w:rPr>
          <w:rFonts w:ascii="Palatino Linotype" w:hAnsi="Palatino Linotype"/>
        </w:rPr>
        <w:t xml:space="preserve">Other trends, however, point toward some irrationality in the market, and perhaps even a higher risk tolerance among investors, as they prepare to deploy capital even in a higher interest rate environment. </w:t>
      </w:r>
      <w:r w:rsidR="00CE0993">
        <w:rPr>
          <w:rFonts w:ascii="Palatino Linotype" w:hAnsi="Palatino Linotype"/>
        </w:rPr>
        <w:t xml:space="preserve">Then again, more bearish sentiment arises from other economic indicators like retail sales data (a good individual indicator for a sector like consumer discretionary), and </w:t>
      </w:r>
      <w:r w:rsidR="00F46220">
        <w:rPr>
          <w:rFonts w:ascii="Palatino Linotype" w:hAnsi="Palatino Linotype"/>
        </w:rPr>
        <w:t xml:space="preserve">low consumer confidence (published by the University of Michigan). </w:t>
      </w:r>
    </w:p>
    <w:p w14:paraId="79CA2C0D" w14:textId="77777777" w:rsidR="0054763A" w:rsidRDefault="0054763A" w:rsidP="00BA50CE">
      <w:pPr>
        <w:tabs>
          <w:tab w:val="center" w:pos="4680"/>
        </w:tabs>
        <w:jc w:val="both"/>
        <w:rPr>
          <w:rFonts w:ascii="Palatino Linotype" w:hAnsi="Palatino Linotype"/>
        </w:rPr>
      </w:pPr>
    </w:p>
    <w:p w14:paraId="5EC2A042" w14:textId="77777777" w:rsidR="0054763A" w:rsidRDefault="0054763A" w:rsidP="00BA50CE">
      <w:pPr>
        <w:tabs>
          <w:tab w:val="center" w:pos="4680"/>
        </w:tabs>
        <w:jc w:val="both"/>
        <w:rPr>
          <w:rFonts w:ascii="Palatino Linotype" w:hAnsi="Palatino Linotype"/>
        </w:rPr>
      </w:pPr>
    </w:p>
    <w:p w14:paraId="4BE1F046" w14:textId="77777777" w:rsidR="0054763A" w:rsidRDefault="0054763A" w:rsidP="00BA50CE">
      <w:pPr>
        <w:tabs>
          <w:tab w:val="center" w:pos="4680"/>
        </w:tabs>
        <w:jc w:val="both"/>
        <w:rPr>
          <w:rFonts w:ascii="Palatino Linotype" w:hAnsi="Palatino Linotype"/>
        </w:rPr>
      </w:pPr>
    </w:p>
    <w:p w14:paraId="5EBD54F5" w14:textId="3D29AF21" w:rsidR="0054763A" w:rsidRPr="0054763A" w:rsidRDefault="0054763A" w:rsidP="00BA50CE">
      <w:pPr>
        <w:tabs>
          <w:tab w:val="center" w:pos="4680"/>
        </w:tabs>
        <w:jc w:val="both"/>
        <w:rPr>
          <w:rFonts w:ascii="Palatino Linotype" w:hAnsi="Palatino Linotype"/>
          <w:b/>
          <w:bCs/>
          <w:i/>
          <w:iCs/>
          <w:u w:val="single"/>
        </w:rPr>
      </w:pPr>
      <w:r w:rsidRPr="0054763A">
        <w:rPr>
          <w:rFonts w:ascii="Palatino Linotype" w:hAnsi="Palatino Linotype"/>
          <w:b/>
          <w:bCs/>
          <w:i/>
          <w:iCs/>
          <w:u w:val="single"/>
        </w:rPr>
        <w:lastRenderedPageBreak/>
        <w:t>Sources and References</w:t>
      </w:r>
    </w:p>
    <w:p w14:paraId="3E0957BD" w14:textId="77777777" w:rsidR="0054763A" w:rsidRDefault="0054763A" w:rsidP="0054763A">
      <w:pPr>
        <w:pStyle w:val="NormalWeb"/>
        <w:spacing w:before="0" w:beforeAutospacing="0" w:after="0" w:afterAutospacing="0"/>
        <w:rPr>
          <w:rFonts w:ascii="Palatino Linotype" w:eastAsiaTheme="minorEastAsia" w:hAnsi="Palatino Linotype" w:cstheme="minorBidi"/>
          <w:color w:val="000000" w:themeColor="text1"/>
          <w:kern w:val="24"/>
        </w:rPr>
      </w:pPr>
      <w:hyperlink r:id="rId10" w:history="1">
        <w:r w:rsidRPr="0054763A">
          <w:rPr>
            <w:rStyle w:val="Hyperlink"/>
            <w:rFonts w:ascii="Palatino Linotype" w:eastAsiaTheme="minorEastAsia" w:hAnsi="Palatino Linotype" w:cstheme="minorBidi"/>
            <w:color w:val="000000" w:themeColor="text1"/>
            <w:kern w:val="24"/>
          </w:rPr>
          <w:t>https://corporatefinanceinstitute.com/resources/career-map/sell-side/capital-markets/healthcare-sector/</w:t>
        </w:r>
      </w:hyperlink>
      <w:r w:rsidRPr="0054763A">
        <w:rPr>
          <w:rFonts w:ascii="Palatino Linotype" w:eastAsiaTheme="minorEastAsia" w:hAnsi="Palatino Linotype" w:cstheme="minorBidi"/>
          <w:color w:val="000000" w:themeColor="text1"/>
          <w:kern w:val="24"/>
        </w:rPr>
        <w:t xml:space="preserve"> </w:t>
      </w:r>
    </w:p>
    <w:p w14:paraId="6CD8F8E8" w14:textId="77777777" w:rsidR="0054763A" w:rsidRPr="0054763A" w:rsidRDefault="0054763A" w:rsidP="0054763A">
      <w:pPr>
        <w:pStyle w:val="NormalWeb"/>
        <w:spacing w:before="0" w:beforeAutospacing="0" w:after="0" w:afterAutospacing="0"/>
      </w:pPr>
    </w:p>
    <w:p w14:paraId="0777C4CE" w14:textId="77777777" w:rsidR="0054763A" w:rsidRDefault="0054763A" w:rsidP="0054763A">
      <w:pPr>
        <w:pStyle w:val="NormalWeb"/>
        <w:spacing w:before="0" w:beforeAutospacing="0" w:after="0" w:afterAutospacing="0"/>
        <w:rPr>
          <w:rFonts w:ascii="Palatino Linotype" w:eastAsiaTheme="minorEastAsia" w:hAnsi="Palatino Linotype" w:cstheme="minorBidi"/>
          <w:color w:val="000000" w:themeColor="text1"/>
          <w:kern w:val="24"/>
        </w:rPr>
      </w:pPr>
      <w:r w:rsidRPr="0054763A">
        <w:rPr>
          <w:rFonts w:ascii="Palatino Linotype" w:eastAsiaTheme="minorEastAsia" w:hAnsi="Palatino Linotype" w:cstheme="minorBidi"/>
          <w:color w:val="000000" w:themeColor="text1"/>
          <w:kern w:val="24"/>
        </w:rPr>
        <w:t>Bloomberg</w:t>
      </w:r>
    </w:p>
    <w:p w14:paraId="3E272843" w14:textId="77777777" w:rsidR="0054763A" w:rsidRPr="0054763A" w:rsidRDefault="0054763A" w:rsidP="0054763A">
      <w:pPr>
        <w:pStyle w:val="NormalWeb"/>
        <w:spacing w:before="0" w:beforeAutospacing="0" w:after="0" w:afterAutospacing="0"/>
      </w:pPr>
    </w:p>
    <w:p w14:paraId="18C5CFD5" w14:textId="77777777" w:rsidR="0054763A" w:rsidRPr="0054763A" w:rsidRDefault="0054763A" w:rsidP="0054763A">
      <w:pPr>
        <w:pStyle w:val="NormalWeb"/>
        <w:spacing w:before="0" w:beforeAutospacing="0" w:after="0" w:afterAutospacing="0"/>
        <w:rPr>
          <w:i/>
          <w:iCs/>
        </w:rPr>
      </w:pPr>
      <w:r w:rsidRPr="0054763A">
        <w:rPr>
          <w:rFonts w:ascii="Palatino Linotype" w:eastAsiaTheme="minorEastAsia" w:hAnsi="Palatino Linotype" w:cstheme="minorBidi"/>
          <w:i/>
          <w:iCs/>
          <w:color w:val="000000" w:themeColor="text1"/>
          <w:kern w:val="24"/>
        </w:rPr>
        <w:t>4 Institutions:</w:t>
      </w:r>
    </w:p>
    <w:p w14:paraId="77C2CC4F" w14:textId="77777777" w:rsidR="0054763A" w:rsidRPr="0054763A" w:rsidRDefault="0054763A" w:rsidP="0054763A">
      <w:pPr>
        <w:pStyle w:val="NormalWeb"/>
        <w:spacing w:before="0" w:beforeAutospacing="0" w:after="0" w:afterAutospacing="0"/>
      </w:pPr>
      <w:hyperlink r:id="rId11" w:history="1">
        <w:r w:rsidRPr="0054763A">
          <w:rPr>
            <w:rStyle w:val="Hyperlink"/>
            <w:rFonts w:ascii="Palatino Linotype" w:eastAsiaTheme="minorEastAsia" w:hAnsi="Palatino Linotype" w:cstheme="minorBidi"/>
            <w:color w:val="000000" w:themeColor="text1"/>
            <w:kern w:val="24"/>
          </w:rPr>
          <w:t>Fidelity</w:t>
        </w:r>
      </w:hyperlink>
    </w:p>
    <w:p w14:paraId="0724D9CE" w14:textId="77777777" w:rsidR="0054763A" w:rsidRPr="0054763A" w:rsidRDefault="0054763A" w:rsidP="0054763A">
      <w:pPr>
        <w:pStyle w:val="NormalWeb"/>
        <w:spacing w:before="0" w:beforeAutospacing="0" w:after="0" w:afterAutospacing="0"/>
      </w:pPr>
      <w:hyperlink r:id="rId12" w:history="1">
        <w:r w:rsidRPr="0054763A">
          <w:rPr>
            <w:rStyle w:val="Hyperlink"/>
            <w:rFonts w:ascii="Palatino Linotype" w:eastAsiaTheme="minorEastAsia" w:hAnsi="Palatino Linotype" w:cstheme="minorBidi"/>
            <w:color w:val="000000" w:themeColor="text1"/>
            <w:kern w:val="24"/>
          </w:rPr>
          <w:t>DWS (Deutsche)</w:t>
        </w:r>
      </w:hyperlink>
    </w:p>
    <w:p w14:paraId="2BC464EA" w14:textId="5F4D74D7" w:rsidR="0054763A" w:rsidRPr="0054763A" w:rsidRDefault="0054763A" w:rsidP="0054763A">
      <w:pPr>
        <w:pStyle w:val="NormalWeb"/>
        <w:spacing w:before="0" w:beforeAutospacing="0" w:after="0" w:afterAutospacing="0"/>
      </w:pPr>
      <w:hyperlink r:id="rId13" w:history="1">
        <w:r w:rsidRPr="0054763A">
          <w:rPr>
            <w:rStyle w:val="Hyperlink"/>
            <w:rFonts w:ascii="Palatino Linotype" w:eastAsiaTheme="minorEastAsia" w:hAnsi="Palatino Linotype" w:cstheme="minorBidi"/>
            <w:color w:val="000000" w:themeColor="text1"/>
            <w:kern w:val="24"/>
          </w:rPr>
          <w:t>Fisher Investments (10 Sector Reports</w:t>
        </w:r>
        <w:r w:rsidR="00D8205E">
          <w:rPr>
            <w:rStyle w:val="Hyperlink"/>
            <w:rFonts w:ascii="Palatino Linotype" w:eastAsiaTheme="minorEastAsia" w:hAnsi="Palatino Linotype" w:cstheme="minorBidi"/>
            <w:color w:val="000000" w:themeColor="text1"/>
            <w:kern w:val="24"/>
          </w:rPr>
          <w:t>, One Linked Here</w:t>
        </w:r>
        <w:r w:rsidRPr="0054763A">
          <w:rPr>
            <w:rStyle w:val="Hyperlink"/>
            <w:rFonts w:ascii="Palatino Linotype" w:eastAsiaTheme="minorEastAsia" w:hAnsi="Palatino Linotype" w:cstheme="minorBidi"/>
            <w:color w:val="000000" w:themeColor="text1"/>
            <w:kern w:val="24"/>
          </w:rPr>
          <w:t>)</w:t>
        </w:r>
      </w:hyperlink>
    </w:p>
    <w:p w14:paraId="28603DE0" w14:textId="77777777" w:rsidR="0054763A" w:rsidRPr="0054763A" w:rsidRDefault="0054763A" w:rsidP="0054763A">
      <w:pPr>
        <w:pStyle w:val="NormalWeb"/>
        <w:spacing w:before="0" w:beforeAutospacing="0" w:after="0" w:afterAutospacing="0"/>
      </w:pPr>
      <w:hyperlink r:id="rId14" w:history="1">
        <w:r w:rsidRPr="0054763A">
          <w:rPr>
            <w:rStyle w:val="Hyperlink"/>
            <w:rFonts w:ascii="Palatino Linotype" w:eastAsiaTheme="minorEastAsia" w:hAnsi="Palatino Linotype" w:cstheme="minorBidi"/>
            <w:color w:val="000000" w:themeColor="text1"/>
            <w:kern w:val="24"/>
          </w:rPr>
          <w:t>State Street Global Advisors</w:t>
        </w:r>
      </w:hyperlink>
    </w:p>
    <w:p w14:paraId="0F327E30" w14:textId="77777777" w:rsidR="0054763A" w:rsidRPr="0054763A" w:rsidRDefault="0054763A" w:rsidP="0054763A">
      <w:pPr>
        <w:pStyle w:val="NormalWeb"/>
        <w:spacing w:before="0" w:beforeAutospacing="0" w:after="0" w:afterAutospacing="0"/>
      </w:pPr>
      <w:r w:rsidRPr="0054763A">
        <w:rPr>
          <w:rFonts w:ascii="Palatino Linotype" w:eastAsiaTheme="minorEastAsia" w:hAnsi="Palatino Linotype" w:cstheme="minorBidi"/>
          <w:color w:val="000000" w:themeColor="text1"/>
          <w:kern w:val="24"/>
        </w:rPr>
        <w:t xml:space="preserve">*Note: Generative AI was utilized in the construction of the codebase. </w:t>
      </w:r>
    </w:p>
    <w:p w14:paraId="7093499E" w14:textId="77777777" w:rsidR="0054763A" w:rsidRPr="00282DBC" w:rsidRDefault="0054763A" w:rsidP="00BA50CE">
      <w:pPr>
        <w:tabs>
          <w:tab w:val="center" w:pos="4680"/>
        </w:tabs>
        <w:jc w:val="both"/>
        <w:rPr>
          <w:rFonts w:ascii="Palatino Linotype" w:hAnsi="Palatino Linotype"/>
        </w:rPr>
      </w:pPr>
    </w:p>
    <w:sectPr w:rsidR="0054763A" w:rsidRPr="00282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EB587D"/>
    <w:multiLevelType w:val="hybridMultilevel"/>
    <w:tmpl w:val="237A833C"/>
    <w:lvl w:ilvl="0" w:tplc="591859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E1A749C"/>
    <w:multiLevelType w:val="hybridMultilevel"/>
    <w:tmpl w:val="8C365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01556A"/>
    <w:multiLevelType w:val="hybridMultilevel"/>
    <w:tmpl w:val="8BCA3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9B1D58"/>
    <w:multiLevelType w:val="hybridMultilevel"/>
    <w:tmpl w:val="16DA1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7519132">
    <w:abstractNumId w:val="1"/>
  </w:num>
  <w:num w:numId="2" w16cid:durableId="1614047292">
    <w:abstractNumId w:val="3"/>
  </w:num>
  <w:num w:numId="3" w16cid:durableId="1517041465">
    <w:abstractNumId w:val="2"/>
  </w:num>
  <w:num w:numId="4" w16cid:durableId="768045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472A2F"/>
    <w:rsid w:val="00021C41"/>
    <w:rsid w:val="00035C3F"/>
    <w:rsid w:val="00045053"/>
    <w:rsid w:val="00046458"/>
    <w:rsid w:val="00051FE9"/>
    <w:rsid w:val="00052C8B"/>
    <w:rsid w:val="00064A8A"/>
    <w:rsid w:val="000662CA"/>
    <w:rsid w:val="00085CBD"/>
    <w:rsid w:val="000934B8"/>
    <w:rsid w:val="000A7170"/>
    <w:rsid w:val="000C54C8"/>
    <w:rsid w:val="000E65FE"/>
    <w:rsid w:val="000F6E80"/>
    <w:rsid w:val="00140381"/>
    <w:rsid w:val="0015031E"/>
    <w:rsid w:val="00150714"/>
    <w:rsid w:val="0016365C"/>
    <w:rsid w:val="001A09E1"/>
    <w:rsid w:val="001D246C"/>
    <w:rsid w:val="001F1772"/>
    <w:rsid w:val="001F403B"/>
    <w:rsid w:val="001F47B9"/>
    <w:rsid w:val="001F7780"/>
    <w:rsid w:val="002116E0"/>
    <w:rsid w:val="00216D2C"/>
    <w:rsid w:val="00231D41"/>
    <w:rsid w:val="00233176"/>
    <w:rsid w:val="00234705"/>
    <w:rsid w:val="00245E2B"/>
    <w:rsid w:val="0025733C"/>
    <w:rsid w:val="00263F86"/>
    <w:rsid w:val="002650EC"/>
    <w:rsid w:val="00266D2A"/>
    <w:rsid w:val="00270AD0"/>
    <w:rsid w:val="00275AD6"/>
    <w:rsid w:val="00282DBC"/>
    <w:rsid w:val="00283C07"/>
    <w:rsid w:val="00285158"/>
    <w:rsid w:val="00290202"/>
    <w:rsid w:val="00291D8C"/>
    <w:rsid w:val="002930EF"/>
    <w:rsid w:val="002A0CD5"/>
    <w:rsid w:val="002B0ABF"/>
    <w:rsid w:val="002B2A1D"/>
    <w:rsid w:val="002B317C"/>
    <w:rsid w:val="002D2281"/>
    <w:rsid w:val="002E3AAD"/>
    <w:rsid w:val="002F01E7"/>
    <w:rsid w:val="002F1802"/>
    <w:rsid w:val="002F1FC2"/>
    <w:rsid w:val="00324234"/>
    <w:rsid w:val="00326D77"/>
    <w:rsid w:val="00341C64"/>
    <w:rsid w:val="00356168"/>
    <w:rsid w:val="003572FE"/>
    <w:rsid w:val="0036499F"/>
    <w:rsid w:val="003667D2"/>
    <w:rsid w:val="00373C86"/>
    <w:rsid w:val="00377B4C"/>
    <w:rsid w:val="00384DBF"/>
    <w:rsid w:val="0039467F"/>
    <w:rsid w:val="003B1485"/>
    <w:rsid w:val="003B28EE"/>
    <w:rsid w:val="003C3900"/>
    <w:rsid w:val="003C3E25"/>
    <w:rsid w:val="003C4235"/>
    <w:rsid w:val="003F58D2"/>
    <w:rsid w:val="004016E0"/>
    <w:rsid w:val="00401EBD"/>
    <w:rsid w:val="004355F1"/>
    <w:rsid w:val="00437F90"/>
    <w:rsid w:val="00444489"/>
    <w:rsid w:val="00446199"/>
    <w:rsid w:val="0044767D"/>
    <w:rsid w:val="00451DB8"/>
    <w:rsid w:val="0048144C"/>
    <w:rsid w:val="004A0F25"/>
    <w:rsid w:val="004A633A"/>
    <w:rsid w:val="004B30B6"/>
    <w:rsid w:val="004E4F03"/>
    <w:rsid w:val="004F271D"/>
    <w:rsid w:val="004F51FE"/>
    <w:rsid w:val="004F61D6"/>
    <w:rsid w:val="00500B39"/>
    <w:rsid w:val="0051127C"/>
    <w:rsid w:val="00523B48"/>
    <w:rsid w:val="00526F98"/>
    <w:rsid w:val="00532B58"/>
    <w:rsid w:val="00537EF4"/>
    <w:rsid w:val="00541156"/>
    <w:rsid w:val="0054763A"/>
    <w:rsid w:val="00554120"/>
    <w:rsid w:val="00561CAC"/>
    <w:rsid w:val="00572531"/>
    <w:rsid w:val="0059708C"/>
    <w:rsid w:val="00597657"/>
    <w:rsid w:val="005B7371"/>
    <w:rsid w:val="005D49F2"/>
    <w:rsid w:val="005E5405"/>
    <w:rsid w:val="006253F4"/>
    <w:rsid w:val="00644CD3"/>
    <w:rsid w:val="00647FDD"/>
    <w:rsid w:val="00664B60"/>
    <w:rsid w:val="00680478"/>
    <w:rsid w:val="00681279"/>
    <w:rsid w:val="00686FBC"/>
    <w:rsid w:val="006925C4"/>
    <w:rsid w:val="006A107B"/>
    <w:rsid w:val="006C5813"/>
    <w:rsid w:val="006D51BE"/>
    <w:rsid w:val="006E058E"/>
    <w:rsid w:val="006E367F"/>
    <w:rsid w:val="007047DF"/>
    <w:rsid w:val="00707FA4"/>
    <w:rsid w:val="00713A52"/>
    <w:rsid w:val="0073656C"/>
    <w:rsid w:val="00765E5D"/>
    <w:rsid w:val="007801A7"/>
    <w:rsid w:val="00786B7A"/>
    <w:rsid w:val="00787B6D"/>
    <w:rsid w:val="007C438B"/>
    <w:rsid w:val="007D1EDE"/>
    <w:rsid w:val="007E6EF2"/>
    <w:rsid w:val="00800CC8"/>
    <w:rsid w:val="00817430"/>
    <w:rsid w:val="008303DE"/>
    <w:rsid w:val="00871974"/>
    <w:rsid w:val="00876DB2"/>
    <w:rsid w:val="00876E30"/>
    <w:rsid w:val="00892692"/>
    <w:rsid w:val="008B2A88"/>
    <w:rsid w:val="008B6F39"/>
    <w:rsid w:val="008D0C94"/>
    <w:rsid w:val="008D2543"/>
    <w:rsid w:val="008F19C6"/>
    <w:rsid w:val="008F1A45"/>
    <w:rsid w:val="008F460D"/>
    <w:rsid w:val="00904A50"/>
    <w:rsid w:val="009052C5"/>
    <w:rsid w:val="009059FD"/>
    <w:rsid w:val="0091736C"/>
    <w:rsid w:val="00920850"/>
    <w:rsid w:val="00920F09"/>
    <w:rsid w:val="00965D5F"/>
    <w:rsid w:val="009711B3"/>
    <w:rsid w:val="00972D43"/>
    <w:rsid w:val="00986A76"/>
    <w:rsid w:val="009932C9"/>
    <w:rsid w:val="00994DF4"/>
    <w:rsid w:val="009A3583"/>
    <w:rsid w:val="009C0D21"/>
    <w:rsid w:val="009E02F1"/>
    <w:rsid w:val="009E2229"/>
    <w:rsid w:val="009E42A1"/>
    <w:rsid w:val="00A01E7E"/>
    <w:rsid w:val="00A0796B"/>
    <w:rsid w:val="00A10D0E"/>
    <w:rsid w:val="00A132C3"/>
    <w:rsid w:val="00A172AF"/>
    <w:rsid w:val="00A27E60"/>
    <w:rsid w:val="00A43613"/>
    <w:rsid w:val="00A5118B"/>
    <w:rsid w:val="00A6204F"/>
    <w:rsid w:val="00A74248"/>
    <w:rsid w:val="00A75301"/>
    <w:rsid w:val="00A754BF"/>
    <w:rsid w:val="00A868BD"/>
    <w:rsid w:val="00A870BE"/>
    <w:rsid w:val="00A94EC6"/>
    <w:rsid w:val="00AB288C"/>
    <w:rsid w:val="00AE2BBF"/>
    <w:rsid w:val="00AF65FF"/>
    <w:rsid w:val="00B167F6"/>
    <w:rsid w:val="00B34440"/>
    <w:rsid w:val="00B40614"/>
    <w:rsid w:val="00B41C0E"/>
    <w:rsid w:val="00B65947"/>
    <w:rsid w:val="00B761EC"/>
    <w:rsid w:val="00B93DFF"/>
    <w:rsid w:val="00B949C8"/>
    <w:rsid w:val="00B95C3D"/>
    <w:rsid w:val="00BA0D35"/>
    <w:rsid w:val="00BA50CE"/>
    <w:rsid w:val="00BA75EC"/>
    <w:rsid w:val="00BB1861"/>
    <w:rsid w:val="00BC0E8C"/>
    <w:rsid w:val="00BD57C5"/>
    <w:rsid w:val="00BE035D"/>
    <w:rsid w:val="00C0728D"/>
    <w:rsid w:val="00C25E48"/>
    <w:rsid w:val="00C31BA0"/>
    <w:rsid w:val="00C436C7"/>
    <w:rsid w:val="00C61497"/>
    <w:rsid w:val="00C61B5E"/>
    <w:rsid w:val="00C7449D"/>
    <w:rsid w:val="00C9189A"/>
    <w:rsid w:val="00CD5D80"/>
    <w:rsid w:val="00CE0993"/>
    <w:rsid w:val="00CF42BF"/>
    <w:rsid w:val="00D015F5"/>
    <w:rsid w:val="00D0197C"/>
    <w:rsid w:val="00D02591"/>
    <w:rsid w:val="00D04D84"/>
    <w:rsid w:val="00D07967"/>
    <w:rsid w:val="00D1016E"/>
    <w:rsid w:val="00D13620"/>
    <w:rsid w:val="00D2339F"/>
    <w:rsid w:val="00D35F6B"/>
    <w:rsid w:val="00D4083C"/>
    <w:rsid w:val="00D40BA5"/>
    <w:rsid w:val="00D5239E"/>
    <w:rsid w:val="00D52D8B"/>
    <w:rsid w:val="00D56DB5"/>
    <w:rsid w:val="00D8205E"/>
    <w:rsid w:val="00D830A9"/>
    <w:rsid w:val="00DA41F4"/>
    <w:rsid w:val="00DB0E87"/>
    <w:rsid w:val="00DB2A33"/>
    <w:rsid w:val="00DD5F4E"/>
    <w:rsid w:val="00DE18ED"/>
    <w:rsid w:val="00DE5474"/>
    <w:rsid w:val="00DF0CCC"/>
    <w:rsid w:val="00DF10AD"/>
    <w:rsid w:val="00DF7C2E"/>
    <w:rsid w:val="00E002C0"/>
    <w:rsid w:val="00E029EC"/>
    <w:rsid w:val="00E1458B"/>
    <w:rsid w:val="00E26F43"/>
    <w:rsid w:val="00E27F16"/>
    <w:rsid w:val="00E41B84"/>
    <w:rsid w:val="00E43BD6"/>
    <w:rsid w:val="00E54762"/>
    <w:rsid w:val="00E60853"/>
    <w:rsid w:val="00EB56B9"/>
    <w:rsid w:val="00EC0996"/>
    <w:rsid w:val="00EC2073"/>
    <w:rsid w:val="00EE0CC8"/>
    <w:rsid w:val="00EE5650"/>
    <w:rsid w:val="00F05595"/>
    <w:rsid w:val="00F35BDA"/>
    <w:rsid w:val="00F360E6"/>
    <w:rsid w:val="00F37250"/>
    <w:rsid w:val="00F37AC5"/>
    <w:rsid w:val="00F4459E"/>
    <w:rsid w:val="00F46220"/>
    <w:rsid w:val="00F739E6"/>
    <w:rsid w:val="00F76581"/>
    <w:rsid w:val="00F90B73"/>
    <w:rsid w:val="00FB4A09"/>
    <w:rsid w:val="00FD3E28"/>
    <w:rsid w:val="00FE0B3E"/>
    <w:rsid w:val="64472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72A2F"/>
  <w15:chartTrackingRefBased/>
  <w15:docId w15:val="{8D647E03-41BF-4F32-8817-D99B85277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E029EC"/>
    <w:pPr>
      <w:ind w:left="720"/>
      <w:contextualSpacing/>
    </w:pPr>
  </w:style>
  <w:style w:type="paragraph" w:customStyle="1" w:styleId="paragraph">
    <w:name w:val="paragraph"/>
    <w:basedOn w:val="Normal"/>
    <w:rsid w:val="009C0D21"/>
    <w:pPr>
      <w:spacing w:before="100" w:beforeAutospacing="1" w:after="100" w:afterAutospacing="1" w:line="240" w:lineRule="auto"/>
    </w:pPr>
    <w:rPr>
      <w:rFonts w:ascii="Times New Roman" w:eastAsia="Times New Roman" w:hAnsi="Times New Roman" w:cs="Times New Roman"/>
      <w:lang w:eastAsia="en-US"/>
    </w:rPr>
  </w:style>
  <w:style w:type="character" w:customStyle="1" w:styleId="normaltextrun">
    <w:name w:val="normaltextrun"/>
    <w:basedOn w:val="DefaultParagraphFont"/>
    <w:rsid w:val="009C0D21"/>
  </w:style>
  <w:style w:type="character" w:customStyle="1" w:styleId="eop">
    <w:name w:val="eop"/>
    <w:basedOn w:val="DefaultParagraphFont"/>
    <w:rsid w:val="009C0D21"/>
  </w:style>
  <w:style w:type="paragraph" w:styleId="NormalWeb">
    <w:name w:val="Normal (Web)"/>
    <w:basedOn w:val="Normal"/>
    <w:uiPriority w:val="99"/>
    <w:semiHidden/>
    <w:unhideWhenUsed/>
    <w:rsid w:val="0054763A"/>
    <w:pPr>
      <w:spacing w:before="100" w:beforeAutospacing="1" w:after="100" w:afterAutospacing="1" w:line="240" w:lineRule="auto"/>
    </w:pPr>
    <w:rPr>
      <w:rFonts w:ascii="Times New Roman" w:eastAsia="Times New Roman" w:hAnsi="Times New Roman" w:cs="Times New Roman"/>
      <w:lang w:eastAsia="en-US"/>
    </w:rPr>
  </w:style>
  <w:style w:type="character" w:styleId="Hyperlink">
    <w:name w:val="Hyperlink"/>
    <w:basedOn w:val="DefaultParagraphFont"/>
    <w:uiPriority w:val="99"/>
    <w:semiHidden/>
    <w:unhideWhenUsed/>
    <w:rsid w:val="005476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8743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fisherinvestments.com/en-us/resource-library/investing-books/sector-guide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dws.com/AssetDownload/Index?assetGuid=1dd7da24-b4e2-4797-89af-13fd57cb9bee&amp;consumer=E-Librar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fidelity.com/bin-public/060_www_fidelity_com/documents/fixed-income/Business_Cycle_Sector_Approach.pdf"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corporatefinanceinstitute.com/resources/career-map/sell-side/capital-markets/healthcare-sector/"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ssga.com/us/en/intermediary/etfs/funds/spdr-ssga-us-sector-rotation-etf-xls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09929af-2d25-45bf-9837-089eb9cfbd01}" enabled="0" method="" siteId="{809929af-2d25-45bf-9837-089eb9cfbd01}" removed="1"/>
</clbl:labelList>
</file>

<file path=docProps/app.xml><?xml version="1.0" encoding="utf-8"?>
<Properties xmlns="http://schemas.openxmlformats.org/officeDocument/2006/extended-properties" xmlns:vt="http://schemas.openxmlformats.org/officeDocument/2006/docPropsVTypes">
  <Template>Normal</Template>
  <TotalTime>4</TotalTime>
  <Pages>13</Pages>
  <Words>3343</Words>
  <Characters>19061</Characters>
  <Application>Microsoft Office Word</Application>
  <DocSecurity>0</DocSecurity>
  <Lines>158</Lines>
  <Paragraphs>44</Paragraphs>
  <ScaleCrop>false</ScaleCrop>
  <Company/>
  <LinksUpToDate>false</LinksUpToDate>
  <CharactersWithSpaces>22360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Ty (Student)</dc:creator>
  <cp:keywords/>
  <dc:description/>
  <cp:lastModifiedBy>Miller, Ty (Student)</cp:lastModifiedBy>
  <cp:revision>2</cp:revision>
  <dcterms:created xsi:type="dcterms:W3CDTF">2024-05-15T20:21:00Z</dcterms:created>
  <dcterms:modified xsi:type="dcterms:W3CDTF">2024-05-15T20:21:00Z</dcterms:modified>
</cp:coreProperties>
</file>