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Preliminary Branding Statement – Tim Halligan</w:t>
        <w:tab/>
        <w:tab/>
        <w:tab/>
        <w:tab/>
        <w:tab/>
        <w:tab/>
        <w:t>9-26-2018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Financial Analyst with complimentary Data Analytics certification and interest. 15+ years of experience interpreting and modeling Financial Statements. Ready to apply recently a</w:t>
      </w:r>
      <w:r>
        <w:rPr/>
        <w:t>c</w:t>
      </w:r>
      <w:r>
        <w:rPr/>
        <w:t>quired analytical and visualization skills to assist in driving business solutions for forward thinking companies.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LibreOffice/6.1.0.3$Windows_X86_64 LibreOffice_project/efb621ed25068d70781dc026f7e9c5187a4decd1</Application>
  <Pages>1</Pages>
  <Words>43</Words>
  <Characters>305</Characters>
  <CharactersWithSpaces>352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2018-08-27T23:09:41Z</dcterms:created>
  <dc:creator/>
  <dc:description/>
  <dc:language>en-US</dc:language>
  <cp:lastModifiedBy/>
  <dcterms:modified xsi:type="dcterms:W3CDTF">2018-09-26T23:34:00Z</dcterms:modified>
  <cp:revision>3</cp:revision>
  <dc:subject/>
  <dc:title/>
</cp:coreProperties>
</file>