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2020 fast vierfach so viele Fälle feststellen.Cyberkriminalität lässt sich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jc w:val="center"/>
      </w:pPr>
      <w:r>
        <w:drawing>
          <wp:inline xmlns:a="http://schemas.openxmlformats.org/drawingml/2006/main" xmlns:pic="http://schemas.openxmlformats.org/drawingml/2006/picture">
            <wp:extent cx="4572000" cy="3265714"/>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4572000" cy="3265714"/>
                    </a:xfrm>
                    <a:prstGeom prst="rect"/>
                  </pic:spPr>
                </pic:pic>
              </a:graphicData>
            </a:graphic>
          </wp:inline>
        </w:drawing>
      </w:r>
    </w:p>
    <w:p>
      <w:pPr>
        <w:jc w:val="center"/>
      </w:pPr>
      <w:r>
        <w:t>Abbildung 1: Data Breaches über x Jahre</w:t>
      </w:r>
    </w:p>
    <w:p>
      <w:pPr>
        <w:jc w:val="center"/>
      </w:pPr>
      <w:r>
        <w:drawing>
          <wp:inline xmlns:a="http://schemas.openxmlformats.org/drawingml/2006/main" xmlns:pic="http://schemas.openxmlformats.org/drawingml/2006/picture">
            <wp:extent cx="4572000" cy="3265714"/>
            <wp:docPr id="3" name="Picture 3"/>
            <wp:cNvGraphicFramePr>
              <a:graphicFrameLocks noChangeAspect="1"/>
            </wp:cNvGraphicFramePr>
            <a:graphic>
              <a:graphicData uri="http://schemas.openxmlformats.org/drawingml/2006/picture">
                <pic:pic>
                  <pic:nvPicPr>
                    <pic:cNvPr id="0" name="fig_bubblechart.png"/>
                    <pic:cNvPicPr/>
                  </pic:nvPicPr>
                  <pic:blipFill>
                    <a:blip r:embed="rId18"/>
                    <a:stretch>
                      <a:fillRect/>
                    </a:stretch>
                  </pic:blipFill>
                  <pic:spPr>
                    <a:xfrm>
                      <a:off x="0" y="0"/>
                      <a:ext cx="4572000" cy="3265714"/>
                    </a:xfrm>
                    <a:prstGeom prst="rect"/>
                  </pic:spPr>
                </pic:pic>
              </a:graphicData>
            </a:graphic>
          </wp:inline>
        </w:drawing>
      </w:r>
    </w:p>
    <w:p>
      <w:pPr>
        <w:jc w:val="center"/>
      </w:pPr>
      <w:r>
        <w:t>Abbildung 2: Data Breaches</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