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Phishing-Mails,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 (Quelle: information ist beautiful, 2021a)</w:t>
      </w:r>
    </w:p>
    <w:p>
      <w:pPr>
        <w:jc w:val="both"/>
      </w:pPr>
      <w:r>
        <w:t xml:space="preserve">In den letzten Jahre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Unternhemen in Papierform vorlagen, werden heutzutage digitalisiert auf großen Servern gespeichert. Wo es Hackern früher noch gar nicht möglich war auf Daten zuzugreifen, besteht heut für diese ein rießiges Potenzial. </w:t>
      </w:r>
    </w:p>
    <w:p>
      <w:pPr>
        <w:jc w:val="center"/>
      </w:pPr>
      <w:r>
        <w:drawing>
          <wp:inline xmlns:a="http://schemas.openxmlformats.org/drawingml/2006/main" xmlns:pic="http://schemas.openxmlformats.org/drawingml/2006/picture">
            <wp:extent cx="6400800" cy="45720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6400800" cy="4572000"/>
                    </a:xfrm>
                    <a:prstGeom prst="rect"/>
                  </pic:spPr>
                </pic:pic>
              </a:graphicData>
            </a:graphic>
          </wp:inline>
        </w:drawing>
      </w:r>
    </w:p>
    <w:p>
      <w:pPr>
        <w:jc w:val="center"/>
      </w:pPr>
      <w:r>
        <w:t>Tabelle 1: Unternehmen mit dem höchsten Schaden durch Data Breaches von Jahr 2014 bis 2021 inklusive der Mittelwerte (Quelle: information ist beautiful, 2021a)</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Data Breaches im Jahr 2021 (Quelle: information ist beautiful, 2021a)</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 ausnuzt. Allerdings können auch Menschen in das Ziel von Hackern geraten. Dabei ist das Ziel oft, Menschen zu manipulieren oder sie bestimmte Handlungen ausführen zu lassen, sodass der Angreifer Zugang zum System bekommt.</w:t>
      </w:r>
    </w:p>
    <w:p>
      <w:pPr>
        <w:jc w:val="both"/>
      </w:pPr>
      <w:r>
        <w:t>Im Jahr2021ist die Aufteilung der Cyberattacken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 (Quelle: IBM, 2021)</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 (Quelle: IBM, 2021)</w:t>
      </w:r>
    </w:p>
    <w:p>
      <w:r>
        <w:rPr>
          <w:b/>
        </w:rPr>
        <w:t xml:space="preserve">Verteilung der Cyber Attacken mit Angriffsvektor Mensch </w:t>
      </w:r>
    </w:p>
    <w:p>
      <w:pPr>
        <w:pStyle w:val="Aufzhlungszeichen"/>
      </w:pPr>
      <w:r>
        <w:t>Kompromittierte Anmeldedaten: 36 %</w:t>
      </w:r>
    </w:p>
    <w:p>
      <w:pPr>
        <w:pStyle w:val="Aufzhlungszeichen"/>
      </w:pPr>
      <w:r>
        <w:t>Phishing: 30 %</w:t>
      </w:r>
    </w:p>
    <w:p>
      <w:pPr>
        <w:pStyle w:val="Aufzhlungszeichen"/>
      </w:pPr>
      <w:r>
        <w:t>Böswilliger Insider: 14 %</w:t>
      </w:r>
    </w:p>
    <w:p>
      <w:pPr>
        <w:pStyle w:val="Aufzhlungszeichen"/>
      </w:pPr>
      <w:r>
        <w:t>Versehentlicher Datenverlust/verlorenes Gerät: 10 %</w:t>
      </w:r>
    </w:p>
    <w:p>
      <w:pPr>
        <w:pStyle w:val="Aufzhlungszeichen"/>
      </w:pPr>
      <w:r>
        <w:t>Kompromittierung von Geschäfts-E-Mails: 7 %</w:t>
      </w:r>
    </w:p>
    <w:p>
      <w:pPr>
        <w:jc w:val="both"/>
      </w:pPr>
      <w:r>
        <w:t>Im folgenden werden die zwei größten Angriffsvektoren beim Angriffvektor Mensch näher beschrieben.</w:t>
      </w:r>
    </w:p>
    <w:p>
      <w:r>
        <w:rPr>
          <w:b/>
        </w:rPr>
        <w:t>Angriffsvektor Kompromittierte Anmeldedaten</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r>
        <w:rPr>
          <w:b/>
        </w:rPr>
        <w:t>Angriffsvektor Phishing</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anzugeben.Mehr zu Phishing ist im folgenden Kapitel zu finden.</w:t>
      </w:r>
    </w:p>
    <w:p>
      <w:r>
        <w:br w:type="page"/>
      </w:r>
    </w:p>
    <w:p>
      <w:pPr>
        <w:pStyle w:val="berschrift1"/>
      </w:pPr>
      <w:r>
        <w:t>Phishing</w:t>
      </w:r>
    </w:p>
    <w:p>
      <w:pPr>
        <w:jc w:val="both"/>
      </w:pPr>
      <w:r>
        <w:t>Die meist verbreitesten Arten von Phishing sind, das Senden eines URL-Hyperlinks, die Anfrage einer Dateneingabe und ein an eine E-Mail angefügter Anhang. Dabei sind Phishing Anriffe am meisten verbreitet. Die Angreifer sind über die letzten Jahre immer erfinderischer geworden. Oft verstecken sich Angreifer hinter weit verbreitete und vertrauenswürdige Diensten und täuschen so ihre Opfer, indem sie sich als echt ausgeben. Zu den meist verwendeten Themen von Phishing gehören bspw. Mircosoft Teams-Anfragen, Coronavirus-Alarmmeldungen aber auch Starbucks-Bonus oder UPS-Versandbenachrichtugnen. Oft versuchen Angreifer ihre Opfer mit raffinierten Themen wie kostenlosen Angeboten, Rabatten oder Ticketvorverkäufen zu überzeugen. (Proofpoint, 2021)</w:t>
      </w:r>
    </w:p>
    <w:p>
      <w:pPr>
        <w:jc w:val="center"/>
      </w:pPr>
      <w:r>
        <w:drawing>
          <wp:inline xmlns:a="http://schemas.openxmlformats.org/drawingml/2006/main" xmlns:pic="http://schemas.openxmlformats.org/drawingml/2006/picture">
            <wp:extent cx="2743200" cy="1959429"/>
            <wp:docPr id="7" name="Picture 7"/>
            <wp:cNvGraphicFramePr>
              <a:graphicFrameLocks noChangeAspect="1"/>
            </wp:cNvGraphicFramePr>
            <a:graphic>
              <a:graphicData uri="http://schemas.openxmlformats.org/drawingml/2006/picture">
                <pic:pic>
                  <pic:nvPicPr>
                    <pic:cNvPr id="0" name="phishing_link.png"/>
                    <pic:cNvPicPr/>
                  </pic:nvPicPr>
                  <pic:blipFill>
                    <a:blip r:embed="rId22"/>
                    <a:stretch>
                      <a:fillRect/>
                    </a:stretch>
                  </pic:blipFill>
                  <pic:spPr>
                    <a:xfrm>
                      <a:off x="0" y="0"/>
                      <a:ext cx="2743200" cy="1959429"/>
                    </a:xfrm>
                    <a:prstGeom prst="rect"/>
                  </pic:spPr>
                </pic:pic>
              </a:graphicData>
            </a:graphic>
          </wp:inline>
        </w:drawing>
      </w:r>
    </w:p>
    <w:p>
      <w:r>
        <w:rPr>
          <w:b/>
        </w:rPr>
        <w:t>68% der Phishing Mails sollen den Nutzer dazu Veranlassen einen Link zu öffnen</w:t>
      </w:r>
    </w:p>
    <w:p>
      <w:pPr>
        <w:jc w:val="center"/>
      </w:pPr>
      <w:r>
        <w:t>Abbildung 5: Phishing via Link (Quelle: Proofpoint, 2021)</w:t>
      </w:r>
    </w:p>
    <w:p>
      <w:pPr>
        <w:jc w:val="center"/>
      </w:pPr>
      <w:r>
        <w:drawing>
          <wp:inline xmlns:a="http://schemas.openxmlformats.org/drawingml/2006/main" xmlns:pic="http://schemas.openxmlformats.org/drawingml/2006/picture">
            <wp:extent cx="2743200" cy="1959429"/>
            <wp:docPr id="8" name="Picture 8"/>
            <wp:cNvGraphicFramePr>
              <a:graphicFrameLocks noChangeAspect="1"/>
            </wp:cNvGraphicFramePr>
            <a:graphic>
              <a:graphicData uri="http://schemas.openxmlformats.org/drawingml/2006/picture">
                <pic:pic>
                  <pic:nvPicPr>
                    <pic:cNvPr id="0" name="phishing_input.png"/>
                    <pic:cNvPicPr/>
                  </pic:nvPicPr>
                  <pic:blipFill>
                    <a:blip r:embed="rId23"/>
                    <a:stretch>
                      <a:fillRect/>
                    </a:stretch>
                  </pic:blipFill>
                  <pic:spPr>
                    <a:xfrm>
                      <a:off x="0" y="0"/>
                      <a:ext cx="2743200" cy="1959429"/>
                    </a:xfrm>
                    <a:prstGeom prst="rect"/>
                  </pic:spPr>
                </pic:pic>
              </a:graphicData>
            </a:graphic>
          </wp:inline>
        </w:drawing>
      </w:r>
    </w:p>
    <w:p>
      <w:r>
        <w:rPr>
          <w:b/>
        </w:rPr>
        <w:t>Bei 23% der Phishing Mails sollen der Nutzer sensible Daten angeben</w:t>
      </w:r>
    </w:p>
    <w:p>
      <w:pPr>
        <w:jc w:val="center"/>
      </w:pPr>
      <w:r>
        <w:t>Abbildung 6: Phishing via Input (Quelle: Proofpoint, 2021)</w:t>
      </w:r>
    </w:p>
    <w:p>
      <w:pPr>
        <w:jc w:val="center"/>
      </w:pPr>
      <w:r>
        <w:drawing>
          <wp:inline xmlns:a="http://schemas.openxmlformats.org/drawingml/2006/main" xmlns:pic="http://schemas.openxmlformats.org/drawingml/2006/picture">
            <wp:extent cx="2743200" cy="1959429"/>
            <wp:docPr id="9" name="Picture 9"/>
            <wp:cNvGraphicFramePr>
              <a:graphicFrameLocks noChangeAspect="1"/>
            </wp:cNvGraphicFramePr>
            <a:graphic>
              <a:graphicData uri="http://schemas.openxmlformats.org/drawingml/2006/picture">
                <pic:pic>
                  <pic:nvPicPr>
                    <pic:cNvPr id="0" name="phishing_attach.png"/>
                    <pic:cNvPicPr/>
                  </pic:nvPicPr>
                  <pic:blipFill>
                    <a:blip r:embed="rId24"/>
                    <a:stretch>
                      <a:fillRect/>
                    </a:stretch>
                  </pic:blipFill>
                  <pic:spPr>
                    <a:xfrm>
                      <a:off x="0" y="0"/>
                      <a:ext cx="2743200" cy="1959429"/>
                    </a:xfrm>
                    <a:prstGeom prst="rect"/>
                  </pic:spPr>
                </pic:pic>
              </a:graphicData>
            </a:graphic>
          </wp:inline>
        </w:drawing>
      </w:r>
    </w:p>
    <w:p>
      <w:r>
        <w:rPr>
          <w:b/>
        </w:rPr>
        <w:t>9% aller Phishing Mails zielen darauf ab, den Nutzer den Anhang öffnen zu lassen</w:t>
      </w:r>
    </w:p>
    <w:p>
      <w:pPr>
        <w:jc w:val="center"/>
      </w:pPr>
      <w:r>
        <w:t>Abbildung 6: Phishing via Anhang (Quelle: Proofpoint, 2021)</w:t>
      </w:r>
    </w:p>
    <w:p>
      <w:pPr>
        <w:jc w:val="both"/>
      </w:pPr>
      <w:r>
        <w:t>Im Folgenden werden die Fehlerquoten für 20 verschiedene Branchen und Abteilungen dargestellt.Die Fehlerquote bezieht sich dabei auf das Fehlverhalten bei Phishing-Angriffen durch bspw. auf öffnen eines URL-Hyperlinks. (Proofpoint, 2021)Der Gesamtdurchschnitt über alle Branchen hinweg lag bei 11 % (siehe Abb. 7). Bei den Abteilungen lag der Durchschnitt bei 11% (siehe Abb. 8).</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Phishing nach Branche</w:t>
      </w:r>
    </w:p>
    <w:p>
      <w:pPr>
        <w:jc w:val="both"/>
      </w:pPr>
      <w:r>
        <w:t>Fehlerquoten betrachtet auf einzelnen Abteilungsebene legt einen ausführlichen Überblick über mögliche Schwachstellen im Unternehmen. Angreifer haben meist einzelne Posteingänge und E-Mail-Aliase im Blick für einen Angriff. Eine Fehlerquote auf Unternehmensebene allein stellt nicht dar, bei welchen Teams oder Aufgabenbereiche möglicherweise Probleme auftreten. (Proofpoint, 2021)</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8: Phishing nach Branche (Quelle: Proofpoint, 2021)</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t>
              <w:br/>
              <w:t>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pPr>
              <w:jc w:val="right"/>
            </w:pPr>
            <w:r>
              <w:t>1.000.000</w:t>
            </w:r>
          </w:p>
        </w:tc>
        <w:tc>
          <w:tcPr>
            <w:tcW w:type="dxa" w:w="1728"/>
          </w:tcPr>
          <w:p>
            <w:r>
              <w:t>0,001 s</w:t>
            </w:r>
          </w:p>
        </w:tc>
      </w:tr>
      <w:tr>
        <w:tc>
          <w:tcPr>
            <w:tcW w:type="dxa" w:w="1728"/>
            <w:vMerge/>
          </w:tcPr>
          <w:p/>
        </w:tc>
        <w:tc>
          <w:tcPr>
            <w:tcW w:type="dxa" w:w="1728"/>
            <w:vMerge/>
          </w:tcPr>
          <w:p/>
        </w:tc>
        <w:tc>
          <w:tcPr>
            <w:tcW w:type="dxa" w:w="1728"/>
          </w:tcPr>
          <w:p>
            <w:r>
              <w:t>8</w:t>
            </w:r>
          </w:p>
        </w:tc>
        <w:tc>
          <w:tcPr>
            <w:tcW w:type="dxa" w:w="1728"/>
          </w:tcPr>
          <w:p>
            <w:pPr>
              <w:jc w:val="right"/>
            </w:pPr>
            <w:r>
              <w:t>100.000.000</w:t>
            </w:r>
          </w:p>
        </w:tc>
        <w:tc>
          <w:tcPr>
            <w:tcW w:type="dxa" w:w="1728"/>
          </w:tcPr>
          <w:p>
            <w:r>
              <w:t>0,1 s</w:t>
            </w:r>
          </w:p>
        </w:tc>
      </w:tr>
      <w:tr>
        <w:tc>
          <w:tcPr>
            <w:tcW w:type="dxa" w:w="1728"/>
            <w:vMerge/>
          </w:tcPr>
          <w:p/>
        </w:tc>
        <w:tc>
          <w:tcPr>
            <w:tcW w:type="dxa" w:w="1728"/>
            <w:vMerge/>
          </w:tcPr>
          <w:p/>
        </w:tc>
        <w:tc>
          <w:tcPr>
            <w:tcW w:type="dxa" w:w="1728"/>
          </w:tcPr>
          <w:p>
            <w:r>
              <w:t>10</w:t>
            </w:r>
          </w:p>
        </w:tc>
        <w:tc>
          <w:tcPr>
            <w:tcW w:type="dxa" w:w="1728"/>
          </w:tcPr>
          <w:p>
            <w:pPr>
              <w:jc w:val="right"/>
            </w:pPr>
            <w:r>
              <w:t>10.000.000.000</w:t>
            </w:r>
          </w:p>
        </w:tc>
        <w:tc>
          <w:tcPr>
            <w:tcW w:type="dxa" w:w="1728"/>
          </w:tcPr>
          <w:p>
            <w:r>
              <w:t>10 s</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pPr>
              <w:jc w:val="right"/>
            </w:pPr>
            <w:r>
              <w:t>56.800.235.584</w:t>
            </w:r>
          </w:p>
        </w:tc>
        <w:tc>
          <w:tcPr>
            <w:tcW w:type="dxa" w:w="1728"/>
          </w:tcPr>
          <w:p>
            <w:r>
              <w:t>56 s</w:t>
            </w:r>
          </w:p>
        </w:tc>
      </w:tr>
      <w:tr>
        <w:tc>
          <w:tcPr>
            <w:tcW w:type="dxa" w:w="1728"/>
            <w:vMerge/>
          </w:tcPr>
          <w:p/>
        </w:tc>
        <w:tc>
          <w:tcPr>
            <w:tcW w:type="dxa" w:w="1728"/>
            <w:vMerge/>
          </w:tcPr>
          <w:p/>
        </w:tc>
        <w:tc>
          <w:tcPr>
            <w:tcW w:type="dxa" w:w="1728"/>
          </w:tcPr>
          <w:p>
            <w:r>
              <w:t>8</w:t>
            </w:r>
          </w:p>
        </w:tc>
        <w:tc>
          <w:tcPr>
            <w:tcW w:type="dxa" w:w="1728"/>
          </w:tcPr>
          <w:p>
            <w:pPr>
              <w:jc w:val="right"/>
            </w:pPr>
            <w:r>
              <w:t>218.340.105.584.896</w:t>
            </w:r>
          </w:p>
        </w:tc>
        <w:tc>
          <w:tcPr>
            <w:tcW w:type="dxa" w:w="1728"/>
          </w:tcPr>
          <w:p>
            <w:r>
              <w:t>12 h</w:t>
            </w:r>
          </w:p>
        </w:tc>
      </w:tr>
      <w:tr>
        <w:tc>
          <w:tcPr>
            <w:tcW w:type="dxa" w:w="1728"/>
            <w:vMerge/>
          </w:tcPr>
          <w:p/>
        </w:tc>
        <w:tc>
          <w:tcPr>
            <w:tcW w:type="dxa" w:w="1728"/>
            <w:vMerge/>
          </w:tcPr>
          <w:p/>
        </w:tc>
        <w:tc>
          <w:tcPr>
            <w:tcW w:type="dxa" w:w="1728"/>
          </w:tcPr>
          <w:p>
            <w:r>
              <w:t>10</w:t>
            </w:r>
          </w:p>
        </w:tc>
        <w:tc>
          <w:tcPr>
            <w:tcW w:type="dxa" w:w="1728"/>
          </w:tcPr>
          <w:p>
            <w:pPr>
              <w:jc w:val="right"/>
            </w:pPr>
            <w:r>
              <w:t>839.299.365.868.340.224</w:t>
            </w:r>
          </w:p>
        </w:tc>
        <w:tc>
          <w:tcPr>
            <w:tcW w:type="dxa" w:w="1728"/>
          </w:tcPr>
          <w:p>
            <w:r>
              <w:t>26 Jahre</w:t>
            </w:r>
          </w:p>
        </w:tc>
      </w:tr>
      <w:tr>
        <w:tc>
          <w:tcPr>
            <w:tcW w:type="dxa" w:w="1728"/>
            <w:vMerge w:val="restart"/>
          </w:tcPr>
          <w:p>
            <w:r>
              <w:t>A-Z, a-z, 0-9,</w:t>
            </w:r>
          </w:p>
          <w:p>
            <w:r>
              <w:t>()[]{}?!$%&amp;</w:t>
            </w:r>
          </w:p>
          <w:p>
            <w:r>
              <w:t>=*+~,.;:&lt;&gt;-_</w:t>
            </w:r>
          </w:p>
        </w:tc>
        <w:tc>
          <w:tcPr>
            <w:tcW w:type="dxa" w:w="1728"/>
            <w:vMerge w:val="restart"/>
          </w:tcPr>
          <w:p>
            <w:r>
              <w:t>10</w:t>
            </w:r>
          </w:p>
          <w:p>
            <w:r/>
          </w:p>
          <w:p>
            <w:r/>
          </w:p>
        </w:tc>
        <w:tc>
          <w:tcPr>
            <w:tcW w:type="dxa" w:w="1728"/>
          </w:tcPr>
          <w:p>
            <w:r>
              <w:t>6</w:t>
            </w:r>
          </w:p>
        </w:tc>
        <w:tc>
          <w:tcPr>
            <w:tcW w:type="dxa" w:w="1728"/>
          </w:tcPr>
          <w:p>
            <w:pPr>
              <w:jc w:val="right"/>
            </w:pPr>
            <w:r>
              <w:t>404.567.235.136</w:t>
            </w:r>
          </w:p>
        </w:tc>
        <w:tc>
          <w:tcPr>
            <w:tcW w:type="dxa" w:w="1728"/>
          </w:tcPr>
          <w:p>
            <w:r>
              <w:t>11 min</w:t>
            </w:r>
          </w:p>
        </w:tc>
      </w:tr>
      <w:tr>
        <w:tc>
          <w:tcPr>
            <w:tcW w:type="dxa" w:w="1728"/>
            <w:vMerge/>
          </w:tcPr>
          <w:p/>
        </w:tc>
        <w:tc>
          <w:tcPr>
            <w:tcW w:type="dxa" w:w="1728"/>
            <w:vMerge/>
          </w:tcPr>
          <w:p/>
        </w:tc>
        <w:tc>
          <w:tcPr>
            <w:tcW w:type="dxa" w:w="1728"/>
          </w:tcPr>
          <w:p>
            <w:r>
              <w:t>8</w:t>
            </w:r>
          </w:p>
        </w:tc>
        <w:tc>
          <w:tcPr>
            <w:tcW w:type="dxa" w:w="1728"/>
          </w:tcPr>
          <w:p>
            <w:pPr>
              <w:jc w:val="right"/>
            </w:pPr>
            <w:r>
              <w:t>2.992.179.271.065.856</w:t>
            </w:r>
          </w:p>
        </w:tc>
        <w:tc>
          <w:tcPr>
            <w:tcW w:type="dxa" w:w="1728"/>
          </w:tcPr>
          <w:p>
            <w:r>
              <w:t>13 h</w:t>
            </w:r>
          </w:p>
        </w:tc>
      </w:tr>
      <w:tr>
        <w:tc>
          <w:tcPr>
            <w:tcW w:type="dxa" w:w="1728"/>
            <w:vMerge/>
          </w:tcPr>
          <w:p/>
        </w:tc>
        <w:tc>
          <w:tcPr>
            <w:tcW w:type="dxa" w:w="1728"/>
            <w:vMerge/>
          </w:tcPr>
          <w:p/>
        </w:tc>
        <w:tc>
          <w:tcPr>
            <w:tcW w:type="dxa" w:w="1728"/>
          </w:tcPr>
          <w:p>
            <w:r>
              <w:t>10</w:t>
            </w:r>
          </w:p>
        </w:tc>
        <w:tc>
          <w:tcPr>
            <w:tcW w:type="dxa" w:w="1728"/>
          </w:tcPr>
          <w:p>
            <w:pPr>
              <w:jc w:val="right"/>
            </w:pPr>
            <w:r>
              <w:t>22.130.157.888.803.070.976</w:t>
            </w:r>
          </w:p>
        </w:tc>
        <w:tc>
          <w:tcPr>
            <w:tcW w:type="dxa" w:w="1728"/>
          </w:tcPr>
          <w:p>
            <w:r>
              <w:t>1700 Jahre</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9: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