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EF5E" w14:textId="37AC9393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b/>
          <w:color w:val="00338D"/>
          <w:sz w:val="56"/>
          <w:lang w:eastAsia="zh-CN"/>
        </w:rPr>
        <w:t xml:space="preserve">明鉴 LuminFlow </w:t>
      </w:r>
      <w:r w:rsidR="005369D7">
        <w:rPr>
          <w:b/>
          <w:color w:val="00338D"/>
          <w:sz w:val="56"/>
          <w:lang w:eastAsia="zh-CN"/>
        </w:rPr>
        <w:t>审计透明协助平台</w:t>
      </w:r>
    </w:p>
    <w:p w14:paraId="318AE60E" w14:textId="5F808D33" w:rsidR="00E35169" w:rsidRPr="00690BC5" w:rsidRDefault="00690BC5">
      <w:pPr>
        <w:jc w:val="center"/>
        <w:rPr>
          <w:rFonts w:hint="eastAsia"/>
          <w:lang w:eastAsia="zh-CN"/>
        </w:rPr>
      </w:pPr>
      <w:r w:rsidRPr="00690BC5">
        <w:rPr>
          <w:b/>
          <w:color w:val="1E49E2"/>
          <w:sz w:val="36"/>
          <w:lang w:eastAsia="zh-CN"/>
        </w:rPr>
        <w:t>内部复核</w:t>
      </w:r>
      <w:r w:rsidR="00000000" w:rsidRPr="00690BC5">
        <w:rPr>
          <w:b/>
          <w:color w:val="1E49E2"/>
          <w:sz w:val="36"/>
          <w:lang w:eastAsia="zh-CN"/>
        </w:rPr>
        <w:t>材料 / 平台演示文档</w:t>
      </w:r>
    </w:p>
    <w:p w14:paraId="38A87922" w14:textId="0487593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sz w:val="24"/>
          <w:lang w:eastAsia="zh-CN"/>
        </w:rPr>
        <w:t>面向</w:t>
      </w:r>
      <w:r w:rsidR="00690BC5">
        <w:rPr>
          <w:sz w:val="24"/>
          <w:lang w:eastAsia="zh-CN"/>
        </w:rPr>
        <w:t>组员</w:t>
      </w:r>
      <w:r w:rsidRPr="00690BC5">
        <w:rPr>
          <w:sz w:val="24"/>
          <w:lang w:eastAsia="zh-CN"/>
        </w:rPr>
        <w:t>团队的功能评审、互动体验和建设性反馈收集材料</w:t>
      </w:r>
    </w:p>
    <w:p w14:paraId="323BE338" w14:textId="77777777" w:rsidR="00E35169" w:rsidRPr="00690BC5" w:rsidRDefault="00E35169">
      <w:pPr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25"/>
        <w:gridCol w:w="7625"/>
      </w:tblGrid>
      <w:tr w:rsidR="00E35169" w:rsidRPr="00690BC5" w14:paraId="488D6CCF" w14:textId="77777777">
        <w:trPr>
          <w:jc w:val="center"/>
        </w:trPr>
        <w:tc>
          <w:tcPr>
            <w:tcW w:w="7625" w:type="dxa"/>
            <w:shd w:val="clear" w:color="auto" w:fill="E8EDF5"/>
            <w:vAlign w:val="center"/>
          </w:tcPr>
          <w:p w14:paraId="3E88BB54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项目</w:t>
            </w:r>
          </w:p>
        </w:tc>
        <w:tc>
          <w:tcPr>
            <w:tcW w:w="7625" w:type="dxa"/>
            <w:shd w:val="clear" w:color="auto" w:fill="E8EDF5"/>
            <w:vAlign w:val="center"/>
          </w:tcPr>
          <w:p w14:paraId="1E875325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说明</w:t>
            </w:r>
          </w:p>
        </w:tc>
      </w:tr>
      <w:tr w:rsidR="00E35169" w:rsidRPr="00690BC5" w14:paraId="6CADA3EB" w14:textId="77777777">
        <w:trPr>
          <w:jc w:val="center"/>
        </w:trPr>
        <w:tc>
          <w:tcPr>
            <w:tcW w:w="7625" w:type="dxa"/>
          </w:tcPr>
          <w:p w14:paraId="74942E24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平台定位</w:t>
            </w:r>
          </w:p>
        </w:tc>
        <w:tc>
          <w:tcPr>
            <w:tcW w:w="7625" w:type="dxa"/>
          </w:tcPr>
          <w:p w14:paraId="73BB1F53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面向审计领域的透明协作平台，提升审计可视化、协作效率与结果可信度。</w:t>
            </w:r>
          </w:p>
        </w:tc>
      </w:tr>
      <w:tr w:rsidR="00E35169" w:rsidRPr="00690BC5" w14:paraId="0892945F" w14:textId="77777777">
        <w:trPr>
          <w:jc w:val="center"/>
        </w:trPr>
        <w:tc>
          <w:tcPr>
            <w:tcW w:w="7625" w:type="dxa"/>
          </w:tcPr>
          <w:p w14:paraId="5C765672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演示范围</w:t>
            </w:r>
          </w:p>
        </w:tc>
        <w:tc>
          <w:tcPr>
            <w:tcW w:w="7625" w:type="dxa"/>
          </w:tcPr>
          <w:p w14:paraId="42DF38CB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门户首页、审计目标、抽样预览、影响模拟、团队管理。</w:t>
            </w:r>
          </w:p>
        </w:tc>
      </w:tr>
      <w:tr w:rsidR="00E35169" w:rsidRPr="00690BC5" w14:paraId="611EF6BD" w14:textId="77777777">
        <w:trPr>
          <w:jc w:val="center"/>
        </w:trPr>
        <w:tc>
          <w:tcPr>
            <w:tcW w:w="7625" w:type="dxa"/>
          </w:tcPr>
          <w:p w14:paraId="7A52C511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截图语言</w:t>
            </w:r>
          </w:p>
        </w:tc>
        <w:tc>
          <w:tcPr>
            <w:tcW w:w="7625" w:type="dxa"/>
          </w:tcPr>
          <w:p w14:paraId="545F2518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主页面采用中文界面；语言切换、角色切换、AI 助手使用局部截图说明。</w:t>
            </w:r>
          </w:p>
        </w:tc>
      </w:tr>
      <w:tr w:rsidR="00E35169" w:rsidRPr="00690BC5" w14:paraId="6CBC9960" w14:textId="77777777">
        <w:trPr>
          <w:jc w:val="center"/>
        </w:trPr>
        <w:tc>
          <w:tcPr>
            <w:tcW w:w="7625" w:type="dxa"/>
          </w:tcPr>
          <w:p w14:paraId="7BEC9583" w14:textId="06131798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</w:rPr>
              <w:t>配套</w:t>
            </w:r>
            <w:r w:rsidR="00690BC5" w:rsidRPr="00690BC5">
              <w:rPr>
                <w:rFonts w:hint="eastAsia"/>
                <w:sz w:val="19"/>
                <w:lang w:eastAsia="zh-CN"/>
              </w:rPr>
              <w:t>Demo</w:t>
            </w:r>
          </w:p>
        </w:tc>
        <w:tc>
          <w:tcPr>
            <w:tcW w:w="7625" w:type="dxa"/>
          </w:tcPr>
          <w:p w14:paraId="3E30AF29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独立 HTML 互动演示页：LuminFlow_Interactive_Demo_zh.html。</w:t>
            </w:r>
          </w:p>
        </w:tc>
      </w:tr>
    </w:tbl>
    <w:p w14:paraId="1A54DDC8" w14:textId="77777777" w:rsidR="00E35169" w:rsidRPr="00690BC5" w:rsidRDefault="00E35169">
      <w:pPr>
        <w:rPr>
          <w:rFonts w:hint="eastAsia"/>
        </w:rPr>
      </w:pPr>
    </w:p>
    <w:p w14:paraId="44CCF655" w14:textId="77777777" w:rsidR="00E35169" w:rsidRPr="00690BC5" w:rsidRDefault="00000000">
      <w:pPr>
        <w:rPr>
          <w:rFonts w:hint="eastAsia"/>
        </w:rPr>
      </w:pPr>
      <w:r w:rsidRPr="00690BC5">
        <w:br w:type="page"/>
      </w:r>
    </w:p>
    <w:p w14:paraId="0612E8F5" w14:textId="54D9099F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1. 快速导览</w:t>
      </w:r>
    </w:p>
    <w:p w14:paraId="1E7FBCD2" w14:textId="0E09CD89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明鉴 LuminFlow 将审计目标、控制测试、智能抽样、影响模拟、AI 辅助解释和团队协作整合在同一个透明工作台中。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可通过本材料快速了解各页面功能、核心操作流程和审计工作流价值。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E35169" w:rsidRPr="00690BC5" w14:paraId="0EF89B0A" w14:textId="77777777">
        <w:trPr>
          <w:jc w:val="center"/>
        </w:trPr>
        <w:tc>
          <w:tcPr>
            <w:tcW w:w="5083" w:type="dxa"/>
            <w:shd w:val="clear" w:color="auto" w:fill="E8EDF5"/>
            <w:vAlign w:val="center"/>
          </w:tcPr>
          <w:p w14:paraId="257B9883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页面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1196935D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核心用途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58A00BFC" w14:textId="136241A9" w:rsidR="00E35169" w:rsidRPr="00690BC5" w:rsidRDefault="00690BC5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内部复核</w:t>
            </w:r>
            <w:r w:rsidR="00000000" w:rsidRPr="00690BC5">
              <w:rPr>
                <w:b/>
                <w:color w:val="00338D"/>
              </w:rPr>
              <w:t>重点</w:t>
            </w:r>
          </w:p>
        </w:tc>
      </w:tr>
      <w:tr w:rsidR="00E35169" w:rsidRPr="00690BC5" w14:paraId="6ECB8BD3" w14:textId="77777777">
        <w:trPr>
          <w:jc w:val="center"/>
        </w:trPr>
        <w:tc>
          <w:tcPr>
            <w:tcW w:w="5083" w:type="dxa"/>
          </w:tcPr>
          <w:p w14:paraId="726095F6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门户首页</w:t>
            </w:r>
          </w:p>
        </w:tc>
        <w:tc>
          <w:tcPr>
            <w:tcW w:w="5083" w:type="dxa"/>
          </w:tcPr>
          <w:p w14:paraId="7E65FB92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项目驾驶舱，展示进度、风险、PBC、待办和活动。</w:t>
            </w:r>
          </w:p>
        </w:tc>
        <w:tc>
          <w:tcPr>
            <w:tcW w:w="5083" w:type="dxa"/>
          </w:tcPr>
          <w:p w14:paraId="2970FDF6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KPI 口径是否覆盖管理层和审计团队需求。</w:t>
            </w:r>
          </w:p>
        </w:tc>
      </w:tr>
      <w:tr w:rsidR="00E35169" w:rsidRPr="00690BC5" w14:paraId="6CCF6C61" w14:textId="77777777">
        <w:trPr>
          <w:jc w:val="center"/>
        </w:trPr>
        <w:tc>
          <w:tcPr>
            <w:tcW w:w="5083" w:type="dxa"/>
          </w:tcPr>
          <w:p w14:paraId="11C0061B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审计目标</w:t>
            </w:r>
          </w:p>
        </w:tc>
        <w:tc>
          <w:tcPr>
            <w:tcW w:w="5083" w:type="dxa"/>
          </w:tcPr>
          <w:p w14:paraId="0EB6F561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审计目标、控制点、缺陷和 COSO 关系图谱。</w:t>
            </w:r>
          </w:p>
        </w:tc>
        <w:tc>
          <w:tcPr>
            <w:tcW w:w="5083" w:type="dxa"/>
          </w:tcPr>
          <w:p w14:paraId="1BF04D3A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节点粒度、缺陷优先级和证据关联是否合理。</w:t>
            </w:r>
          </w:p>
        </w:tc>
      </w:tr>
      <w:tr w:rsidR="00E35169" w:rsidRPr="00690BC5" w14:paraId="1C2C74EE" w14:textId="77777777">
        <w:trPr>
          <w:jc w:val="center"/>
        </w:trPr>
        <w:tc>
          <w:tcPr>
            <w:tcW w:w="5083" w:type="dxa"/>
          </w:tcPr>
          <w:p w14:paraId="6C7DBBEC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抽样预览</w:t>
            </w:r>
          </w:p>
        </w:tc>
        <w:tc>
          <w:tcPr>
            <w:tcW w:w="5083" w:type="dxa"/>
          </w:tcPr>
          <w:p w14:paraId="2E9F4226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风险导向抽样建议和 AI 逻辑解释。</w:t>
            </w:r>
          </w:p>
        </w:tc>
        <w:tc>
          <w:tcPr>
            <w:tcW w:w="5083" w:type="dxa"/>
          </w:tcPr>
          <w:p w14:paraId="2EB9778F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抽样依据是否可复核、可质询、可留痕。</w:t>
            </w:r>
          </w:p>
        </w:tc>
      </w:tr>
      <w:tr w:rsidR="00E35169" w:rsidRPr="00690BC5" w14:paraId="6D4EB858" w14:textId="77777777">
        <w:trPr>
          <w:jc w:val="center"/>
        </w:trPr>
        <w:tc>
          <w:tcPr>
            <w:tcW w:w="5083" w:type="dxa"/>
          </w:tcPr>
          <w:p w14:paraId="708E88FA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影响模拟</w:t>
            </w:r>
          </w:p>
        </w:tc>
        <w:tc>
          <w:tcPr>
            <w:tcW w:w="5083" w:type="dxa"/>
          </w:tcPr>
          <w:p w14:paraId="2729D9B4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变更事件的连锁影响模拟和缓释建议。</w:t>
            </w:r>
          </w:p>
        </w:tc>
        <w:tc>
          <w:tcPr>
            <w:tcW w:w="5083" w:type="dxa"/>
          </w:tcPr>
          <w:p w14:paraId="0B91A40A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影响链和建议是否符合专业判断。</w:t>
            </w:r>
          </w:p>
        </w:tc>
      </w:tr>
      <w:tr w:rsidR="00E35169" w:rsidRPr="00690BC5" w14:paraId="75C1DC94" w14:textId="77777777">
        <w:trPr>
          <w:jc w:val="center"/>
        </w:trPr>
        <w:tc>
          <w:tcPr>
            <w:tcW w:w="5083" w:type="dxa"/>
          </w:tcPr>
          <w:p w14:paraId="00030853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团队管理</w:t>
            </w:r>
          </w:p>
        </w:tc>
        <w:tc>
          <w:tcPr>
            <w:tcW w:w="5083" w:type="dxa"/>
          </w:tcPr>
          <w:p w14:paraId="0F63117A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多角色协作、AI 审批、客户互动和证据检查。</w:t>
            </w:r>
          </w:p>
        </w:tc>
        <w:tc>
          <w:tcPr>
            <w:tcW w:w="5083" w:type="dxa"/>
          </w:tcPr>
          <w:p w14:paraId="66A22712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权限边界和审批机制是否满足质量控制。</w:t>
            </w:r>
          </w:p>
        </w:tc>
      </w:tr>
    </w:tbl>
    <w:p w14:paraId="293805AA" w14:textId="77777777" w:rsidR="00E35169" w:rsidRPr="00690BC5" w:rsidRDefault="00E35169">
      <w:pPr>
        <w:rPr>
          <w:rFonts w:hint="eastAsia"/>
          <w:lang w:eastAsia="zh-CN"/>
        </w:rPr>
      </w:pPr>
    </w:p>
    <w:p w14:paraId="653E13D0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2. 角色与权限模型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  <w:gridCol w:w="5083"/>
      </w:tblGrid>
      <w:tr w:rsidR="00E35169" w:rsidRPr="00690BC5" w14:paraId="33AD4BF5" w14:textId="77777777">
        <w:trPr>
          <w:jc w:val="center"/>
        </w:trPr>
        <w:tc>
          <w:tcPr>
            <w:tcW w:w="5083" w:type="dxa"/>
            <w:shd w:val="clear" w:color="auto" w:fill="E8EDF5"/>
            <w:vAlign w:val="center"/>
          </w:tcPr>
          <w:p w14:paraId="198AF03A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角色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022E9680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关注重点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50504D2B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典型可见能力</w:t>
            </w:r>
          </w:p>
        </w:tc>
      </w:tr>
      <w:tr w:rsidR="00E35169" w:rsidRPr="00690BC5" w14:paraId="6C6CFC2E" w14:textId="77777777">
        <w:trPr>
          <w:jc w:val="center"/>
        </w:trPr>
        <w:tc>
          <w:tcPr>
            <w:tcW w:w="5083" w:type="dxa"/>
          </w:tcPr>
          <w:p w14:paraId="1A47BE9D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CFO / 客户管理层</w:t>
            </w:r>
          </w:p>
        </w:tc>
        <w:tc>
          <w:tcPr>
            <w:tcW w:w="5083" w:type="dxa"/>
          </w:tcPr>
          <w:p w14:paraId="4D6840E3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项目状态、风险摘要、PBC 响应、客户互动。</w:t>
            </w:r>
          </w:p>
        </w:tc>
        <w:tc>
          <w:tcPr>
            <w:tcW w:w="5083" w:type="dxa"/>
          </w:tcPr>
          <w:p w14:paraId="338E129E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简化仪表盘、客户互动统计、已批准 AI 摘要。</w:t>
            </w:r>
          </w:p>
        </w:tc>
      </w:tr>
      <w:tr w:rsidR="00E35169" w:rsidRPr="00690BC5" w14:paraId="2D28EFB4" w14:textId="77777777">
        <w:trPr>
          <w:jc w:val="center"/>
        </w:trPr>
        <w:tc>
          <w:tcPr>
            <w:tcW w:w="5083" w:type="dxa"/>
          </w:tcPr>
          <w:p w14:paraId="2C13672D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审计员 / 审计经理</w:t>
            </w:r>
          </w:p>
        </w:tc>
        <w:tc>
          <w:tcPr>
            <w:tcW w:w="5083" w:type="dxa"/>
          </w:tcPr>
          <w:p w14:paraId="7F69E390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执行进度、控制测试、抽样方案、证据完整性。</w:t>
            </w:r>
          </w:p>
        </w:tc>
        <w:tc>
          <w:tcPr>
            <w:tcW w:w="5083" w:type="dxa"/>
          </w:tcPr>
          <w:p w14:paraId="1C4C10B0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完整工作台、抽样参数、AI 审批队列、证据检查。</w:t>
            </w:r>
          </w:p>
        </w:tc>
      </w:tr>
      <w:tr w:rsidR="00E35169" w:rsidRPr="00690BC5" w14:paraId="437F96C1" w14:textId="77777777">
        <w:trPr>
          <w:jc w:val="center"/>
        </w:trPr>
        <w:tc>
          <w:tcPr>
            <w:tcW w:w="5083" w:type="dxa"/>
          </w:tcPr>
          <w:p w14:paraId="168095F9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合伙人 / 项目合伙人</w:t>
            </w:r>
          </w:p>
        </w:tc>
        <w:tc>
          <w:tcPr>
            <w:tcW w:w="5083" w:type="dxa"/>
          </w:tcPr>
          <w:p w14:paraId="5E06332B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质量复核、重大事项、复核意见和风险判断。</w:t>
            </w:r>
          </w:p>
        </w:tc>
        <w:tc>
          <w:tcPr>
            <w:tcW w:w="5083" w:type="dxa"/>
          </w:tcPr>
          <w:p w14:paraId="2EE5DDED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复核类 KPI、审批复核、质量控制视角和高风险事项。</w:t>
            </w:r>
          </w:p>
        </w:tc>
      </w:tr>
    </w:tbl>
    <w:p w14:paraId="10C732CC" w14:textId="77777777" w:rsidR="00E35169" w:rsidRPr="00690BC5" w:rsidRDefault="00E35169">
      <w:pPr>
        <w:rPr>
          <w:rFonts w:hint="eastAsia"/>
          <w:lang w:eastAsia="zh-CN"/>
        </w:rPr>
      </w:pPr>
    </w:p>
    <w:p w14:paraId="44F476EE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lastRenderedPageBreak/>
        <w:drawing>
          <wp:inline distT="0" distB="0" distL="0" distR="0" wp14:anchorId="4F83A2C3" wp14:editId="0807FA9F">
            <wp:extent cx="8869680" cy="609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role-switcher-zh_do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527D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角色切换局部截图：CFO、审计经理、合伙人——三类视角入口。</w:t>
      </w:r>
    </w:p>
    <w:p w14:paraId="560070EE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3. 全局 AI 与国际化能力</w:t>
      </w:r>
    </w:p>
    <w:p w14:paraId="69F94D79" w14:textId="3585E83C" w:rsidR="00E35169" w:rsidRPr="00690BC5" w:rsidRDefault="00000000">
      <w:pPr>
        <w:pStyle w:val="a0"/>
        <w:rPr>
          <w:rFonts w:hint="eastAsia"/>
        </w:rPr>
      </w:pPr>
      <w:r w:rsidRPr="00690BC5">
        <w:t>多语言支持：默认语言为中文，</w:t>
      </w:r>
      <w:r w:rsidR="00690BC5">
        <w:rPr>
          <w:rFonts w:hint="eastAsia"/>
          <w:lang w:eastAsia="zh-CN"/>
        </w:rPr>
        <w:t>可</w:t>
      </w:r>
      <w:r w:rsidRPr="00690BC5">
        <w:t>切换状态至 localStorage。</w:t>
      </w:r>
    </w:p>
    <w:p w14:paraId="1C1E1432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全栈国际化覆盖：导航、按钮、标签、表格列名、Mock 数据、AI 生成内容、动态字段和图表标题均支持中英文。</w:t>
      </w:r>
    </w:p>
    <w:p w14:paraId="48F97198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AI 助手机制：前端将当前页面路由、用户角色和对话内容作为上下文发送给后端，支持页面相关快捷问题和流式响应。</w:t>
      </w:r>
    </w:p>
    <w:p w14:paraId="2487AD3C" w14:textId="6D2B0EB3" w:rsidR="00E35169" w:rsidRPr="00690BC5" w:rsidRDefault="00000000">
      <w:pPr>
        <w:pStyle w:val="a0"/>
        <w:rPr>
          <w:rFonts w:hint="eastAsia"/>
        </w:rPr>
      </w:pPr>
      <w:r w:rsidRPr="00690BC5">
        <w:t>无 API Key 降级：后端环境变量未配置时，使用 Mock 模式展示 AI 能力和推荐逻辑。</w:t>
      </w:r>
    </w:p>
    <w:p w14:paraId="040DA88C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lastRenderedPageBreak/>
        <w:drawing>
          <wp:inline distT="0" distB="0" distL="0" distR="0" wp14:anchorId="352648D4" wp14:editId="18C4C728">
            <wp:extent cx="8869680" cy="6097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language-zh_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BCDB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语言切换局部截图：中文主界面可一键切换英文。</w:t>
      </w:r>
    </w:p>
    <w:p w14:paraId="12E4E7AA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lastRenderedPageBreak/>
        <w:drawing>
          <wp:inline distT="0" distB="0" distL="0" distR="0" wp14:anchorId="501910B6" wp14:editId="2742EC66">
            <wp:extent cx="8700655" cy="59817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ai-drawer-zh_d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07297" cy="59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30E2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AI 助手局部截图：抽屉式对话、角色上下文标签、快捷提示词和输入框。</w:t>
      </w:r>
    </w:p>
    <w:p w14:paraId="53983CEB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1265F617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门户首页</w:t>
      </w:r>
    </w:p>
    <w:p w14:paraId="6C9E875A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451276B0" wp14:editId="17D2D076">
            <wp:extent cx="8562975" cy="5909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dashboard-zh_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71053" cy="591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6DFA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门户首页 主页面截图</w:t>
      </w:r>
    </w:p>
    <w:p w14:paraId="6976C10C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lastRenderedPageBreak/>
        <w:t>页面目标</w:t>
      </w:r>
    </w:p>
    <w:p w14:paraId="0BD8D02A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作为审计项目驾驶舱，集中呈现项目进度、关键指标、风险热区、控制状态、待办事项和活动时间线。</w:t>
      </w:r>
    </w:p>
    <w:p w14:paraId="17B696D4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核心功能模块</w:t>
      </w:r>
    </w:p>
    <w:p w14:paraId="52C50600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KPI 卡片：按角色过滤展示审计整体进度、控制覆盖率、PBC 完成率、缺陷数量和风险评分。</w:t>
      </w:r>
    </w:p>
    <w:p w14:paraId="6B8416AC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风险热力图：基于 RCM 矩阵和 RAWTC 评分呈现风险控制热区，帮助快速定位高风险控制点。</w:t>
      </w:r>
    </w:p>
    <w:p w14:paraId="4566BB2C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状态环形图 / 待处理事项：展示控制测试状态分布、PBC 逾期项和待处理事项。</w:t>
      </w:r>
    </w:p>
    <w:p w14:paraId="11275609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活动时间线：记录关键交付、审批、客户响应和复核活动。</w:t>
      </w:r>
    </w:p>
    <w:p w14:paraId="2D1C62F3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核心操作流程</w:t>
      </w:r>
    </w:p>
    <w:p w14:paraId="350CC94A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1. 进入门户首页后先查看项目总体健康度和关键风险指标。</w:t>
      </w:r>
    </w:p>
    <w:p w14:paraId="4692DA8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2. 按角色切换 CFO、审计经理或合伙人视角，观察同一项目在不同权限下的摘要差异。</w:t>
      </w:r>
    </w:p>
    <w:p w14:paraId="0AD61AD4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3. 从高风险 KPI、逾期 PBC 或风险热区进入审计目标、抽样预览或团队管理模块做进一步分析。</w:t>
      </w:r>
    </w:p>
    <w:p w14:paraId="52CFE9D1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审计工作流价值</w:t>
      </w:r>
    </w:p>
    <w:p w14:paraId="0D49D69D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门户首页让管理层和项目团队以同一事实基础沟通进度与风险，减少审计状态汇报中的信息不对称。</w:t>
      </w:r>
    </w:p>
    <w:p w14:paraId="64BAF6C9" w14:textId="1306E221" w:rsidR="00E35169" w:rsidRPr="00690BC5" w:rsidRDefault="00690BC5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组员</w:t>
      </w:r>
      <w:r w:rsidR="00000000" w:rsidRPr="00690BC5">
        <w:rPr>
          <w:rFonts w:ascii="微软雅黑" w:eastAsia="微软雅黑" w:hAnsi="微软雅黑"/>
          <w:lang w:eastAsia="zh-CN"/>
        </w:rPr>
        <w:t>反馈建议</w:t>
      </w:r>
    </w:p>
    <w:p w14:paraId="739A6E3C" w14:textId="342CD40C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请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重点评估 KPI 口径是否覆盖项目管理、质量复核和客户沟通三类核心需求。</w:t>
      </w:r>
    </w:p>
    <w:p w14:paraId="0683DF3F" w14:textId="77777777" w:rsidR="00E35169" w:rsidRPr="00690BC5" w:rsidRDefault="00E35169">
      <w:pPr>
        <w:rPr>
          <w:rFonts w:hint="eastAsia"/>
          <w:lang w:eastAsia="zh-CN"/>
        </w:rPr>
      </w:pPr>
    </w:p>
    <w:p w14:paraId="0C1839A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18684CE7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审计目标</w:t>
      </w:r>
    </w:p>
    <w:p w14:paraId="745B0B36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3303ED61" wp14:editId="275737B9">
            <wp:extent cx="8157332" cy="5629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objective-zh_d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70235" cy="563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19E4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审计目标 主页面截图</w:t>
      </w:r>
    </w:p>
    <w:p w14:paraId="5B5022A8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lastRenderedPageBreak/>
        <w:t>页面目标</w:t>
      </w:r>
    </w:p>
    <w:p w14:paraId="2C4E774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以树状图和关联卡片展示审计目标、风险区域、控制点、测试程序和发现项之间的关系。</w:t>
      </w:r>
    </w:p>
    <w:p w14:paraId="59429604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核心功能模块</w:t>
      </w:r>
    </w:p>
    <w:p w14:paraId="6A81EC45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审计目标树：展示审计目标层级、控制点状态、缺陷节点和风险区域。</w:t>
      </w:r>
    </w:p>
    <w:p w14:paraId="15520496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节点详情：点击节点后查看控制说明、执行状态、风险评分、发现项和整改建议。</w:t>
      </w:r>
    </w:p>
    <w:p w14:paraId="0686A917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雷达图 / 双进度条：展示 COSO 覆盖度、审计进度和客户侧响应进度。</w:t>
      </w:r>
    </w:p>
    <w:p w14:paraId="77118C7A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发现项表格 / AI 洞察面板：汇总缺陷严重度、偏差率、影响评估和 AI 优先级建议。</w:t>
      </w:r>
    </w:p>
    <w:p w14:paraId="77471C34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核心操作流程</w:t>
      </w:r>
    </w:p>
    <w:p w14:paraId="7E11E8B4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1. 在搜索框中定位控制点或发现项，例如 CTRL-002 收入证明审核。</w:t>
      </w:r>
    </w:p>
    <w:p w14:paraId="10193E4D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2. 点击节点打开详情，核查测试程序、COSO 映射和缺陷证据。</w:t>
      </w:r>
    </w:p>
    <w:p w14:paraId="3377BBA8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3. 结合雷达图、双进度条和发现项表格，确定下一步复核或整改优先级。</w:t>
      </w:r>
    </w:p>
    <w:p w14:paraId="1366F1E7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审计工作流价值</w:t>
      </w:r>
    </w:p>
    <w:p w14:paraId="6F5AE489" w14:textId="56CCE331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审计目标页把传统审计矩阵转化为可探索图谱，便于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检查测试范围完整性和控制缺陷传导关系。</w:t>
      </w:r>
    </w:p>
    <w:p w14:paraId="0CFE4FC3" w14:textId="38E5C55D" w:rsidR="00E35169" w:rsidRPr="00690BC5" w:rsidRDefault="00690BC5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组员</w:t>
      </w:r>
      <w:r w:rsidR="00000000" w:rsidRPr="00690BC5">
        <w:rPr>
          <w:rFonts w:ascii="微软雅黑" w:eastAsia="微软雅黑" w:hAnsi="微软雅黑"/>
          <w:lang w:eastAsia="zh-CN"/>
        </w:rPr>
        <w:t>反馈建议</w:t>
      </w:r>
    </w:p>
    <w:p w14:paraId="1346A636" w14:textId="4C744DE5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请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关注节点粒度、COSO 映射和缺陷优先级。</w:t>
      </w:r>
    </w:p>
    <w:p w14:paraId="18632C34" w14:textId="77777777" w:rsidR="00E35169" w:rsidRPr="00690BC5" w:rsidRDefault="00E35169">
      <w:pPr>
        <w:rPr>
          <w:rFonts w:hint="eastAsia"/>
          <w:lang w:eastAsia="zh-CN"/>
        </w:rPr>
      </w:pPr>
    </w:p>
    <w:p w14:paraId="2FA37E6A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2E3572D7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抽样预览</w:t>
      </w:r>
    </w:p>
    <w:p w14:paraId="53835CC6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483685CE" wp14:editId="6EB80720">
            <wp:extent cx="8869680" cy="61208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sampling-zh_d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12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FA62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lastRenderedPageBreak/>
        <w:t>抽样预览 主页面截图</w:t>
      </w:r>
    </w:p>
    <w:p w14:paraId="7BB4755D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页面目标</w:t>
      </w:r>
    </w:p>
    <w:p w14:paraId="5507630D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基于总体规模、风险评分、置信水平、上年缺陷和系统变更，生成可解释的智能抽样方案。</w:t>
      </w:r>
    </w:p>
    <w:p w14:paraId="176FC3B7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核心功能模块</w:t>
      </w:r>
    </w:p>
    <w:p w14:paraId="35B3FCBA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样本量卡片：展示推荐样本范围、总体规模、置信水平和期间。</w:t>
      </w:r>
    </w:p>
    <w:p w14:paraId="54F33CB7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参数调节器：允许调整风险阈值、置信水平和高风险控制加权系数。</w:t>
      </w:r>
    </w:p>
    <w:p w14:paraId="126D2DD2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旭日图 / 时间窗口卡片：展示文档类别分布和时间窗口分布。</w:t>
      </w:r>
    </w:p>
    <w:p w14:paraId="01839601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AI 逻辑解释器 / 样本明细表：解释抽样依据并展示样本明细。</w:t>
      </w:r>
    </w:p>
    <w:p w14:paraId="301E4722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核心操作流程</w:t>
      </w:r>
    </w:p>
    <w:p w14:paraId="149BA19F" w14:textId="46CA7620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 xml:space="preserve">1. 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查看系统推荐样本范围和文档分布。</w:t>
      </w:r>
    </w:p>
    <w:p w14:paraId="31940D91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2. 调整置信水平或风险阈值后重新计算样本量。</w:t>
      </w:r>
    </w:p>
    <w:p w14:paraId="17D949BC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3. 查看 AI 解释、历史趋势和样本明细，判断抽样方案是否可被复核和质询。</w:t>
      </w:r>
    </w:p>
    <w:p w14:paraId="05EE6929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审计工作流价值</w:t>
      </w:r>
    </w:p>
    <w:p w14:paraId="2644FA0A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智能抽样使抽样理由从黑箱经验转为可解释、可调整、可复核的风险导向方案。</w:t>
      </w:r>
    </w:p>
    <w:p w14:paraId="3F390CF0" w14:textId="280BB30A" w:rsidR="00E35169" w:rsidRPr="00690BC5" w:rsidRDefault="00690BC5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组员</w:t>
      </w:r>
      <w:r w:rsidR="00000000" w:rsidRPr="00690BC5">
        <w:rPr>
          <w:rFonts w:ascii="微软雅黑" w:eastAsia="微软雅黑" w:hAnsi="微软雅黑"/>
          <w:lang w:eastAsia="zh-CN"/>
        </w:rPr>
        <w:t>反馈建议</w:t>
      </w:r>
    </w:p>
    <w:p w14:paraId="0AB23755" w14:textId="4C7F332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请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评估抽样参数、样本分布和解释文本是否足以</w:t>
      </w:r>
      <w:r w:rsidR="00690BC5">
        <w:rPr>
          <w:rFonts w:hint="eastAsia"/>
          <w:lang w:eastAsia="zh-CN"/>
        </w:rPr>
        <w:t>让客户理解</w:t>
      </w:r>
      <w:r w:rsidRPr="00690BC5">
        <w:rPr>
          <w:lang w:eastAsia="zh-CN"/>
        </w:rPr>
        <w:t>。</w:t>
      </w:r>
    </w:p>
    <w:p w14:paraId="72017578" w14:textId="77777777" w:rsidR="00E35169" w:rsidRPr="00690BC5" w:rsidRDefault="00E35169">
      <w:pPr>
        <w:rPr>
          <w:rFonts w:hint="eastAsia"/>
          <w:lang w:eastAsia="zh-CN"/>
        </w:rPr>
      </w:pPr>
    </w:p>
    <w:p w14:paraId="3D04624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6C3ADDA3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影响模拟</w:t>
      </w:r>
    </w:p>
    <w:p w14:paraId="295597A0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24F647EB" wp14:editId="69512FDD">
            <wp:extent cx="8543925" cy="58739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result-zh_d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49654" cy="58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8DB2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影响模拟 主页面截图</w:t>
      </w:r>
    </w:p>
    <w:p w14:paraId="3796C4D3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lastRenderedPageBreak/>
        <w:t>页面目标</w:t>
      </w:r>
    </w:p>
    <w:p w14:paraId="2E09A05B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模拟控制缺陷、组织调整、法规变更或 IT 系统变更对审计范围、样本量、时间计划和风险指标的连锁影响。</w:t>
      </w:r>
    </w:p>
    <w:p w14:paraId="42598465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核心功能模块</w:t>
      </w:r>
    </w:p>
    <w:p w14:paraId="7F38FF83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事件配置：配置事件类型、严重度、影响维度和应对策略。</w:t>
      </w:r>
    </w:p>
    <w:p w14:paraId="48AF4936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力导向网络图：以网络图展示直接、间接和潜在影响节点。</w:t>
      </w:r>
    </w:p>
    <w:p w14:paraId="079889F1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对比表：比较模拟前后的残余风险、控制有效性、合规指标、运营效率和成本影响。</w:t>
      </w:r>
    </w:p>
    <w:p w14:paraId="01F0968E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AI 建议：根据模拟结果生成缓释建议、优先级和风险降低幅度。</w:t>
      </w:r>
    </w:p>
    <w:p w14:paraId="05CC7B50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核心操作流程</w:t>
      </w:r>
    </w:p>
    <w:p w14:paraId="10A3689C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1. 选择变更事件并设置严重度、影响维度和应对策略。</w:t>
      </w:r>
    </w:p>
    <w:p w14:paraId="67F0EA2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2. 点击运行模拟，等待网络节点传播动画和计算过程完成。</w:t>
      </w:r>
    </w:p>
    <w:p w14:paraId="20539B52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3. 查看影响链、指标变化和 AI 推荐，并决定是否调整审计范围或增加补偿性控制。</w:t>
      </w:r>
    </w:p>
    <w:p w14:paraId="427A5CF9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审计工作流价值</w:t>
      </w:r>
    </w:p>
    <w:p w14:paraId="6B4DA188" w14:textId="094B0251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影响模拟将风险事件从静态描述转为动态决策依据，支持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提前评估变更对审计计划的影响。</w:t>
      </w:r>
    </w:p>
    <w:p w14:paraId="1C3ADFE3" w14:textId="4F012C73" w:rsidR="00E35169" w:rsidRPr="00690BC5" w:rsidRDefault="00690BC5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组员</w:t>
      </w:r>
      <w:r w:rsidR="00000000" w:rsidRPr="00690BC5">
        <w:rPr>
          <w:rFonts w:ascii="微软雅黑" w:eastAsia="微软雅黑" w:hAnsi="微软雅黑"/>
          <w:lang w:eastAsia="zh-CN"/>
        </w:rPr>
        <w:t>反馈建议</w:t>
      </w:r>
    </w:p>
    <w:p w14:paraId="19ABB626" w14:textId="261BE620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请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重点验证影响维度、传播逻辑和 AI 建议是否符合审计专业判断。</w:t>
      </w:r>
    </w:p>
    <w:p w14:paraId="6B77897F" w14:textId="77777777" w:rsidR="00E35169" w:rsidRPr="00690BC5" w:rsidRDefault="00E35169">
      <w:pPr>
        <w:rPr>
          <w:rFonts w:hint="eastAsia"/>
          <w:lang w:eastAsia="zh-CN"/>
        </w:rPr>
      </w:pPr>
    </w:p>
    <w:p w14:paraId="63E2C818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影响模拟过程补充截图</w:t>
      </w:r>
    </w:p>
    <w:p w14:paraId="0E231D69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6CC8ED15" wp14:editId="5FE0B687">
            <wp:extent cx="8700655" cy="59817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config-zh_d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05055" cy="59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ECB4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影响模拟配置态：选择事件类型、严重度、影响维度和应对策略。</w:t>
      </w:r>
    </w:p>
    <w:p w14:paraId="5424B1FF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lastRenderedPageBreak/>
        <w:drawing>
          <wp:inline distT="0" distB="0" distL="0" distR="0" wp14:anchorId="67D9136B" wp14:editId="7AC7DF10">
            <wp:extent cx="8629650" cy="5955216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impact-loading-zh_d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39004" cy="596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602D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t>影响模拟加载态：运行模拟时展示处理动画与网络可视化。</w:t>
      </w:r>
    </w:p>
    <w:p w14:paraId="47EF5E56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4502E7BA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团队管理</w:t>
      </w:r>
    </w:p>
    <w:p w14:paraId="1B80A649" w14:textId="77777777" w:rsidR="00E35169" w:rsidRPr="00690BC5" w:rsidRDefault="00000000">
      <w:pPr>
        <w:jc w:val="center"/>
        <w:rPr>
          <w:rFonts w:hint="eastAsia"/>
        </w:rPr>
      </w:pPr>
      <w:r w:rsidRPr="00690BC5">
        <w:rPr>
          <w:noProof/>
        </w:rPr>
        <w:drawing>
          <wp:inline distT="0" distB="0" distL="0" distR="0" wp14:anchorId="3BB9ADF9" wp14:editId="5D540731">
            <wp:extent cx="8869680" cy="6097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minflow-team-zh_do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FE96" w14:textId="77777777" w:rsidR="00E35169" w:rsidRPr="00690BC5" w:rsidRDefault="00000000">
      <w:pPr>
        <w:jc w:val="center"/>
        <w:rPr>
          <w:rFonts w:hint="eastAsia"/>
          <w:lang w:eastAsia="zh-CN"/>
        </w:rPr>
      </w:pPr>
      <w:r w:rsidRPr="00690BC5">
        <w:rPr>
          <w:color w:val="4A4A5A"/>
          <w:sz w:val="18"/>
          <w:lang w:eastAsia="zh-CN"/>
        </w:rPr>
        <w:lastRenderedPageBreak/>
        <w:t>团队管理 主页面截图</w:t>
      </w:r>
    </w:p>
    <w:p w14:paraId="636E7F94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页面目标</w:t>
      </w:r>
    </w:p>
    <w:p w14:paraId="21214EB9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通过可见性管理、AI 审批、客户互动统计和证据检查，支持审计团队、客户和合伙人的透明协作。</w:t>
      </w:r>
    </w:p>
    <w:p w14:paraId="15D5CFA6" w14:textId="77777777" w:rsidR="00E35169" w:rsidRPr="00690BC5" w:rsidRDefault="00000000">
      <w:pPr>
        <w:pStyle w:val="2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核心功能模块</w:t>
      </w:r>
    </w:p>
    <w:p w14:paraId="468BCEDF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可见性面板：控制客户可见、团队内部可见和合伙人复核可见的内容边界。</w:t>
      </w:r>
    </w:p>
    <w:p w14:paraId="7C8C2A5C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审批队列：对 AI 生成内容进行审计经理审批和合伙人复核，避免未经确认的信息外发。</w:t>
      </w:r>
    </w:p>
    <w:p w14:paraId="2841F419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互动图表 / 热点问题栏：追踪客户问题、热点关注和响应效率。</w:t>
      </w:r>
    </w:p>
    <w:p w14:paraId="053E337C" w14:textId="77777777" w:rsidR="00E35169" w:rsidRPr="00690BC5" w:rsidRDefault="00000000">
      <w:pPr>
        <w:pStyle w:val="a0"/>
        <w:rPr>
          <w:rFonts w:hint="eastAsia"/>
          <w:lang w:eastAsia="zh-CN"/>
        </w:rPr>
      </w:pPr>
      <w:r w:rsidRPr="00690BC5">
        <w:rPr>
          <w:lang w:eastAsia="zh-CN"/>
        </w:rPr>
        <w:t>证据检查器：检查关键证据缺失、逾期和复核状态。</w:t>
      </w:r>
    </w:p>
    <w:p w14:paraId="3E49CBB4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核心操作流程</w:t>
      </w:r>
    </w:p>
    <w:p w14:paraId="30187FF3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1. 审计经理查看团队协作和可见性状态。</w:t>
      </w:r>
    </w:p>
    <w:p w14:paraId="36F152A9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2. 对 AI 生成摘要或客户回复执行审批，必要时提交合伙人复核。</w:t>
      </w:r>
    </w:p>
    <w:p w14:paraId="62FCFEE0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3. 结合客户互动热点和证据检查结果，推动 PBC 补充和缺陷闭环。</w:t>
      </w:r>
    </w:p>
    <w:p w14:paraId="1ECABD48" w14:textId="77777777" w:rsidR="00E35169" w:rsidRPr="00690BC5" w:rsidRDefault="00000000">
      <w:pPr>
        <w:pStyle w:val="21"/>
        <w:rPr>
          <w:rFonts w:ascii="微软雅黑" w:eastAsia="微软雅黑" w:hAnsi="微软雅黑"/>
          <w:lang w:eastAsia="zh-CN"/>
        </w:rPr>
      </w:pPr>
      <w:r w:rsidRPr="00690BC5">
        <w:rPr>
          <w:rFonts w:ascii="微软雅黑" w:eastAsia="微软雅黑" w:hAnsi="微软雅黑"/>
          <w:lang w:eastAsia="zh-CN"/>
        </w:rPr>
        <w:t>审计工作流价值</w:t>
      </w:r>
    </w:p>
    <w:p w14:paraId="62CC27D4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团队管理页在提高透明度的同时保留审计质量控制和权限边界，降低客户沟通与 AI 输出风险。</w:t>
      </w:r>
    </w:p>
    <w:p w14:paraId="4D20E474" w14:textId="28406D04" w:rsidR="00E35169" w:rsidRPr="00690BC5" w:rsidRDefault="00690BC5">
      <w:pPr>
        <w:pStyle w:val="21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组员</w:t>
      </w:r>
      <w:r w:rsidR="00000000" w:rsidRPr="00690BC5">
        <w:rPr>
          <w:rFonts w:ascii="微软雅黑" w:eastAsia="微软雅黑" w:hAnsi="微软雅黑"/>
          <w:lang w:eastAsia="zh-CN"/>
        </w:rPr>
        <w:t>反馈建议</w:t>
      </w:r>
    </w:p>
    <w:p w14:paraId="01E91A53" w14:textId="68B751F9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t>请</w:t>
      </w:r>
      <w:r w:rsidR="00690BC5">
        <w:rPr>
          <w:lang w:eastAsia="zh-CN"/>
        </w:rPr>
        <w:t>组员</w:t>
      </w:r>
      <w:r w:rsidRPr="00690BC5">
        <w:rPr>
          <w:lang w:eastAsia="zh-CN"/>
        </w:rPr>
        <w:t>评估审批颗粒度、证据检查规则和客户可见边界是否满足项目质量控制要求。</w:t>
      </w:r>
    </w:p>
    <w:p w14:paraId="66A39002" w14:textId="77777777" w:rsidR="00E35169" w:rsidRPr="00690BC5" w:rsidRDefault="00E35169">
      <w:pPr>
        <w:rPr>
          <w:rFonts w:hint="eastAsia"/>
          <w:lang w:eastAsia="zh-CN"/>
        </w:rPr>
      </w:pPr>
    </w:p>
    <w:p w14:paraId="2BD87CDD" w14:textId="77777777" w:rsidR="00E35169" w:rsidRPr="00690BC5" w:rsidRDefault="00000000">
      <w:pPr>
        <w:rPr>
          <w:rFonts w:hint="eastAsia"/>
          <w:lang w:eastAsia="zh-CN"/>
        </w:rPr>
      </w:pPr>
      <w:r w:rsidRPr="00690BC5">
        <w:rPr>
          <w:lang w:eastAsia="zh-CN"/>
        </w:rPr>
        <w:br w:type="page"/>
      </w:r>
    </w:p>
    <w:p w14:paraId="2B3AF67D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lastRenderedPageBreak/>
        <w:t>功能亮点总结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86"/>
        <w:gridCol w:w="6480"/>
        <w:gridCol w:w="5083"/>
      </w:tblGrid>
      <w:tr w:rsidR="00E35169" w:rsidRPr="00690BC5" w14:paraId="07D26FAB" w14:textId="77777777" w:rsidTr="00690BC5">
        <w:trPr>
          <w:jc w:val="center"/>
        </w:trPr>
        <w:tc>
          <w:tcPr>
            <w:tcW w:w="3686" w:type="dxa"/>
            <w:shd w:val="clear" w:color="auto" w:fill="E8EDF5"/>
            <w:vAlign w:val="center"/>
          </w:tcPr>
          <w:p w14:paraId="100EE8D6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亮点</w:t>
            </w:r>
          </w:p>
        </w:tc>
        <w:tc>
          <w:tcPr>
            <w:tcW w:w="6480" w:type="dxa"/>
            <w:shd w:val="clear" w:color="auto" w:fill="E8EDF5"/>
            <w:vAlign w:val="center"/>
          </w:tcPr>
          <w:p w14:paraId="270721E6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创新价值</w:t>
            </w:r>
          </w:p>
        </w:tc>
        <w:tc>
          <w:tcPr>
            <w:tcW w:w="5083" w:type="dxa"/>
            <w:shd w:val="clear" w:color="auto" w:fill="E8EDF5"/>
            <w:vAlign w:val="center"/>
          </w:tcPr>
          <w:p w14:paraId="57AC4B52" w14:textId="6EC173D4" w:rsidR="00E35169" w:rsidRPr="00690BC5" w:rsidRDefault="00690BC5">
            <w:pPr>
              <w:rPr>
                <w:rFonts w:hint="eastAsia"/>
              </w:rPr>
            </w:pPr>
            <w:r>
              <w:rPr>
                <w:b/>
                <w:color w:val="00338D"/>
              </w:rPr>
              <w:t>组员</w:t>
            </w:r>
            <w:r w:rsidR="00000000" w:rsidRPr="00690BC5">
              <w:rPr>
                <w:b/>
                <w:color w:val="00338D"/>
              </w:rPr>
              <w:t>可评估问题</w:t>
            </w:r>
          </w:p>
        </w:tc>
      </w:tr>
      <w:tr w:rsidR="00E35169" w:rsidRPr="00690BC5" w14:paraId="66B7FD7E" w14:textId="77777777" w:rsidTr="00690BC5">
        <w:trPr>
          <w:jc w:val="center"/>
        </w:trPr>
        <w:tc>
          <w:tcPr>
            <w:tcW w:w="3686" w:type="dxa"/>
          </w:tcPr>
          <w:p w14:paraId="2F12B5A9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影响模拟</w:t>
            </w:r>
          </w:p>
        </w:tc>
        <w:tc>
          <w:tcPr>
            <w:tcW w:w="6480" w:type="dxa"/>
          </w:tcPr>
          <w:p w14:paraId="7BCFD342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将控制缺陷和业务变更转化为可视化影响链。</w:t>
            </w:r>
          </w:p>
        </w:tc>
        <w:tc>
          <w:tcPr>
            <w:tcW w:w="5083" w:type="dxa"/>
          </w:tcPr>
          <w:p w14:paraId="6EE87406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传播逻辑是否符合实际审计判断？</w:t>
            </w:r>
          </w:p>
        </w:tc>
      </w:tr>
      <w:tr w:rsidR="00E35169" w:rsidRPr="00690BC5" w14:paraId="453DD384" w14:textId="77777777" w:rsidTr="00690BC5">
        <w:trPr>
          <w:jc w:val="center"/>
        </w:trPr>
        <w:tc>
          <w:tcPr>
            <w:tcW w:w="3686" w:type="dxa"/>
          </w:tcPr>
          <w:p w14:paraId="3B84B998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智能抽样</w:t>
            </w:r>
          </w:p>
        </w:tc>
        <w:tc>
          <w:tcPr>
            <w:tcW w:w="6480" w:type="dxa"/>
          </w:tcPr>
          <w:p w14:paraId="6DD0C87E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结合风险评分、置信水平、缺陷历史和分支行覆盖生成样本建议。</w:t>
            </w:r>
          </w:p>
        </w:tc>
        <w:tc>
          <w:tcPr>
            <w:tcW w:w="5083" w:type="dxa"/>
          </w:tcPr>
          <w:p w14:paraId="7DA88687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抽样解释是否足以进入工作底稿？</w:t>
            </w:r>
          </w:p>
        </w:tc>
      </w:tr>
      <w:tr w:rsidR="00E35169" w:rsidRPr="00690BC5" w14:paraId="41306B53" w14:textId="77777777" w:rsidTr="00690BC5">
        <w:trPr>
          <w:jc w:val="center"/>
        </w:trPr>
        <w:tc>
          <w:tcPr>
            <w:tcW w:w="3686" w:type="dxa"/>
          </w:tcPr>
          <w:p w14:paraId="6FE84D23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审计目标图谱</w:t>
            </w:r>
          </w:p>
        </w:tc>
        <w:tc>
          <w:tcPr>
            <w:tcW w:w="6480" w:type="dxa"/>
          </w:tcPr>
          <w:p w14:paraId="3DE41DEB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把审计目标、控制、测试和发现项放入同一关系网络。</w:t>
            </w:r>
          </w:p>
        </w:tc>
        <w:tc>
          <w:tcPr>
            <w:tcW w:w="5083" w:type="dxa"/>
          </w:tcPr>
          <w:p w14:paraId="735C90EB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节点层级是否贴近项目方法论？</w:t>
            </w:r>
          </w:p>
        </w:tc>
      </w:tr>
      <w:tr w:rsidR="00E35169" w:rsidRPr="00690BC5" w14:paraId="272058D2" w14:textId="77777777" w:rsidTr="00690BC5">
        <w:trPr>
          <w:jc w:val="center"/>
        </w:trPr>
        <w:tc>
          <w:tcPr>
            <w:tcW w:w="3686" w:type="dxa"/>
          </w:tcPr>
          <w:p w14:paraId="799234FA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AI 上下文助手</w:t>
            </w:r>
          </w:p>
        </w:tc>
        <w:tc>
          <w:tcPr>
            <w:tcW w:w="6480" w:type="dxa"/>
          </w:tcPr>
          <w:p w14:paraId="79075540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基于当前页面和角色生成解释、建议和沟通摘要。</w:t>
            </w:r>
          </w:p>
        </w:tc>
        <w:tc>
          <w:tcPr>
            <w:tcW w:w="5083" w:type="dxa"/>
          </w:tcPr>
          <w:p w14:paraId="295E70F6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AI 输出是否需要更多引用与证据约束？</w:t>
            </w:r>
          </w:p>
        </w:tc>
      </w:tr>
      <w:tr w:rsidR="00E35169" w:rsidRPr="00690BC5" w14:paraId="1BCD5D1F" w14:textId="77777777" w:rsidTr="00690BC5">
        <w:trPr>
          <w:jc w:val="center"/>
        </w:trPr>
        <w:tc>
          <w:tcPr>
            <w:tcW w:w="3686" w:type="dxa"/>
          </w:tcPr>
          <w:p w14:paraId="1EFC46C2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多角色透明协作</w:t>
            </w:r>
          </w:p>
        </w:tc>
        <w:tc>
          <w:tcPr>
            <w:tcW w:w="6480" w:type="dxa"/>
          </w:tcPr>
          <w:p w14:paraId="4F334B7B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在客户透明和质量控制之间建立审批与可见性边界。</w:t>
            </w:r>
          </w:p>
        </w:tc>
        <w:tc>
          <w:tcPr>
            <w:tcW w:w="5083" w:type="dxa"/>
          </w:tcPr>
          <w:p w14:paraId="7DE380B3" w14:textId="77777777" w:rsidR="00E35169" w:rsidRPr="00690BC5" w:rsidRDefault="00000000">
            <w:pPr>
              <w:rPr>
                <w:rFonts w:hint="eastAsia"/>
                <w:lang w:eastAsia="zh-CN"/>
              </w:rPr>
            </w:pPr>
            <w:r w:rsidRPr="00690BC5">
              <w:rPr>
                <w:sz w:val="19"/>
                <w:lang w:eastAsia="zh-CN"/>
              </w:rPr>
              <w:t>权限边界是否满足独立性与信息披露要求？</w:t>
            </w:r>
          </w:p>
        </w:tc>
      </w:tr>
    </w:tbl>
    <w:p w14:paraId="307A3F1C" w14:textId="77777777" w:rsidR="00E35169" w:rsidRPr="00690BC5" w:rsidRDefault="00E35169">
      <w:pPr>
        <w:rPr>
          <w:rFonts w:hint="eastAsia"/>
          <w:lang w:eastAsia="zh-CN"/>
        </w:rPr>
      </w:pPr>
    </w:p>
    <w:p w14:paraId="5CD3EEA3" w14:textId="77777777" w:rsidR="00E35169" w:rsidRPr="00690BC5" w:rsidRDefault="00000000">
      <w:pPr>
        <w:pStyle w:val="1"/>
        <w:rPr>
          <w:rFonts w:ascii="微软雅黑" w:eastAsia="微软雅黑" w:hAnsi="微软雅黑"/>
        </w:rPr>
      </w:pPr>
      <w:r w:rsidRPr="00690BC5">
        <w:rPr>
          <w:rFonts w:ascii="微软雅黑" w:eastAsia="微软雅黑" w:hAnsi="微软雅黑"/>
        </w:rPr>
        <w:t>改进建议收集表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E35169" w:rsidRPr="00690BC5" w14:paraId="3E212040" w14:textId="77777777">
        <w:trPr>
          <w:jc w:val="center"/>
        </w:trPr>
        <w:tc>
          <w:tcPr>
            <w:tcW w:w="3812" w:type="dxa"/>
            <w:shd w:val="clear" w:color="auto" w:fill="E8EDF5"/>
            <w:vAlign w:val="center"/>
          </w:tcPr>
          <w:p w14:paraId="4976B868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反馈维度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6A8D5BC6" w14:textId="30AC7CC5" w:rsidR="00E35169" w:rsidRPr="00690BC5" w:rsidRDefault="00690BC5">
            <w:pPr>
              <w:rPr>
                <w:rFonts w:hint="eastAsia"/>
              </w:rPr>
            </w:pPr>
            <w:r>
              <w:rPr>
                <w:b/>
                <w:color w:val="00338D"/>
              </w:rPr>
              <w:t>组员</w:t>
            </w:r>
            <w:r w:rsidR="00000000" w:rsidRPr="00690BC5">
              <w:rPr>
                <w:b/>
                <w:color w:val="00338D"/>
              </w:rPr>
              <w:t>意见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4C06ADA5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优先级</w:t>
            </w:r>
          </w:p>
        </w:tc>
        <w:tc>
          <w:tcPr>
            <w:tcW w:w="3812" w:type="dxa"/>
            <w:shd w:val="clear" w:color="auto" w:fill="E8EDF5"/>
            <w:vAlign w:val="center"/>
          </w:tcPr>
          <w:p w14:paraId="3740704E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b/>
                <w:color w:val="00338D"/>
              </w:rPr>
              <w:t>后续动作</w:t>
            </w:r>
          </w:p>
        </w:tc>
      </w:tr>
      <w:tr w:rsidR="00E35169" w:rsidRPr="00690BC5" w14:paraId="66376F09" w14:textId="77777777">
        <w:trPr>
          <w:jc w:val="center"/>
        </w:trPr>
        <w:tc>
          <w:tcPr>
            <w:tcW w:w="3812" w:type="dxa"/>
          </w:tcPr>
          <w:p w14:paraId="17DF0EC5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业务价值</w:t>
            </w:r>
          </w:p>
        </w:tc>
        <w:tc>
          <w:tcPr>
            <w:tcW w:w="3812" w:type="dxa"/>
          </w:tcPr>
          <w:p w14:paraId="63465509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1C392053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5699D2C3" w14:textId="77777777" w:rsidR="00E35169" w:rsidRPr="00690BC5" w:rsidRDefault="00E35169">
            <w:pPr>
              <w:rPr>
                <w:rFonts w:hint="eastAsia"/>
              </w:rPr>
            </w:pPr>
          </w:p>
        </w:tc>
      </w:tr>
      <w:tr w:rsidR="00E35169" w:rsidRPr="00690BC5" w14:paraId="795B65F2" w14:textId="77777777">
        <w:trPr>
          <w:jc w:val="center"/>
        </w:trPr>
        <w:tc>
          <w:tcPr>
            <w:tcW w:w="3812" w:type="dxa"/>
          </w:tcPr>
          <w:p w14:paraId="77AB9132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可用性与交互</w:t>
            </w:r>
          </w:p>
        </w:tc>
        <w:tc>
          <w:tcPr>
            <w:tcW w:w="3812" w:type="dxa"/>
          </w:tcPr>
          <w:p w14:paraId="0BEE1EB5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491CBCD3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6E84D7E5" w14:textId="77777777" w:rsidR="00E35169" w:rsidRPr="00690BC5" w:rsidRDefault="00E35169">
            <w:pPr>
              <w:rPr>
                <w:rFonts w:hint="eastAsia"/>
              </w:rPr>
            </w:pPr>
          </w:p>
        </w:tc>
      </w:tr>
      <w:tr w:rsidR="00E35169" w:rsidRPr="00690BC5" w14:paraId="63D22820" w14:textId="77777777">
        <w:trPr>
          <w:jc w:val="center"/>
        </w:trPr>
        <w:tc>
          <w:tcPr>
            <w:tcW w:w="3812" w:type="dxa"/>
          </w:tcPr>
          <w:p w14:paraId="4262FB8F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数据可信度</w:t>
            </w:r>
          </w:p>
        </w:tc>
        <w:tc>
          <w:tcPr>
            <w:tcW w:w="3812" w:type="dxa"/>
          </w:tcPr>
          <w:p w14:paraId="6A598685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078A99E6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6B3ED083" w14:textId="77777777" w:rsidR="00E35169" w:rsidRPr="00690BC5" w:rsidRDefault="00E35169">
            <w:pPr>
              <w:rPr>
                <w:rFonts w:hint="eastAsia"/>
              </w:rPr>
            </w:pPr>
          </w:p>
        </w:tc>
      </w:tr>
      <w:tr w:rsidR="00E35169" w:rsidRPr="00690BC5" w14:paraId="183BF99E" w14:textId="77777777">
        <w:trPr>
          <w:jc w:val="center"/>
        </w:trPr>
        <w:tc>
          <w:tcPr>
            <w:tcW w:w="3812" w:type="dxa"/>
          </w:tcPr>
          <w:p w14:paraId="105A3B41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AI 可解释性</w:t>
            </w:r>
          </w:p>
        </w:tc>
        <w:tc>
          <w:tcPr>
            <w:tcW w:w="3812" w:type="dxa"/>
          </w:tcPr>
          <w:p w14:paraId="709FE81B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41983631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0763BC50" w14:textId="77777777" w:rsidR="00E35169" w:rsidRPr="00690BC5" w:rsidRDefault="00E35169">
            <w:pPr>
              <w:rPr>
                <w:rFonts w:hint="eastAsia"/>
              </w:rPr>
            </w:pPr>
          </w:p>
        </w:tc>
      </w:tr>
      <w:tr w:rsidR="00E35169" w:rsidRPr="00690BC5" w14:paraId="0294C749" w14:textId="77777777">
        <w:trPr>
          <w:jc w:val="center"/>
        </w:trPr>
        <w:tc>
          <w:tcPr>
            <w:tcW w:w="3812" w:type="dxa"/>
          </w:tcPr>
          <w:p w14:paraId="4FE3F0D9" w14:textId="77777777" w:rsidR="00E35169" w:rsidRPr="00690BC5" w:rsidRDefault="00000000">
            <w:pPr>
              <w:rPr>
                <w:rFonts w:hint="eastAsia"/>
              </w:rPr>
            </w:pPr>
            <w:r w:rsidRPr="00690BC5">
              <w:rPr>
                <w:sz w:val="19"/>
              </w:rPr>
              <w:t>角色权限</w:t>
            </w:r>
          </w:p>
        </w:tc>
        <w:tc>
          <w:tcPr>
            <w:tcW w:w="3812" w:type="dxa"/>
          </w:tcPr>
          <w:p w14:paraId="769B957D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49C2C263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4FA8320C" w14:textId="77777777" w:rsidR="00E35169" w:rsidRPr="00690BC5" w:rsidRDefault="00E35169">
            <w:pPr>
              <w:rPr>
                <w:rFonts w:hint="eastAsia"/>
              </w:rPr>
            </w:pPr>
          </w:p>
        </w:tc>
      </w:tr>
      <w:tr w:rsidR="00E35169" w:rsidRPr="00690BC5" w14:paraId="16980ACA" w14:textId="77777777">
        <w:trPr>
          <w:jc w:val="center"/>
        </w:trPr>
        <w:tc>
          <w:tcPr>
            <w:tcW w:w="3812" w:type="dxa"/>
          </w:tcPr>
          <w:p w14:paraId="20ADF597" w14:textId="5463BFAC" w:rsidR="00E35169" w:rsidRPr="00690BC5" w:rsidRDefault="00690BC5">
            <w:pPr>
              <w:rPr>
                <w:rFonts w:hint="eastAsia"/>
              </w:rPr>
            </w:pPr>
            <w:r>
              <w:rPr>
                <w:sz w:val="19"/>
              </w:rPr>
              <w:t>组员</w:t>
            </w:r>
            <w:r w:rsidR="00000000" w:rsidRPr="00690BC5">
              <w:rPr>
                <w:sz w:val="19"/>
              </w:rPr>
              <w:t>交付适配</w:t>
            </w:r>
          </w:p>
        </w:tc>
        <w:tc>
          <w:tcPr>
            <w:tcW w:w="3812" w:type="dxa"/>
          </w:tcPr>
          <w:p w14:paraId="4CB372EE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1B4CF379" w14:textId="77777777" w:rsidR="00E35169" w:rsidRPr="00690BC5" w:rsidRDefault="00E35169">
            <w:pPr>
              <w:rPr>
                <w:rFonts w:hint="eastAsia"/>
              </w:rPr>
            </w:pPr>
          </w:p>
        </w:tc>
        <w:tc>
          <w:tcPr>
            <w:tcW w:w="3812" w:type="dxa"/>
          </w:tcPr>
          <w:p w14:paraId="722528B8" w14:textId="77777777" w:rsidR="00E35169" w:rsidRPr="00690BC5" w:rsidRDefault="00E35169">
            <w:pPr>
              <w:rPr>
                <w:rFonts w:hint="eastAsia"/>
              </w:rPr>
            </w:pPr>
          </w:p>
        </w:tc>
      </w:tr>
    </w:tbl>
    <w:p w14:paraId="61E2A93E" w14:textId="77777777" w:rsidR="00E35169" w:rsidRPr="00690BC5" w:rsidRDefault="00E35169">
      <w:pPr>
        <w:rPr>
          <w:rFonts w:hint="eastAsia"/>
        </w:rPr>
      </w:pPr>
    </w:p>
    <w:sectPr w:rsidR="00E35169" w:rsidRPr="00690BC5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2D56E" w14:textId="77777777" w:rsidR="00F61860" w:rsidRDefault="00F61860" w:rsidP="00690B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98BDDF" w14:textId="77777777" w:rsidR="00F61860" w:rsidRDefault="00F61860" w:rsidP="00690B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290FD" w14:textId="77777777" w:rsidR="00F61860" w:rsidRDefault="00F61860" w:rsidP="00690B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B1041E" w14:textId="77777777" w:rsidR="00F61860" w:rsidRDefault="00F61860" w:rsidP="00690B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128715">
    <w:abstractNumId w:val="8"/>
  </w:num>
  <w:num w:numId="2" w16cid:durableId="1881090048">
    <w:abstractNumId w:val="6"/>
  </w:num>
  <w:num w:numId="3" w16cid:durableId="706493999">
    <w:abstractNumId w:val="5"/>
  </w:num>
  <w:num w:numId="4" w16cid:durableId="1494030713">
    <w:abstractNumId w:val="4"/>
  </w:num>
  <w:num w:numId="5" w16cid:durableId="526724567">
    <w:abstractNumId w:val="7"/>
  </w:num>
  <w:num w:numId="6" w16cid:durableId="1277641533">
    <w:abstractNumId w:val="3"/>
  </w:num>
  <w:num w:numId="7" w16cid:durableId="1238710882">
    <w:abstractNumId w:val="2"/>
  </w:num>
  <w:num w:numId="8" w16cid:durableId="847403097">
    <w:abstractNumId w:val="1"/>
  </w:num>
  <w:num w:numId="9" w16cid:durableId="118747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9D7"/>
    <w:rsid w:val="00690BC5"/>
    <w:rsid w:val="0077483E"/>
    <w:rsid w:val="008D4594"/>
    <w:rsid w:val="00AA1D8D"/>
    <w:rsid w:val="00B47730"/>
    <w:rsid w:val="00C33C11"/>
    <w:rsid w:val="00CB0664"/>
    <w:rsid w:val="00E35169"/>
    <w:rsid w:val="00F61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BF4215"/>
  <w14:defaultImageDpi w14:val="300"/>
  <w15:docId w15:val="{976B64BD-08C8-45EB-8332-B75F579D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19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 Lai</cp:lastModifiedBy>
  <cp:revision>4</cp:revision>
  <dcterms:created xsi:type="dcterms:W3CDTF">2013-12-23T23:15:00Z</dcterms:created>
  <dcterms:modified xsi:type="dcterms:W3CDTF">2026-06-16T07:32:00Z</dcterms:modified>
  <cp:category/>
</cp:coreProperties>
</file>