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標楷體" w:hAnsi="標楷體" w:eastAsia="標楷體"/>
          <w:b/>
          <w:sz w:val="44"/>
        </w:rPr>
        <w:t>Urbaner Amazon 評論探勘與聯合分析正式報告</w:t>
      </w:r>
    </w:p>
    <w:p>
      <w:pPr>
        <w:jc w:val="center"/>
      </w:pPr>
      <w:r>
        <w:rPr>
          <w:rFonts w:ascii="標楷體" w:hAnsi="標楷體" w:eastAsia="標楷體"/>
          <w:sz w:val="24"/>
        </w:rPr>
        <w:t>Beard / Mustache Trimmers 類別｜STP、Choice Logit、產品定位與策略建議</w:t>
      </w:r>
    </w:p>
    <w:p>
      <w:pPr>
        <w:jc w:val="center"/>
      </w:pPr>
      <w:r>
        <w:rPr>
          <w:rFonts w:ascii="標楷體" w:hAnsi="標楷體" w:eastAsia="標楷體"/>
        </w:rPr>
        <w:t>產出日期：2026-04-22</w:t>
      </w:r>
    </w:p>
    <w:p>
      <w:r>
        <w:br w:type="page"/>
      </w:r>
    </w:p>
    <w:p>
      <w:pPr>
        <w:pStyle w:val="Heading1"/>
      </w:pPr>
      <w:r>
        <w:t>1. 研究目的與分析範圍</w:t>
      </w:r>
    </w:p>
    <w:p>
      <w:r>
        <w:rPr>
          <w:rFonts w:ascii="標楷體" w:hAnsi="標楷體" w:eastAsia="標楷體"/>
          <w:b w:val="0"/>
          <w:i w:val="0"/>
        </w:rPr>
        <w:t>本報告整合 Amazon 顧客評論探勘、STP 分析、聯合分析（Choice / Logit）與產品策略建議，目的是協助 Urbaner 在 Beard / Mustache Trimmers 類別中建立更清晰的產品定位與定價方向。</w:t>
      </w:r>
    </w:p>
    <w:p>
      <w:r>
        <w:rPr>
          <w:rFonts w:ascii="標楷體" w:hAnsi="標楷體" w:eastAsia="標楷體"/>
          <w:b w:val="0"/>
          <w:i w:val="0"/>
        </w:rPr>
        <w:t>分析主軸包含三層：第一層是由評論探勘萃取產品屬性；第二層是透過 STP 找出市場分群、定位與差異化重點；第三層是把屬性轉成 choice data，估計效用、購買機率與產品組合偏好。</w:t>
      </w:r>
    </w:p>
    <w:p>
      <w:pPr>
        <w:pStyle w:val="Heading1"/>
      </w:pPr>
      <w:r>
        <w:t>2. 資料來源與分析流程</w:t>
      </w:r>
    </w:p>
    <w:p>
      <w:pPr>
        <w:pStyle w:val="ListBullet"/>
      </w:pPr>
      <w:r>
        <w:t>評論資料：Amazon 顧客評論，Beard / Mustache Trimmers 類別，共 40 個產品、7,118 筆評論。</w:t>
      </w:r>
    </w:p>
    <w:p>
      <w:pPr>
        <w:pStyle w:val="ListBullet"/>
      </w:pPr>
      <w:r>
        <w:t>STP 來源：review_scoring_table、product_quality_scorecard、positioning_scorecard、segmentation_variables、targeting_anova 等輸出。</w:t>
      </w:r>
    </w:p>
    <w:p>
      <w:pPr>
        <w:pStyle w:val="ListBullet"/>
      </w:pPr>
      <w:r>
        <w:t>Choice / Logit 來源：將每筆評論視為一次購買決策，建立 40 × 7,118 的 long format choice data。</w:t>
      </w:r>
    </w:p>
    <w:p>
      <w:pPr>
        <w:pStyle w:val="ListBullet"/>
      </w:pPr>
      <w:r>
        <w:t>模型方法：以 Conditional Logit 估計屬性 dummy 的部分效用值，並以 logistic 函數轉成購買機率。</w:t>
      </w:r>
    </w:p>
    <w:p>
      <w:pPr>
        <w:pStyle w:val="ListBullet"/>
      </w:pPr>
      <w:r>
        <w:t>策略目標：找出最有價值的屬性、最具吸引力的產品組合，以及可行的產品線與定價策略。</w:t>
      </w:r>
    </w:p>
    <w:p>
      <w:pPr>
        <w:pStyle w:val="Heading1"/>
      </w:pPr>
      <w:r>
        <w:t>3. STP 分析摘要</w:t>
      </w:r>
    </w:p>
    <w:p>
      <w:r>
        <w:rPr>
          <w:b/>
        </w:rPr>
        <w:t>表 1. STP 分析摘要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D9EAF7"/>
          </w:tcPr>
          <w:p>
            <w:r>
              <w:rPr>
                <w:rFonts w:ascii="標楷體" w:hAnsi="標楷體" w:eastAsia="標楷體"/>
              </w:rPr>
              <w:t>項目</w:t>
            </w:r>
          </w:p>
        </w:tc>
        <w:tc>
          <w:tcPr>
            <w:tcW w:type="dxa" w:w="5040"/>
            <w:shd w:fill="D9EAF7"/>
          </w:tcPr>
          <w:p>
            <w:r>
              <w:rPr>
                <w:rFonts w:ascii="標楷體" w:hAnsi="標楷體" w:eastAsia="標楷體"/>
              </w:rPr>
              <w:t>結果</w:t>
            </w:r>
          </w:p>
        </w:tc>
      </w:tr>
      <w:tr>
        <w:tc>
          <w:tcPr>
            <w:tcW w:type="dxa" w:w="5040"/>
          </w:tcPr>
          <w:p>
            <w:r>
              <w:rPr>
                <w:rFonts w:ascii="標楷體" w:hAnsi="標楷體" w:eastAsia="標楷體"/>
              </w:rPr>
              <w:t>Themes discovered</w:t>
            </w:r>
          </w:p>
        </w:tc>
        <w:tc>
          <w:tcPr>
            <w:tcW w:type="dxa" w:w="5040"/>
          </w:tcPr>
          <w:p>
            <w:r>
              <w:rPr>
                <w:rFonts w:ascii="標楷體" w:hAnsi="標楷體" w:eastAsia="標楷體"/>
              </w:rPr>
              <w:t>20</w:t>
            </w:r>
          </w:p>
        </w:tc>
      </w:tr>
      <w:tr>
        <w:tc>
          <w:tcPr>
            <w:tcW w:type="dxa" w:w="5040"/>
          </w:tcPr>
          <w:p>
            <w:r>
              <w:rPr>
                <w:rFonts w:ascii="標楷體" w:hAnsi="標楷體" w:eastAsia="標楷體"/>
              </w:rPr>
              <w:t>Attributes extracted</w:t>
            </w:r>
          </w:p>
        </w:tc>
        <w:tc>
          <w:tcPr>
            <w:tcW w:type="dxa" w:w="5040"/>
          </w:tcPr>
          <w:p>
            <w:r>
              <w:rPr>
                <w:rFonts w:ascii="標楷體" w:hAnsi="標楷體" w:eastAsia="標楷體"/>
              </w:rPr>
              <w:t>114</w:t>
            </w:r>
          </w:p>
        </w:tc>
      </w:tr>
      <w:tr>
        <w:tc>
          <w:tcPr>
            <w:tcW w:type="dxa" w:w="5040"/>
          </w:tcPr>
          <w:p>
            <w:r>
              <w:rPr>
                <w:rFonts w:ascii="標楷體" w:hAnsi="標楷體" w:eastAsia="標楷體"/>
              </w:rPr>
              <w:t>Reviews analysed</w:t>
            </w:r>
          </w:p>
        </w:tc>
        <w:tc>
          <w:tcPr>
            <w:tcW w:type="dxa" w:w="5040"/>
          </w:tcPr>
          <w:p>
            <w:r>
              <w:rPr>
                <w:rFonts w:ascii="標楷體" w:hAnsi="標楷體" w:eastAsia="標楷體"/>
              </w:rPr>
              <w:t>1058</w:t>
            </w:r>
          </w:p>
        </w:tc>
      </w:tr>
      <w:tr>
        <w:tc>
          <w:tcPr>
            <w:tcW w:type="dxa" w:w="5040"/>
          </w:tcPr>
          <w:p>
            <w:r>
              <w:rPr>
                <w:rFonts w:ascii="標楷體" w:hAnsi="標楷體" w:eastAsia="標楷體"/>
              </w:rPr>
              <w:t>Segment count</w:t>
            </w:r>
          </w:p>
        </w:tc>
        <w:tc>
          <w:tcPr>
            <w:tcW w:type="dxa" w:w="5040"/>
          </w:tcPr>
          <w:p>
            <w:r>
              <w:rPr>
                <w:rFonts w:ascii="標楷體" w:hAnsi="標楷體" w:eastAsia="標楷體"/>
              </w:rPr>
              <w:t>2</w:t>
            </w:r>
          </w:p>
        </w:tc>
      </w:tr>
      <w:tr>
        <w:tc>
          <w:tcPr>
            <w:tcW w:type="dxa" w:w="5040"/>
          </w:tcPr>
          <w:p>
            <w:r>
              <w:rPr>
                <w:rFonts w:ascii="標楷體" w:hAnsi="標楷體" w:eastAsia="標楷體"/>
              </w:rPr>
              <w:t>Silhouette score</w:t>
            </w:r>
          </w:p>
        </w:tc>
        <w:tc>
          <w:tcPr>
            <w:tcW w:type="dxa" w:w="5040"/>
          </w:tcPr>
          <w:p>
            <w:r>
              <w:rPr>
                <w:rFonts w:ascii="標楷體" w:hAnsi="標楷體" w:eastAsia="標楷體"/>
              </w:rPr>
              <w:t>0.475</w:t>
            </w:r>
          </w:p>
        </w:tc>
      </w:tr>
      <w:tr>
        <w:tc>
          <w:tcPr>
            <w:tcW w:type="dxa" w:w="5040"/>
          </w:tcPr>
          <w:p>
            <w:r>
              <w:rPr>
                <w:rFonts w:ascii="標楷體" w:hAnsi="標楷體" w:eastAsia="標楷體"/>
              </w:rPr>
              <w:t>Most discriminating feature</w:t>
            </w:r>
          </w:p>
        </w:tc>
        <w:tc>
          <w:tcPr>
            <w:tcW w:type="dxa" w:w="5040"/>
          </w:tcPr>
          <w:p>
            <w:r>
              <w:rPr>
                <w:rFonts w:ascii="標楷體" w:hAnsi="標楷體" w:eastAsia="標楷體"/>
              </w:rPr>
              <w:t>shower_use_safe</w:t>
            </w:r>
          </w:p>
        </w:tc>
      </w:tr>
    </w:tbl>
    <w:p>
      <w:r>
        <w:rPr>
          <w:rFonts w:ascii="標楷體" w:hAnsi="標楷體" w:eastAsia="標楷體"/>
          <w:b w:val="0"/>
          <w:i w:val="0"/>
        </w:rPr>
        <w:t>STP 的核心訊號很一致：防水、易用性、鋒利度、價值感與禮品情境，都是市場可被感知且能拉開差異的屬性。尤其 shower_use_safe 的跨產品變異最大，代表它是最強的定位差異點。</w:t>
      </w:r>
    </w:p>
    <w:p>
      <w:r>
        <w:rPr>
          <w:rFonts w:ascii="標楷體" w:hAnsi="標楷體" w:eastAsia="標楷體"/>
          <w:b w:val="0"/>
          <w:i w:val="0"/>
        </w:rPr>
        <w:t>分群結果顯示，主要受眾可概括為兩大群：一群偏重修鬍功能、價格與基礎便利性；另一群則更重視價值與耐用，且在美國市場中禮品購買情境相對突出。</w:t>
      </w:r>
    </w:p>
    <w:p>
      <w:pPr>
        <w:pStyle w:val="Heading1"/>
      </w:pPr>
      <w:r>
        <w:t>4. 關鍵屬性中英對照與中文備註</w:t>
      </w:r>
    </w:p>
    <w:p>
      <w:r>
        <w:rPr>
          <w:rFonts w:ascii="標楷體" w:hAnsi="標楷體" w:eastAsia="標楷體"/>
          <w:b w:val="0"/>
          <w:i w:val="0"/>
        </w:rPr>
        <w:t>為了讓後續策略決策與跨部門溝通更一致，以下整理本次 Choice / Logit 使用之 8 個核心屬性，提供英文屬性名稱、中文備註與定義。</w:t>
      </w:r>
    </w:p>
    <w:p>
      <w:r>
        <w:rPr>
          <w:b/>
        </w:rPr>
        <w:t>表 2. 聯合分析核心屬性（含中文備註）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520"/>
            <w:shd w:fill="D9EAF7"/>
          </w:tcPr>
          <w:p>
            <w:r>
              <w:rPr>
                <w:rFonts w:ascii="標楷體" w:hAnsi="標楷體" w:eastAsia="標楷體"/>
              </w:rPr>
              <w:t>屬性代碼</w:t>
            </w:r>
          </w:p>
        </w:tc>
        <w:tc>
          <w:tcPr>
            <w:tcW w:type="dxa" w:w="2520"/>
            <w:shd w:fill="D9EAF7"/>
          </w:tcPr>
          <w:p>
            <w:r>
              <w:rPr>
                <w:rFonts w:ascii="標楷體" w:hAnsi="標楷體" w:eastAsia="標楷體"/>
              </w:rPr>
              <w:t>英文屬性</w:t>
            </w:r>
          </w:p>
        </w:tc>
        <w:tc>
          <w:tcPr>
            <w:tcW w:type="dxa" w:w="2520"/>
            <w:shd w:fill="D9EAF7"/>
          </w:tcPr>
          <w:p>
            <w:r>
              <w:rPr>
                <w:rFonts w:ascii="標楷體" w:hAnsi="標楷體" w:eastAsia="標楷體"/>
              </w:rPr>
              <w:t>中文備註</w:t>
            </w:r>
          </w:p>
        </w:tc>
        <w:tc>
          <w:tcPr>
            <w:tcW w:type="dxa" w:w="2520"/>
            <w:shd w:fill="D9EAF7"/>
          </w:tcPr>
          <w:p>
            <w:r>
              <w:rPr>
                <w:rFonts w:ascii="標楷體" w:hAnsi="標楷體" w:eastAsia="標楷體"/>
              </w:rPr>
              <w:t>定義說明</w:t>
            </w:r>
          </w:p>
        </w:tc>
      </w:tr>
      <w:tr>
        <w:tc>
          <w:tcPr>
            <w:tcW w:type="dxa" w:w="2520"/>
          </w:tcPr>
          <w:p>
            <w:r>
              <w:rPr>
                <w:rFonts w:ascii="標楷體" w:hAnsi="標楷體" w:eastAsia="標楷體"/>
              </w:rPr>
              <w:t>rechargeable_design</w:t>
            </w:r>
          </w:p>
        </w:tc>
        <w:tc>
          <w:tcPr>
            <w:tcW w:type="dxa" w:w="2520"/>
          </w:tcPr>
          <w:p>
            <w:r>
              <w:rPr>
                <w:rFonts w:ascii="標楷體" w:hAnsi="標楷體" w:eastAsia="標楷體"/>
              </w:rPr>
              <w:t>Rechargeable Design</w:t>
            </w:r>
          </w:p>
        </w:tc>
        <w:tc>
          <w:tcPr>
            <w:tcW w:type="dxa" w:w="2520"/>
          </w:tcPr>
          <w:p>
            <w:r>
              <w:rPr>
                <w:rFonts w:ascii="標楷體" w:hAnsi="標楷體" w:eastAsia="標楷體"/>
              </w:rPr>
              <w:t>充電式設計</w:t>
            </w:r>
          </w:p>
        </w:tc>
        <w:tc>
          <w:tcPr>
            <w:tcW w:type="dxa" w:w="2520"/>
          </w:tcPr>
          <w:p>
            <w:r>
              <w:rPr>
                <w:rFonts w:ascii="標楷體" w:hAnsi="標楷體" w:eastAsia="標楷體"/>
              </w:rPr>
              <w:t>Whether the product supports USB or dock recharging without replacing batteries. High=USB rechargeable; Low=battery only.</w:t>
            </w:r>
          </w:p>
        </w:tc>
      </w:tr>
      <w:tr>
        <w:tc>
          <w:tcPr>
            <w:tcW w:type="dxa" w:w="2520"/>
          </w:tcPr>
          <w:p>
            <w:r>
              <w:rPr>
                <w:rFonts w:ascii="標楷體" w:hAnsi="標楷體" w:eastAsia="標楷體"/>
              </w:rPr>
              <w:t>blade_sharpness</w:t>
            </w:r>
          </w:p>
        </w:tc>
        <w:tc>
          <w:tcPr>
            <w:tcW w:type="dxa" w:w="2520"/>
          </w:tcPr>
          <w:p>
            <w:r>
              <w:rPr>
                <w:rFonts w:ascii="標楷體" w:hAnsi="標楷體" w:eastAsia="標楷體"/>
              </w:rPr>
              <w:t>Blade Sharpness</w:t>
            </w:r>
          </w:p>
        </w:tc>
        <w:tc>
          <w:tcPr>
            <w:tcW w:type="dxa" w:w="2520"/>
          </w:tcPr>
          <w:p>
            <w:r>
              <w:rPr>
                <w:rFonts w:ascii="標楷體" w:hAnsi="標楷體" w:eastAsia="標楷體"/>
              </w:rPr>
              <w:t>刀片鋒利度</w:t>
            </w:r>
          </w:p>
        </w:tc>
        <w:tc>
          <w:tcPr>
            <w:tcW w:type="dxa" w:w="2520"/>
          </w:tcPr>
          <w:p>
            <w:r>
              <w:rPr>
                <w:rFonts w:ascii="標楷體" w:hAnsi="標楷體" w:eastAsia="標楷體"/>
              </w:rPr>
              <w:t>Perceived cutting sharpness from reviews. High=reviewers praise clean cuts; Low=dull, hair-snagging complaints.</w:t>
            </w:r>
          </w:p>
        </w:tc>
      </w:tr>
      <w:tr>
        <w:tc>
          <w:tcPr>
            <w:tcW w:type="dxa" w:w="2520"/>
          </w:tcPr>
          <w:p>
            <w:r>
              <w:rPr>
                <w:rFonts w:ascii="標楷體" w:hAnsi="標楷體" w:eastAsia="標楷體"/>
              </w:rPr>
              <w:t>blade_hair_pulling</w:t>
            </w:r>
          </w:p>
        </w:tc>
        <w:tc>
          <w:tcPr>
            <w:tcW w:type="dxa" w:w="2520"/>
          </w:tcPr>
          <w:p>
            <w:r>
              <w:rPr>
                <w:rFonts w:ascii="標楷體" w:hAnsi="標楷體" w:eastAsia="標楷體"/>
              </w:rPr>
              <w:t>Blade Hair Pulling / Snagging</w:t>
            </w:r>
          </w:p>
        </w:tc>
        <w:tc>
          <w:tcPr>
            <w:tcW w:type="dxa" w:w="2520"/>
          </w:tcPr>
          <w:p>
            <w:r>
              <w:rPr>
                <w:rFonts w:ascii="標楷體" w:hAnsi="標楷體" w:eastAsia="標楷體"/>
              </w:rPr>
              <w:t>刀片拉毛問題</w:t>
            </w:r>
          </w:p>
        </w:tc>
        <w:tc>
          <w:tcPr>
            <w:tcW w:type="dxa" w:w="2520"/>
          </w:tcPr>
          <w:p>
            <w:r>
              <w:rPr>
                <w:rFonts w:ascii="標楷體" w:hAnsi="標楷體" w:eastAsia="標楷體"/>
              </w:rPr>
              <w:t>Whether blade snags or pulls hair during use. High=smooth, no pulling; Low=frequent pulling complaints.</w:t>
            </w:r>
          </w:p>
        </w:tc>
      </w:tr>
      <w:tr>
        <w:tc>
          <w:tcPr>
            <w:tcW w:type="dxa" w:w="2520"/>
          </w:tcPr>
          <w:p>
            <w:r>
              <w:rPr>
                <w:rFonts w:ascii="標楷體" w:hAnsi="標楷體" w:eastAsia="標楷體"/>
              </w:rPr>
              <w:t>motor_power_rpm</w:t>
            </w:r>
          </w:p>
        </w:tc>
        <w:tc>
          <w:tcPr>
            <w:tcW w:type="dxa" w:w="2520"/>
          </w:tcPr>
          <w:p>
            <w:r>
              <w:rPr>
                <w:rFonts w:ascii="標楷體" w:hAnsi="標楷體" w:eastAsia="標楷體"/>
              </w:rPr>
              <w:t>Motor Power / Speed</w:t>
            </w:r>
          </w:p>
        </w:tc>
        <w:tc>
          <w:tcPr>
            <w:tcW w:type="dxa" w:w="2520"/>
          </w:tcPr>
          <w:p>
            <w:r>
              <w:rPr>
                <w:rFonts w:ascii="標楷體" w:hAnsi="標楷體" w:eastAsia="標楷體"/>
              </w:rPr>
              <w:t>馬達功率轉速</w:t>
            </w:r>
          </w:p>
        </w:tc>
        <w:tc>
          <w:tcPr>
            <w:tcW w:type="dxa" w:w="2520"/>
          </w:tcPr>
          <w:p>
            <w:r>
              <w:rPr>
                <w:rFonts w:ascii="標楷體" w:hAnsi="標楷體" w:eastAsia="標楷體"/>
              </w:rPr>
              <w:t>Perceived motor power and RPM. High=strong, powerful motor; Low=weak, slow motor.</w:t>
            </w:r>
          </w:p>
        </w:tc>
      </w:tr>
      <w:tr>
        <w:tc>
          <w:tcPr>
            <w:tcW w:type="dxa" w:w="2520"/>
          </w:tcPr>
          <w:p>
            <w:r>
              <w:rPr>
                <w:rFonts w:ascii="標楷體" w:hAnsi="標楷體" w:eastAsia="標楷體"/>
              </w:rPr>
              <w:t>waterproof_rating_ipx8</w:t>
            </w:r>
          </w:p>
        </w:tc>
        <w:tc>
          <w:tcPr>
            <w:tcW w:type="dxa" w:w="2520"/>
          </w:tcPr>
          <w:p>
            <w:r>
              <w:rPr>
                <w:rFonts w:ascii="標楷體" w:hAnsi="標楷體" w:eastAsia="標楷體"/>
              </w:rPr>
              <w:t>IPX8 Waterproof Rating</w:t>
            </w:r>
          </w:p>
        </w:tc>
        <w:tc>
          <w:tcPr>
            <w:tcW w:type="dxa" w:w="2520"/>
          </w:tcPr>
          <w:p>
            <w:r>
              <w:rPr>
                <w:rFonts w:ascii="標楷體" w:hAnsi="標楷體" w:eastAsia="標楷體"/>
              </w:rPr>
              <w:t>IPX8防水等級</w:t>
            </w:r>
          </w:p>
        </w:tc>
        <w:tc>
          <w:tcPr>
            <w:tcW w:type="dxa" w:w="2520"/>
          </w:tcPr>
          <w:p>
            <w:r>
              <w:rPr>
                <w:rFonts w:ascii="標楷體" w:hAnsi="標楷體" w:eastAsia="標楷體"/>
              </w:rPr>
              <w:t>Whether the product carries the IPX8 waterproof certification (submersible). High=IPX8 certified; Low=water resistant or not rated.</w:t>
            </w:r>
          </w:p>
        </w:tc>
      </w:tr>
      <w:tr>
        <w:tc>
          <w:tcPr>
            <w:tcW w:type="dxa" w:w="2520"/>
          </w:tcPr>
          <w:p>
            <w:r>
              <w:rPr>
                <w:rFonts w:ascii="標楷體" w:hAnsi="標楷體" w:eastAsia="標楷體"/>
              </w:rPr>
              <w:t>adjustable_comb_settings</w:t>
            </w:r>
          </w:p>
        </w:tc>
        <w:tc>
          <w:tcPr>
            <w:tcW w:type="dxa" w:w="2520"/>
          </w:tcPr>
          <w:p>
            <w:r>
              <w:rPr>
                <w:rFonts w:ascii="標楷體" w:hAnsi="標楷體" w:eastAsia="標楷體"/>
              </w:rPr>
              <w:t>Adjustable Comb Length Settings</w:t>
            </w:r>
          </w:p>
        </w:tc>
        <w:tc>
          <w:tcPr>
            <w:tcW w:type="dxa" w:w="2520"/>
          </w:tcPr>
          <w:p>
            <w:r>
              <w:rPr>
                <w:rFonts w:ascii="標楷體" w:hAnsi="標楷體" w:eastAsia="標楷體"/>
              </w:rPr>
              <w:t>可調式導梳長度設定</w:t>
            </w:r>
          </w:p>
        </w:tc>
        <w:tc>
          <w:tcPr>
            <w:tcW w:type="dxa" w:w="2520"/>
          </w:tcPr>
          <w:p>
            <w:r>
              <w:rPr>
                <w:rFonts w:ascii="標楷體" w:hAnsi="標楷體" w:eastAsia="標楷體"/>
              </w:rPr>
              <w:t>Number and range of adjustable length settings via comb. High=many settings with fine increments; Low=fixed or few settings.</w:t>
            </w:r>
          </w:p>
        </w:tc>
      </w:tr>
      <w:tr>
        <w:tc>
          <w:tcPr>
            <w:tcW w:type="dxa" w:w="2520"/>
          </w:tcPr>
          <w:p>
            <w:r>
              <w:rPr>
                <w:rFonts w:ascii="標楷體" w:hAnsi="標楷體" w:eastAsia="標楷體"/>
              </w:rPr>
              <w:t>price_value_ratio</w:t>
            </w:r>
          </w:p>
        </w:tc>
        <w:tc>
          <w:tcPr>
            <w:tcW w:type="dxa" w:w="2520"/>
          </w:tcPr>
          <w:p>
            <w:r>
              <w:rPr>
                <w:rFonts w:ascii="標楷體" w:hAnsi="標楷體" w:eastAsia="標楷體"/>
              </w:rPr>
              <w:t>Price-to-Value Ratio</w:t>
            </w:r>
          </w:p>
        </w:tc>
        <w:tc>
          <w:tcPr>
            <w:tcW w:type="dxa" w:w="2520"/>
          </w:tcPr>
          <w:p>
            <w:r>
              <w:rPr>
                <w:rFonts w:ascii="標楷體" w:hAnsi="標楷體" w:eastAsia="標楷體"/>
              </w:rPr>
              <w:t>性價比</w:t>
            </w:r>
          </w:p>
        </w:tc>
        <w:tc>
          <w:tcPr>
            <w:tcW w:type="dxa" w:w="2520"/>
          </w:tcPr>
          <w:p>
            <w:r>
              <w:rPr>
                <w:rFonts w:ascii="標楷體" w:hAnsi="標楷體" w:eastAsia="標楷體"/>
              </w:rPr>
              <w:t>Perceived value relative to price paid. High=great value; Low=overpriced for quality delivered.</w:t>
            </w:r>
          </w:p>
        </w:tc>
      </w:tr>
      <w:tr>
        <w:tc>
          <w:tcPr>
            <w:tcW w:type="dxa" w:w="2520"/>
          </w:tcPr>
          <w:p>
            <w:r>
              <w:rPr>
                <w:rFonts w:ascii="標楷體" w:hAnsi="標楷體" w:eastAsia="標楷體"/>
              </w:rPr>
              <w:t>ease_of_use_overall</w:t>
            </w:r>
          </w:p>
        </w:tc>
        <w:tc>
          <w:tcPr>
            <w:tcW w:type="dxa" w:w="2520"/>
          </w:tcPr>
          <w:p>
            <w:r>
              <w:rPr>
                <w:rFonts w:ascii="標楷體" w:hAnsi="標楷體" w:eastAsia="標楷體"/>
              </w:rPr>
              <w:t>Ease of Use (Overall)</w:t>
            </w:r>
          </w:p>
        </w:tc>
        <w:tc>
          <w:tcPr>
            <w:tcW w:type="dxa" w:w="2520"/>
          </w:tcPr>
          <w:p>
            <w:r>
              <w:rPr>
                <w:rFonts w:ascii="標楷體" w:hAnsi="標楷體" w:eastAsia="標楷體"/>
              </w:rPr>
              <w:t>整體易用性</w:t>
            </w:r>
          </w:p>
        </w:tc>
        <w:tc>
          <w:tcPr>
            <w:tcW w:type="dxa" w:w="2520"/>
          </w:tcPr>
          <w:p>
            <w:r>
              <w:rPr>
                <w:rFonts w:ascii="標楷體" w:hAnsi="標楷體" w:eastAsia="標楷體"/>
              </w:rPr>
              <w:t>Overall ease of learning and operating the trimmer. High=intuitive, beginner-friendly; Low=confusing or complex.</w:t>
            </w:r>
          </w:p>
        </w:tc>
      </w:tr>
    </w:tbl>
    <w:p>
      <w:pPr>
        <w:pStyle w:val="Heading1"/>
      </w:pPr>
      <w:r>
        <w:t>5. 聯合分析（Choice / Logit）完整流程</w:t>
      </w:r>
    </w:p>
    <w:p>
      <w:r>
        <w:rPr>
          <w:rFonts w:ascii="標楷體" w:hAnsi="標楷體" w:eastAsia="標楷體"/>
          <w:b w:val="0"/>
          <w:i w:val="0"/>
        </w:rPr>
        <w:t>本研究以評論近似真實選擇情境，透過條件羅吉特模型估計 part-worth utility（部分效用）。流程分為八個步驟，以確保資料轉換、估計與解讀具有可追蹤性。</w:t>
      </w:r>
    </w:p>
    <w:p>
      <w:pPr>
        <w:pStyle w:val="ListNumber"/>
      </w:pPr>
      <w:r>
        <w:t>步驟 1｜評論清理與欄位標準化：整合標題、內文、星等、國家與語言欄位，並排除文字不足的評論。</w:t>
      </w:r>
    </w:p>
    <w:p>
      <w:pPr>
        <w:pStyle w:val="ListNumber"/>
      </w:pPr>
      <w:r>
        <w:t>步驟 2｜評論屬性評分：依 attribute_catalog 關鍵詞規則，將每篇評論轉為 8 個屬性分數。</w:t>
      </w:r>
    </w:p>
    <w:p>
      <w:pPr>
        <w:pStyle w:val="ListNumber"/>
      </w:pPr>
      <w:r>
        <w:t>步驟 3｜產品層級彙整：把評論層級分數聚合為產品平均分數，形成產品特徵向量。</w:t>
      </w:r>
    </w:p>
    <w:p>
      <w:pPr>
        <w:pStyle w:val="ListNumber"/>
      </w:pPr>
      <w:r>
        <w:t>步驟 4｜屬性分層（low / mid / high）：採分位或穩健切分方式，將連續分數轉為離散層級。</w:t>
      </w:r>
    </w:p>
    <w:p>
      <w:pPr>
        <w:pStyle w:val="ListNumber"/>
      </w:pPr>
      <w:r>
        <w:t>步驟 5｜虛擬變數編碼：以 low 為參照組，建立 mid/high dummy；係數可直接解讀相對於 low 的效用增減。</w:t>
      </w:r>
    </w:p>
    <w:p>
      <w:pPr>
        <w:pStyle w:val="ListNumber"/>
      </w:pPr>
      <w:r>
        <w:t>步驟 6｜建構 long-format choice data：每筆評論視為一個 choice set，40 個產品同場競爭，實際評論對應產品記為 choice=1。</w:t>
      </w:r>
    </w:p>
    <w:p>
      <w:pPr>
        <w:pStyle w:val="ListNumber"/>
      </w:pPr>
      <w:r>
        <w:t>步驟 7｜Conditional Logit 估計：以 BFGS 收斂求解，取得屬性係數、標準誤、z 值與 p 值。</w:t>
      </w:r>
    </w:p>
    <w:p>
      <w:pPr>
        <w:pStyle w:val="ListNumber"/>
      </w:pPr>
      <w:r>
        <w:t>步驟 8｜機率與策略轉換：將效用映射為選擇機率，並連結產品組合、價格與定位建議。</w:t>
      </w:r>
    </w:p>
    <w:p>
      <w:r>
        <w:rPr>
          <w:b/>
        </w:rPr>
        <w:t>表 3. Choice / Logit 模型摘要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D9EAF7"/>
          </w:tcPr>
          <w:p>
            <w:r>
              <w:rPr>
                <w:rFonts w:ascii="標楷體" w:hAnsi="標楷體" w:eastAsia="標楷體"/>
              </w:rPr>
              <w:t>指標</w:t>
            </w:r>
          </w:p>
        </w:tc>
        <w:tc>
          <w:tcPr>
            <w:tcW w:type="dxa" w:w="5040"/>
            <w:shd w:fill="D9EAF7"/>
          </w:tcPr>
          <w:p>
            <w:r>
              <w:rPr>
                <w:rFonts w:ascii="標楷體" w:hAnsi="標楷體" w:eastAsia="標楷體"/>
              </w:rPr>
              <w:t>數值</w:t>
            </w:r>
          </w:p>
        </w:tc>
      </w:tr>
      <w:tr>
        <w:tc>
          <w:tcPr>
            <w:tcW w:type="dxa" w:w="5040"/>
          </w:tcPr>
          <w:p>
            <w:r>
              <w:rPr>
                <w:rFonts w:ascii="標楷體" w:hAnsi="標楷體" w:eastAsia="標楷體"/>
              </w:rPr>
              <w:t>Choice set size（每次比較產品數）</w:t>
            </w:r>
          </w:p>
        </w:tc>
        <w:tc>
          <w:tcPr>
            <w:tcW w:type="dxa" w:w="5040"/>
          </w:tcPr>
          <w:p>
            <w:r>
              <w:rPr>
                <w:rFonts w:ascii="標楷體" w:hAnsi="標楷體" w:eastAsia="標楷體"/>
              </w:rPr>
              <w:t>40.0</w:t>
            </w:r>
          </w:p>
        </w:tc>
      </w:tr>
      <w:tr>
        <w:tc>
          <w:tcPr>
            <w:tcW w:type="dxa" w:w="5040"/>
          </w:tcPr>
          <w:p>
            <w:r>
              <w:rPr>
                <w:rFonts w:ascii="標楷體" w:hAnsi="標楷體" w:eastAsia="標楷體"/>
              </w:rPr>
              <w:t>Long-format rows（長表資料列數）</w:t>
            </w:r>
          </w:p>
        </w:tc>
        <w:tc>
          <w:tcPr>
            <w:tcW w:type="dxa" w:w="5040"/>
          </w:tcPr>
          <w:p>
            <w:r>
              <w:rPr>
                <w:rFonts w:ascii="標楷體" w:hAnsi="標楷體" w:eastAsia="標楷體"/>
              </w:rPr>
              <w:t>284720.0</w:t>
            </w:r>
          </w:p>
        </w:tc>
      </w:tr>
      <w:tr>
        <w:tc>
          <w:tcPr>
            <w:tcW w:type="dxa" w:w="5040"/>
          </w:tcPr>
          <w:p>
            <w:r>
              <w:rPr>
                <w:rFonts w:ascii="標楷體" w:hAnsi="標楷體" w:eastAsia="標楷體"/>
              </w:rPr>
              <w:t>Estimated reviews（估計樣本評論數）</w:t>
            </w:r>
          </w:p>
        </w:tc>
        <w:tc>
          <w:tcPr>
            <w:tcW w:type="dxa" w:w="5040"/>
          </w:tcPr>
          <w:p>
            <w:r>
              <w:rPr>
                <w:rFonts w:ascii="標楷體" w:hAnsi="標楷體" w:eastAsia="標楷體"/>
              </w:rPr>
              <w:t>2500.0</w:t>
            </w:r>
          </w:p>
        </w:tc>
      </w:tr>
      <w:tr>
        <w:tc>
          <w:tcPr>
            <w:tcW w:type="dxa" w:w="5040"/>
          </w:tcPr>
          <w:p>
            <w:r>
              <w:rPr>
                <w:rFonts w:ascii="標楷體" w:hAnsi="標楷體" w:eastAsia="標楷體"/>
              </w:rPr>
              <w:t>Log-likelihood</w:t>
            </w:r>
          </w:p>
        </w:tc>
        <w:tc>
          <w:tcPr>
            <w:tcW w:type="dxa" w:w="5040"/>
          </w:tcPr>
          <w:p>
            <w:r>
              <w:rPr>
                <w:rFonts w:ascii="標楷體" w:hAnsi="標楷體" w:eastAsia="標楷體"/>
              </w:rPr>
              <w:t>-8589.749</w:t>
            </w:r>
          </w:p>
        </w:tc>
      </w:tr>
      <w:tr>
        <w:tc>
          <w:tcPr>
            <w:tcW w:type="dxa" w:w="5040"/>
          </w:tcPr>
          <w:p>
            <w:r>
              <w:rPr>
                <w:rFonts w:ascii="標楷體" w:hAnsi="標楷體" w:eastAsia="標楷體"/>
              </w:rPr>
              <w:t>Null log-likelihood</w:t>
            </w:r>
          </w:p>
        </w:tc>
        <w:tc>
          <w:tcPr>
            <w:tcW w:type="dxa" w:w="5040"/>
          </w:tcPr>
          <w:p>
            <w:r>
              <w:rPr>
                <w:rFonts w:ascii="標楷體" w:hAnsi="標楷體" w:eastAsia="標楷體"/>
              </w:rPr>
              <w:t>-26257.444</w:t>
            </w:r>
          </w:p>
        </w:tc>
      </w:tr>
      <w:tr>
        <w:tc>
          <w:tcPr>
            <w:tcW w:type="dxa" w:w="5040"/>
          </w:tcPr>
          <w:p>
            <w:r>
              <w:rPr>
                <w:rFonts w:ascii="標楷體" w:hAnsi="標楷體" w:eastAsia="標楷體"/>
              </w:rPr>
              <w:t>McFadden pseudo R²</w:t>
            </w:r>
          </w:p>
        </w:tc>
        <w:tc>
          <w:tcPr>
            <w:tcW w:type="dxa" w:w="5040"/>
          </w:tcPr>
          <w:p>
            <w:r>
              <w:rPr>
                <w:rFonts w:ascii="標楷體" w:hAnsi="標楷體" w:eastAsia="標楷體"/>
              </w:rPr>
              <w:t>0.6729</w:t>
            </w:r>
          </w:p>
        </w:tc>
      </w:tr>
      <w:tr>
        <w:tc>
          <w:tcPr>
            <w:tcW w:type="dxa" w:w="5040"/>
          </w:tcPr>
          <w:p>
            <w:r>
              <w:rPr>
                <w:rFonts w:ascii="標楷體" w:hAnsi="標楷體" w:eastAsia="標楷體"/>
              </w:rPr>
              <w:t>Top-1 hit rate</w:t>
            </w:r>
          </w:p>
        </w:tc>
        <w:tc>
          <w:tcPr>
            <w:tcW w:type="dxa" w:w="5040"/>
          </w:tcPr>
          <w:p>
            <w:r>
              <w:rPr>
                <w:rFonts w:ascii="標楷體" w:hAnsi="標楷體" w:eastAsia="標楷體"/>
              </w:rPr>
              <w:t>0.0701</w:t>
            </w:r>
          </w:p>
        </w:tc>
      </w:tr>
    </w:tbl>
    <w:p>
      <w:r>
        <w:rPr>
          <w:rFonts w:ascii="標楷體" w:hAnsi="標楷體" w:eastAsia="標楷體"/>
          <w:b w:val="0"/>
          <w:i w:val="0"/>
        </w:rPr>
        <w:t>McFadden pseudo R² = 0.6729，代表模型相對於隨機基準有顯著解釋力；Top-1 hit rate 受 choice set 規模影響較大，應與 pseudo R² 併讀，不宜單獨判斷模型品質。</w:t>
      </w:r>
    </w:p>
    <w:p>
      <w:pPr>
        <w:pStyle w:val="Heading1"/>
      </w:pPr>
      <w:r>
        <w:t>6. 聯合分析係數結果（含中文註解）</w:t>
      </w:r>
    </w:p>
    <w:p>
      <w:r>
        <w:rPr>
          <w:rFonts w:ascii="標楷體" w:hAnsi="標楷體" w:eastAsia="標楷體"/>
          <w:b w:val="0"/>
          <w:i w:val="0"/>
        </w:rPr>
        <w:t>係數表已補上屬性中英文與中文備註，便於技術團隊、行銷團隊與管理層對齊。方向為正向代表相對於 low 層級可提升選擇機率；方向為負向則代表降低吸引力。</w:t>
      </w:r>
    </w:p>
    <w:p>
      <w:r>
        <w:rPr>
          <w:b/>
        </w:rPr>
        <w:t>表 4. Conditional Logit 係數表（中英屬性註解）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</w:tblGrid>
      <w:tr>
        <w:trPr>
          <w:tblHeader w:val="true"/>
        </w:trPr>
        <w:tc>
          <w:tcPr>
            <w:tcW w:type="dxa" w:w="1008"/>
            <w:shd w:fill="D9EAF7"/>
          </w:tcPr>
          <w:p>
            <w:r>
              <w:rPr>
                <w:rFonts w:ascii="標楷體" w:hAnsi="標楷體" w:eastAsia="標楷體"/>
              </w:rPr>
              <w:t>屬性代碼</w:t>
            </w:r>
          </w:p>
        </w:tc>
        <w:tc>
          <w:tcPr>
            <w:tcW w:type="dxa" w:w="1008"/>
            <w:shd w:fill="D9EAF7"/>
          </w:tcPr>
          <w:p>
            <w:r>
              <w:rPr>
                <w:rFonts w:ascii="標楷體" w:hAnsi="標楷體" w:eastAsia="標楷體"/>
              </w:rPr>
              <w:t>英文屬性</w:t>
            </w:r>
          </w:p>
        </w:tc>
        <w:tc>
          <w:tcPr>
            <w:tcW w:type="dxa" w:w="1008"/>
            <w:shd w:fill="D9EAF7"/>
          </w:tcPr>
          <w:p>
            <w:r>
              <w:rPr>
                <w:rFonts w:ascii="標楷體" w:hAnsi="標楷體" w:eastAsia="標楷體"/>
              </w:rPr>
              <w:t>中文備註</w:t>
            </w:r>
          </w:p>
        </w:tc>
        <w:tc>
          <w:tcPr>
            <w:tcW w:type="dxa" w:w="1008"/>
            <w:shd w:fill="D9EAF7"/>
          </w:tcPr>
          <w:p>
            <w:r>
              <w:rPr>
                <w:rFonts w:ascii="標楷體" w:hAnsi="標楷體" w:eastAsia="標楷體"/>
              </w:rPr>
              <w:t>水準</w:t>
            </w:r>
          </w:p>
        </w:tc>
        <w:tc>
          <w:tcPr>
            <w:tcW w:type="dxa" w:w="1008"/>
            <w:shd w:fill="D9EAF7"/>
          </w:tcPr>
          <w:p>
            <w:r>
              <w:rPr>
                <w:rFonts w:ascii="標楷體" w:hAnsi="標楷體" w:eastAsia="標楷體"/>
              </w:rPr>
              <w:t>係數</w:t>
            </w:r>
          </w:p>
        </w:tc>
        <w:tc>
          <w:tcPr>
            <w:tcW w:type="dxa" w:w="1008"/>
            <w:shd w:fill="D9EAF7"/>
          </w:tcPr>
          <w:p>
            <w:r>
              <w:rPr>
                <w:rFonts w:ascii="標楷體" w:hAnsi="標楷體" w:eastAsia="標楷體"/>
              </w:rPr>
              <w:t>標準誤</w:t>
            </w:r>
          </w:p>
        </w:tc>
        <w:tc>
          <w:tcPr>
            <w:tcW w:type="dxa" w:w="1008"/>
            <w:shd w:fill="D9EAF7"/>
          </w:tcPr>
          <w:p>
            <w:r>
              <w:rPr>
                <w:rFonts w:ascii="標楷體" w:hAnsi="標楷體" w:eastAsia="標楷體"/>
              </w:rPr>
              <w:t>z 值</w:t>
            </w:r>
          </w:p>
        </w:tc>
        <w:tc>
          <w:tcPr>
            <w:tcW w:type="dxa" w:w="1008"/>
            <w:shd w:fill="D9EAF7"/>
          </w:tcPr>
          <w:p>
            <w:r>
              <w:rPr>
                <w:rFonts w:ascii="標楷體" w:hAnsi="標楷體" w:eastAsia="標楷體"/>
              </w:rPr>
              <w:t>p 值</w:t>
            </w:r>
          </w:p>
        </w:tc>
        <w:tc>
          <w:tcPr>
            <w:tcW w:type="dxa" w:w="1008"/>
            <w:shd w:fill="D9EAF7"/>
          </w:tcPr>
          <w:p>
            <w:r>
              <w:rPr>
                <w:rFonts w:ascii="標楷體" w:hAnsi="標楷體" w:eastAsia="標楷體"/>
              </w:rPr>
              <w:t>Odds Ratio</w:t>
            </w:r>
          </w:p>
        </w:tc>
        <w:tc>
          <w:tcPr>
            <w:tcW w:type="dxa" w:w="1008"/>
            <w:shd w:fill="D9EAF7"/>
          </w:tcPr>
          <w:p>
            <w:r>
              <w:rPr>
                <w:rFonts w:ascii="標楷體" w:hAnsi="標楷體" w:eastAsia="標楷體"/>
              </w:rPr>
              <w:t>方向</w:t>
            </w:r>
          </w:p>
        </w:tc>
      </w:tr>
      <w:tr>
        <w:tc>
          <w:tcPr>
            <w:tcW w:type="dxa" w:w="1008"/>
          </w:tcPr>
          <w:p>
            <w:r>
              <w:rPr>
                <w:rFonts w:ascii="標楷體" w:hAnsi="標楷體" w:eastAsia="標楷體"/>
              </w:rPr>
              <w:t>ease_of_use_overall</w:t>
            </w:r>
          </w:p>
        </w:tc>
        <w:tc>
          <w:tcPr>
            <w:tcW w:type="dxa" w:w="1008"/>
          </w:tcPr>
          <w:p>
            <w:r>
              <w:rPr>
                <w:rFonts w:ascii="標楷體" w:hAnsi="標楷體" w:eastAsia="標楷體"/>
              </w:rPr>
              <w:t>Ease of Use (Overall)</w:t>
            </w:r>
          </w:p>
        </w:tc>
        <w:tc>
          <w:tcPr>
            <w:tcW w:type="dxa" w:w="1008"/>
          </w:tcPr>
          <w:p>
            <w:r>
              <w:rPr>
                <w:rFonts w:ascii="標楷體" w:hAnsi="標楷體" w:eastAsia="標楷體"/>
              </w:rPr>
              <w:t>整體易用性</w:t>
            </w:r>
          </w:p>
        </w:tc>
        <w:tc>
          <w:tcPr>
            <w:tcW w:type="dxa" w:w="1008"/>
          </w:tcPr>
          <w:p>
            <w:r>
              <w:rPr>
                <w:rFonts w:ascii="標楷體" w:hAnsi="標楷體" w:eastAsia="標楷體"/>
              </w:rPr>
              <w:t>高階(high)</w:t>
            </w:r>
          </w:p>
        </w:tc>
        <w:tc>
          <w:tcPr>
            <w:tcW w:type="dxa" w:w="1008"/>
          </w:tcPr>
          <w:p>
            <w:r>
              <w:rPr>
                <w:rFonts w:ascii="標楷體" w:hAnsi="標楷體" w:eastAsia="標楷體"/>
              </w:rPr>
              <w:t>2.032</w:t>
            </w:r>
          </w:p>
        </w:tc>
        <w:tc>
          <w:tcPr>
            <w:tcW w:type="dxa" w:w="1008"/>
          </w:tcPr>
          <w:p>
            <w:r>
              <w:rPr>
                <w:rFonts w:ascii="標楷體" w:hAnsi="標楷體" w:eastAsia="標楷體"/>
              </w:rPr>
              <w:t>0.1709</w:t>
            </w:r>
          </w:p>
        </w:tc>
        <w:tc>
          <w:tcPr>
            <w:tcW w:type="dxa" w:w="1008"/>
          </w:tcPr>
          <w:p>
            <w:r>
              <w:rPr>
                <w:rFonts w:ascii="標楷體" w:hAnsi="標楷體" w:eastAsia="標楷體"/>
              </w:rPr>
              <w:t>11.89</w:t>
            </w:r>
          </w:p>
        </w:tc>
        <w:tc>
          <w:tcPr>
            <w:tcW w:type="dxa" w:w="1008"/>
          </w:tcPr>
          <w:p>
            <w:r>
              <w:rPr>
                <w:rFonts w:ascii="標楷體" w:hAnsi="標楷體" w:eastAsia="標楷體"/>
              </w:rPr>
              <w:t>1.333e-32</w:t>
            </w:r>
          </w:p>
        </w:tc>
        <w:tc>
          <w:tcPr>
            <w:tcW w:type="dxa" w:w="1008"/>
          </w:tcPr>
          <w:p>
            <w:r>
              <w:rPr>
                <w:rFonts w:ascii="標楷體" w:hAnsi="標楷體" w:eastAsia="標楷體"/>
              </w:rPr>
              <w:t>7.63</w:t>
            </w:r>
          </w:p>
        </w:tc>
        <w:tc>
          <w:tcPr>
            <w:tcW w:type="dxa" w:w="1008"/>
          </w:tcPr>
          <w:p>
            <w:r>
              <w:rPr>
                <w:rFonts w:ascii="標楷體" w:hAnsi="標楷體" w:eastAsia="標楷體"/>
              </w:rPr>
              <w:t>正向</w:t>
            </w:r>
          </w:p>
        </w:tc>
      </w:tr>
      <w:tr>
        <w:tc>
          <w:tcPr>
            <w:tcW w:type="dxa" w:w="1008"/>
          </w:tcPr>
          <w:p>
            <w:r>
              <w:rPr>
                <w:rFonts w:ascii="標楷體" w:hAnsi="標楷體" w:eastAsia="標楷體"/>
              </w:rPr>
              <w:t>price_value_ratio</w:t>
            </w:r>
          </w:p>
        </w:tc>
        <w:tc>
          <w:tcPr>
            <w:tcW w:type="dxa" w:w="1008"/>
          </w:tcPr>
          <w:p>
            <w:r>
              <w:rPr>
                <w:rFonts w:ascii="標楷體" w:hAnsi="標楷體" w:eastAsia="標楷體"/>
              </w:rPr>
              <w:t>Price-to-Value Ratio</w:t>
            </w:r>
          </w:p>
        </w:tc>
        <w:tc>
          <w:tcPr>
            <w:tcW w:type="dxa" w:w="1008"/>
          </w:tcPr>
          <w:p>
            <w:r>
              <w:rPr>
                <w:rFonts w:ascii="標楷體" w:hAnsi="標楷體" w:eastAsia="標楷體"/>
              </w:rPr>
              <w:t>性價比</w:t>
            </w:r>
          </w:p>
        </w:tc>
        <w:tc>
          <w:tcPr>
            <w:tcW w:type="dxa" w:w="1008"/>
          </w:tcPr>
          <w:p>
            <w:r>
              <w:rPr>
                <w:rFonts w:ascii="標楷體" w:hAnsi="標楷體" w:eastAsia="標楷體"/>
              </w:rPr>
              <w:t>高階(high)</w:t>
            </w:r>
          </w:p>
        </w:tc>
        <w:tc>
          <w:tcPr>
            <w:tcW w:type="dxa" w:w="1008"/>
          </w:tcPr>
          <w:p>
            <w:r>
              <w:rPr>
                <w:rFonts w:ascii="標楷體" w:hAnsi="標楷體" w:eastAsia="標楷體"/>
              </w:rPr>
              <w:t>1.2132</w:t>
            </w:r>
          </w:p>
        </w:tc>
        <w:tc>
          <w:tcPr>
            <w:tcW w:type="dxa" w:w="1008"/>
          </w:tcPr>
          <w:p>
            <w:r>
              <w:rPr>
                <w:rFonts w:ascii="標楷體" w:hAnsi="標楷體" w:eastAsia="標楷體"/>
              </w:rPr>
              <w:t>0.1508</w:t>
            </w:r>
          </w:p>
        </w:tc>
        <w:tc>
          <w:tcPr>
            <w:tcW w:type="dxa" w:w="1008"/>
          </w:tcPr>
          <w:p>
            <w:r>
              <w:rPr>
                <w:rFonts w:ascii="標楷體" w:hAnsi="標楷體" w:eastAsia="標楷體"/>
              </w:rPr>
              <w:t>8.043</w:t>
            </w:r>
          </w:p>
        </w:tc>
        <w:tc>
          <w:tcPr>
            <w:tcW w:type="dxa" w:w="1008"/>
          </w:tcPr>
          <w:p>
            <w:r>
              <w:rPr>
                <w:rFonts w:ascii="標楷體" w:hAnsi="標楷體" w:eastAsia="標楷體"/>
              </w:rPr>
              <w:t>8.753e-16</w:t>
            </w:r>
          </w:p>
        </w:tc>
        <w:tc>
          <w:tcPr>
            <w:tcW w:type="dxa" w:w="1008"/>
          </w:tcPr>
          <w:p>
            <w:r>
              <w:rPr>
                <w:rFonts w:ascii="標楷體" w:hAnsi="標楷體" w:eastAsia="標楷體"/>
              </w:rPr>
              <w:t>3.364</w:t>
            </w:r>
          </w:p>
        </w:tc>
        <w:tc>
          <w:tcPr>
            <w:tcW w:type="dxa" w:w="1008"/>
          </w:tcPr>
          <w:p>
            <w:r>
              <w:rPr>
                <w:rFonts w:ascii="標楷體" w:hAnsi="標楷體" w:eastAsia="標楷體"/>
              </w:rPr>
              <w:t>正向</w:t>
            </w:r>
          </w:p>
        </w:tc>
      </w:tr>
      <w:tr>
        <w:tc>
          <w:tcPr>
            <w:tcW w:type="dxa" w:w="1008"/>
          </w:tcPr>
          <w:p>
            <w:r>
              <w:rPr>
                <w:rFonts w:ascii="標楷體" w:hAnsi="標楷體" w:eastAsia="標楷體"/>
              </w:rPr>
              <w:t>waterproof_rating_ipx8</w:t>
            </w:r>
          </w:p>
        </w:tc>
        <w:tc>
          <w:tcPr>
            <w:tcW w:type="dxa" w:w="1008"/>
          </w:tcPr>
          <w:p>
            <w:r>
              <w:rPr>
                <w:rFonts w:ascii="標楷體" w:hAnsi="標楷體" w:eastAsia="標楷體"/>
              </w:rPr>
              <w:t>IPX8 Waterproof Rating</w:t>
            </w:r>
          </w:p>
        </w:tc>
        <w:tc>
          <w:tcPr>
            <w:tcW w:type="dxa" w:w="1008"/>
          </w:tcPr>
          <w:p>
            <w:r>
              <w:rPr>
                <w:rFonts w:ascii="標楷體" w:hAnsi="標楷體" w:eastAsia="標楷體"/>
              </w:rPr>
              <w:t>IPX8防水等級</w:t>
            </w:r>
          </w:p>
        </w:tc>
        <w:tc>
          <w:tcPr>
            <w:tcW w:type="dxa" w:w="1008"/>
          </w:tcPr>
          <w:p>
            <w:r>
              <w:rPr>
                <w:rFonts w:ascii="標楷體" w:hAnsi="標楷體" w:eastAsia="標楷體"/>
              </w:rPr>
              <w:t>中階(mid)</w:t>
            </w:r>
          </w:p>
        </w:tc>
        <w:tc>
          <w:tcPr>
            <w:tcW w:type="dxa" w:w="1008"/>
          </w:tcPr>
          <w:p>
            <w:r>
              <w:rPr>
                <w:rFonts w:ascii="標楷體" w:hAnsi="標楷體" w:eastAsia="標楷體"/>
              </w:rPr>
              <w:t>0.8938</w:t>
            </w:r>
          </w:p>
        </w:tc>
        <w:tc>
          <w:tcPr>
            <w:tcW w:type="dxa" w:w="1008"/>
          </w:tcPr>
          <w:p>
            <w:r>
              <w:rPr>
                <w:rFonts w:ascii="標楷體" w:hAnsi="標楷體" w:eastAsia="標楷體"/>
              </w:rPr>
              <w:t>0.0775</w:t>
            </w:r>
          </w:p>
        </w:tc>
        <w:tc>
          <w:tcPr>
            <w:tcW w:type="dxa" w:w="1008"/>
          </w:tcPr>
          <w:p>
            <w:r>
              <w:rPr>
                <w:rFonts w:ascii="標楷體" w:hAnsi="標楷體" w:eastAsia="標楷體"/>
              </w:rPr>
              <w:t>11.529</w:t>
            </w:r>
          </w:p>
        </w:tc>
        <w:tc>
          <w:tcPr>
            <w:tcW w:type="dxa" w:w="1008"/>
          </w:tcPr>
          <w:p>
            <w:r>
              <w:rPr>
                <w:rFonts w:ascii="標楷體" w:hAnsi="標楷體" w:eastAsia="標楷體"/>
              </w:rPr>
              <w:t>9.432e-31</w:t>
            </w:r>
          </w:p>
        </w:tc>
        <w:tc>
          <w:tcPr>
            <w:tcW w:type="dxa" w:w="1008"/>
          </w:tcPr>
          <w:p>
            <w:r>
              <w:rPr>
                <w:rFonts w:ascii="標楷體" w:hAnsi="標楷體" w:eastAsia="標楷體"/>
              </w:rPr>
              <w:t>2.444</w:t>
            </w:r>
          </w:p>
        </w:tc>
        <w:tc>
          <w:tcPr>
            <w:tcW w:type="dxa" w:w="1008"/>
          </w:tcPr>
          <w:p>
            <w:r>
              <w:rPr>
                <w:rFonts w:ascii="標楷體" w:hAnsi="標楷體" w:eastAsia="標楷體"/>
              </w:rPr>
              <w:t>正向</w:t>
            </w:r>
          </w:p>
        </w:tc>
      </w:tr>
      <w:tr>
        <w:tc>
          <w:tcPr>
            <w:tcW w:type="dxa" w:w="1008"/>
          </w:tcPr>
          <w:p>
            <w:r>
              <w:rPr>
                <w:rFonts w:ascii="標楷體" w:hAnsi="標楷體" w:eastAsia="標楷體"/>
              </w:rPr>
              <w:t>blade_sharpness</w:t>
            </w:r>
          </w:p>
        </w:tc>
        <w:tc>
          <w:tcPr>
            <w:tcW w:type="dxa" w:w="1008"/>
          </w:tcPr>
          <w:p>
            <w:r>
              <w:rPr>
                <w:rFonts w:ascii="標楷體" w:hAnsi="標楷體" w:eastAsia="標楷體"/>
              </w:rPr>
              <w:t>Blade Sharpness</w:t>
            </w:r>
          </w:p>
        </w:tc>
        <w:tc>
          <w:tcPr>
            <w:tcW w:type="dxa" w:w="1008"/>
          </w:tcPr>
          <w:p>
            <w:r>
              <w:rPr>
                <w:rFonts w:ascii="標楷體" w:hAnsi="標楷體" w:eastAsia="標楷體"/>
              </w:rPr>
              <w:t>刀片鋒利度</w:t>
            </w:r>
          </w:p>
        </w:tc>
        <w:tc>
          <w:tcPr>
            <w:tcW w:type="dxa" w:w="1008"/>
          </w:tcPr>
          <w:p>
            <w:r>
              <w:rPr>
                <w:rFonts w:ascii="標楷體" w:hAnsi="標楷體" w:eastAsia="標楷體"/>
              </w:rPr>
              <w:t>高階(high)</w:t>
            </w:r>
          </w:p>
        </w:tc>
        <w:tc>
          <w:tcPr>
            <w:tcW w:type="dxa" w:w="1008"/>
          </w:tcPr>
          <w:p>
            <w:r>
              <w:rPr>
                <w:rFonts w:ascii="標楷體" w:hAnsi="標楷體" w:eastAsia="標楷體"/>
              </w:rPr>
              <w:t>0.8915</w:t>
            </w:r>
          </w:p>
        </w:tc>
        <w:tc>
          <w:tcPr>
            <w:tcW w:type="dxa" w:w="1008"/>
          </w:tcPr>
          <w:p>
            <w:r>
              <w:rPr>
                <w:rFonts w:ascii="標楷體" w:hAnsi="標楷體" w:eastAsia="標楷體"/>
              </w:rPr>
              <w:t>0.2069</w:t>
            </w:r>
          </w:p>
        </w:tc>
        <w:tc>
          <w:tcPr>
            <w:tcW w:type="dxa" w:w="1008"/>
          </w:tcPr>
          <w:p>
            <w:r>
              <w:rPr>
                <w:rFonts w:ascii="標楷體" w:hAnsi="標楷體" w:eastAsia="標楷體"/>
              </w:rPr>
              <w:t>4.309</w:t>
            </w:r>
          </w:p>
        </w:tc>
        <w:tc>
          <w:tcPr>
            <w:tcW w:type="dxa" w:w="1008"/>
          </w:tcPr>
          <w:p>
            <w:r>
              <w:rPr>
                <w:rFonts w:ascii="標楷體" w:hAnsi="標楷體" w:eastAsia="標楷體"/>
              </w:rPr>
              <w:t>1.639e-05</w:t>
            </w:r>
          </w:p>
        </w:tc>
        <w:tc>
          <w:tcPr>
            <w:tcW w:type="dxa" w:w="1008"/>
          </w:tcPr>
          <w:p>
            <w:r>
              <w:rPr>
                <w:rFonts w:ascii="標楷體" w:hAnsi="標楷體" w:eastAsia="標楷體"/>
              </w:rPr>
              <w:t>2.439</w:t>
            </w:r>
          </w:p>
        </w:tc>
        <w:tc>
          <w:tcPr>
            <w:tcW w:type="dxa" w:w="1008"/>
          </w:tcPr>
          <w:p>
            <w:r>
              <w:rPr>
                <w:rFonts w:ascii="標楷體" w:hAnsi="標楷體" w:eastAsia="標楷體"/>
              </w:rPr>
              <w:t>正向</w:t>
            </w:r>
          </w:p>
        </w:tc>
      </w:tr>
      <w:tr>
        <w:tc>
          <w:tcPr>
            <w:tcW w:type="dxa" w:w="1008"/>
          </w:tcPr>
          <w:p>
            <w:r>
              <w:rPr>
                <w:rFonts w:ascii="標楷體" w:hAnsi="標楷體" w:eastAsia="標楷體"/>
              </w:rPr>
              <w:t>rechargeable_design</w:t>
            </w:r>
          </w:p>
        </w:tc>
        <w:tc>
          <w:tcPr>
            <w:tcW w:type="dxa" w:w="1008"/>
          </w:tcPr>
          <w:p>
            <w:r>
              <w:rPr>
                <w:rFonts w:ascii="標楷體" w:hAnsi="標楷體" w:eastAsia="標楷體"/>
              </w:rPr>
              <w:t>Rechargeable Design</w:t>
            </w:r>
          </w:p>
        </w:tc>
        <w:tc>
          <w:tcPr>
            <w:tcW w:type="dxa" w:w="1008"/>
          </w:tcPr>
          <w:p>
            <w:r>
              <w:rPr>
                <w:rFonts w:ascii="標楷體" w:hAnsi="標楷體" w:eastAsia="標楷體"/>
              </w:rPr>
              <w:t>充電式設計</w:t>
            </w:r>
          </w:p>
        </w:tc>
        <w:tc>
          <w:tcPr>
            <w:tcW w:type="dxa" w:w="1008"/>
          </w:tcPr>
          <w:p>
            <w:r>
              <w:rPr>
                <w:rFonts w:ascii="標楷體" w:hAnsi="標楷體" w:eastAsia="標楷體"/>
              </w:rPr>
              <w:t>中階(mid)</w:t>
            </w:r>
          </w:p>
        </w:tc>
        <w:tc>
          <w:tcPr>
            <w:tcW w:type="dxa" w:w="1008"/>
          </w:tcPr>
          <w:p>
            <w:r>
              <w:rPr>
                <w:rFonts w:ascii="標楷體" w:hAnsi="標楷體" w:eastAsia="標楷體"/>
              </w:rPr>
              <w:t>0.6162</w:t>
            </w:r>
          </w:p>
        </w:tc>
        <w:tc>
          <w:tcPr>
            <w:tcW w:type="dxa" w:w="1008"/>
          </w:tcPr>
          <w:p>
            <w:r>
              <w:rPr>
                <w:rFonts w:ascii="標楷體" w:hAnsi="標楷體" w:eastAsia="標楷體"/>
              </w:rPr>
              <w:t>0.0888</w:t>
            </w:r>
          </w:p>
        </w:tc>
        <w:tc>
          <w:tcPr>
            <w:tcW w:type="dxa" w:w="1008"/>
          </w:tcPr>
          <w:p>
            <w:r>
              <w:rPr>
                <w:rFonts w:ascii="標楷體" w:hAnsi="標楷體" w:eastAsia="標楷體"/>
              </w:rPr>
              <w:t>6.942</w:t>
            </w:r>
          </w:p>
        </w:tc>
        <w:tc>
          <w:tcPr>
            <w:tcW w:type="dxa" w:w="1008"/>
          </w:tcPr>
          <w:p>
            <w:r>
              <w:rPr>
                <w:rFonts w:ascii="標楷體" w:hAnsi="標楷體" w:eastAsia="標楷體"/>
              </w:rPr>
              <w:t>3.869e-12</w:t>
            </w:r>
          </w:p>
        </w:tc>
        <w:tc>
          <w:tcPr>
            <w:tcW w:type="dxa" w:w="1008"/>
          </w:tcPr>
          <w:p>
            <w:r>
              <w:rPr>
                <w:rFonts w:ascii="標楷體" w:hAnsi="標楷體" w:eastAsia="標楷體"/>
              </w:rPr>
              <w:t>1.852</w:t>
            </w:r>
          </w:p>
        </w:tc>
        <w:tc>
          <w:tcPr>
            <w:tcW w:type="dxa" w:w="1008"/>
          </w:tcPr>
          <w:p>
            <w:r>
              <w:rPr>
                <w:rFonts w:ascii="標楷體" w:hAnsi="標楷體" w:eastAsia="標楷體"/>
              </w:rPr>
              <w:t>正向</w:t>
            </w:r>
          </w:p>
        </w:tc>
      </w:tr>
      <w:tr>
        <w:tc>
          <w:tcPr>
            <w:tcW w:type="dxa" w:w="1008"/>
          </w:tcPr>
          <w:p>
            <w:r>
              <w:rPr>
                <w:rFonts w:ascii="標楷體" w:hAnsi="標楷體" w:eastAsia="標楷體"/>
              </w:rPr>
              <w:t>motor_power_rpm</w:t>
            </w:r>
          </w:p>
        </w:tc>
        <w:tc>
          <w:tcPr>
            <w:tcW w:type="dxa" w:w="1008"/>
          </w:tcPr>
          <w:p>
            <w:r>
              <w:rPr>
                <w:rFonts w:ascii="標楷體" w:hAnsi="標楷體" w:eastAsia="標楷體"/>
              </w:rPr>
              <w:t>Motor Power / Speed</w:t>
            </w:r>
          </w:p>
        </w:tc>
        <w:tc>
          <w:tcPr>
            <w:tcW w:type="dxa" w:w="1008"/>
          </w:tcPr>
          <w:p>
            <w:r>
              <w:rPr>
                <w:rFonts w:ascii="標楷體" w:hAnsi="標楷體" w:eastAsia="標楷體"/>
              </w:rPr>
              <w:t>馬達功率轉速</w:t>
            </w:r>
          </w:p>
        </w:tc>
        <w:tc>
          <w:tcPr>
            <w:tcW w:type="dxa" w:w="1008"/>
          </w:tcPr>
          <w:p>
            <w:r>
              <w:rPr>
                <w:rFonts w:ascii="標楷體" w:hAnsi="標楷體" w:eastAsia="標楷體"/>
              </w:rPr>
              <w:t>高階(high)</w:t>
            </w:r>
          </w:p>
        </w:tc>
        <w:tc>
          <w:tcPr>
            <w:tcW w:type="dxa" w:w="1008"/>
          </w:tcPr>
          <w:p>
            <w:r>
              <w:rPr>
                <w:rFonts w:ascii="標楷體" w:hAnsi="標楷體" w:eastAsia="標楷體"/>
              </w:rPr>
              <w:t>0.5415</w:t>
            </w:r>
          </w:p>
        </w:tc>
        <w:tc>
          <w:tcPr>
            <w:tcW w:type="dxa" w:w="1008"/>
          </w:tcPr>
          <w:p>
            <w:r>
              <w:rPr>
                <w:rFonts w:ascii="標楷體" w:hAnsi="標楷體" w:eastAsia="標楷體"/>
              </w:rPr>
              <w:t>0.1705</w:t>
            </w:r>
          </w:p>
        </w:tc>
        <w:tc>
          <w:tcPr>
            <w:tcW w:type="dxa" w:w="1008"/>
          </w:tcPr>
          <w:p>
            <w:r>
              <w:rPr>
                <w:rFonts w:ascii="標楷體" w:hAnsi="標楷體" w:eastAsia="標楷體"/>
              </w:rPr>
              <w:t>3.175</w:t>
            </w:r>
          </w:p>
        </w:tc>
        <w:tc>
          <w:tcPr>
            <w:tcW w:type="dxa" w:w="1008"/>
          </w:tcPr>
          <w:p>
            <w:r>
              <w:rPr>
                <w:rFonts w:ascii="標楷體" w:hAnsi="標楷體" w:eastAsia="標楷體"/>
              </w:rPr>
              <w:t>0.001496</w:t>
            </w:r>
          </w:p>
        </w:tc>
        <w:tc>
          <w:tcPr>
            <w:tcW w:type="dxa" w:w="1008"/>
          </w:tcPr>
          <w:p>
            <w:r>
              <w:rPr>
                <w:rFonts w:ascii="標楷體" w:hAnsi="標楷體" w:eastAsia="標楷體"/>
              </w:rPr>
              <w:t>1.719</w:t>
            </w:r>
          </w:p>
        </w:tc>
        <w:tc>
          <w:tcPr>
            <w:tcW w:type="dxa" w:w="1008"/>
          </w:tcPr>
          <w:p>
            <w:r>
              <w:rPr>
                <w:rFonts w:ascii="標楷體" w:hAnsi="標楷體" w:eastAsia="標楷體"/>
              </w:rPr>
              <w:t>正向</w:t>
            </w:r>
          </w:p>
        </w:tc>
      </w:tr>
      <w:tr>
        <w:tc>
          <w:tcPr>
            <w:tcW w:type="dxa" w:w="1008"/>
          </w:tcPr>
          <w:p>
            <w:r>
              <w:rPr>
                <w:rFonts w:ascii="標楷體" w:hAnsi="標楷體" w:eastAsia="標楷體"/>
              </w:rPr>
              <w:t>ease_of_use_overall</w:t>
            </w:r>
          </w:p>
        </w:tc>
        <w:tc>
          <w:tcPr>
            <w:tcW w:type="dxa" w:w="1008"/>
          </w:tcPr>
          <w:p>
            <w:r>
              <w:rPr>
                <w:rFonts w:ascii="標楷體" w:hAnsi="標楷體" w:eastAsia="標楷體"/>
              </w:rPr>
              <w:t>Ease of Use (Overall)</w:t>
            </w:r>
          </w:p>
        </w:tc>
        <w:tc>
          <w:tcPr>
            <w:tcW w:type="dxa" w:w="1008"/>
          </w:tcPr>
          <w:p>
            <w:r>
              <w:rPr>
                <w:rFonts w:ascii="標楷體" w:hAnsi="標楷體" w:eastAsia="標楷體"/>
              </w:rPr>
              <w:t>整體易用性</w:t>
            </w:r>
          </w:p>
        </w:tc>
        <w:tc>
          <w:tcPr>
            <w:tcW w:type="dxa" w:w="1008"/>
          </w:tcPr>
          <w:p>
            <w:r>
              <w:rPr>
                <w:rFonts w:ascii="標楷體" w:hAnsi="標楷體" w:eastAsia="標楷體"/>
              </w:rPr>
              <w:t>中階(mid)</w:t>
            </w:r>
          </w:p>
        </w:tc>
        <w:tc>
          <w:tcPr>
            <w:tcW w:type="dxa" w:w="1008"/>
          </w:tcPr>
          <w:p>
            <w:r>
              <w:rPr>
                <w:rFonts w:ascii="標楷體" w:hAnsi="標楷體" w:eastAsia="標楷體"/>
              </w:rPr>
              <w:t>0.5148</w:t>
            </w:r>
          </w:p>
        </w:tc>
        <w:tc>
          <w:tcPr>
            <w:tcW w:type="dxa" w:w="1008"/>
          </w:tcPr>
          <w:p>
            <w:r>
              <w:rPr>
                <w:rFonts w:ascii="標楷體" w:hAnsi="標楷體" w:eastAsia="標楷體"/>
              </w:rPr>
              <w:t>0.0871</w:t>
            </w:r>
          </w:p>
        </w:tc>
        <w:tc>
          <w:tcPr>
            <w:tcW w:type="dxa" w:w="1008"/>
          </w:tcPr>
          <w:p>
            <w:r>
              <w:rPr>
                <w:rFonts w:ascii="標楷體" w:hAnsi="標楷體" w:eastAsia="標楷體"/>
              </w:rPr>
              <w:t>5.911</w:t>
            </w:r>
          </w:p>
        </w:tc>
        <w:tc>
          <w:tcPr>
            <w:tcW w:type="dxa" w:w="1008"/>
          </w:tcPr>
          <w:p>
            <w:r>
              <w:rPr>
                <w:rFonts w:ascii="標楷體" w:hAnsi="標楷體" w:eastAsia="標楷體"/>
              </w:rPr>
              <w:t>3.398e-09</w:t>
            </w:r>
          </w:p>
        </w:tc>
        <w:tc>
          <w:tcPr>
            <w:tcW w:type="dxa" w:w="1008"/>
          </w:tcPr>
          <w:p>
            <w:r>
              <w:rPr>
                <w:rFonts w:ascii="標楷體" w:hAnsi="標楷體" w:eastAsia="標楷體"/>
              </w:rPr>
              <w:t>1.673</w:t>
            </w:r>
          </w:p>
        </w:tc>
        <w:tc>
          <w:tcPr>
            <w:tcW w:type="dxa" w:w="1008"/>
          </w:tcPr>
          <w:p>
            <w:r>
              <w:rPr>
                <w:rFonts w:ascii="標楷體" w:hAnsi="標楷體" w:eastAsia="標楷體"/>
              </w:rPr>
              <w:t>正向</w:t>
            </w:r>
          </w:p>
        </w:tc>
      </w:tr>
      <w:tr>
        <w:tc>
          <w:tcPr>
            <w:tcW w:type="dxa" w:w="1008"/>
          </w:tcPr>
          <w:p>
            <w:r>
              <w:rPr>
                <w:rFonts w:ascii="標楷體" w:hAnsi="標楷體" w:eastAsia="標楷體"/>
              </w:rPr>
              <w:t>price_value_ratio</w:t>
            </w:r>
          </w:p>
        </w:tc>
        <w:tc>
          <w:tcPr>
            <w:tcW w:type="dxa" w:w="1008"/>
          </w:tcPr>
          <w:p>
            <w:r>
              <w:rPr>
                <w:rFonts w:ascii="標楷體" w:hAnsi="標楷體" w:eastAsia="標楷體"/>
              </w:rPr>
              <w:t>Price-to-Value Ratio</w:t>
            </w:r>
          </w:p>
        </w:tc>
        <w:tc>
          <w:tcPr>
            <w:tcW w:type="dxa" w:w="1008"/>
          </w:tcPr>
          <w:p>
            <w:r>
              <w:rPr>
                <w:rFonts w:ascii="標楷體" w:hAnsi="標楷體" w:eastAsia="標楷體"/>
              </w:rPr>
              <w:t>性價比</w:t>
            </w:r>
          </w:p>
        </w:tc>
        <w:tc>
          <w:tcPr>
            <w:tcW w:type="dxa" w:w="1008"/>
          </w:tcPr>
          <w:p>
            <w:r>
              <w:rPr>
                <w:rFonts w:ascii="標楷體" w:hAnsi="標楷體" w:eastAsia="標楷體"/>
              </w:rPr>
              <w:t>中階(mid)</w:t>
            </w:r>
          </w:p>
        </w:tc>
        <w:tc>
          <w:tcPr>
            <w:tcW w:type="dxa" w:w="1008"/>
          </w:tcPr>
          <w:p>
            <w:r>
              <w:rPr>
                <w:rFonts w:ascii="標楷體" w:hAnsi="標楷體" w:eastAsia="標楷體"/>
              </w:rPr>
              <w:t>0.3679</w:t>
            </w:r>
          </w:p>
        </w:tc>
        <w:tc>
          <w:tcPr>
            <w:tcW w:type="dxa" w:w="1008"/>
          </w:tcPr>
          <w:p>
            <w:r>
              <w:rPr>
                <w:rFonts w:ascii="標楷體" w:hAnsi="標楷體" w:eastAsia="標楷體"/>
              </w:rPr>
              <w:t>0.0887</w:t>
            </w:r>
          </w:p>
        </w:tc>
        <w:tc>
          <w:tcPr>
            <w:tcW w:type="dxa" w:w="1008"/>
          </w:tcPr>
          <w:p>
            <w:r>
              <w:rPr>
                <w:rFonts w:ascii="標楷體" w:hAnsi="標楷體" w:eastAsia="標楷體"/>
              </w:rPr>
              <w:t>4.146</w:t>
            </w:r>
          </w:p>
        </w:tc>
        <w:tc>
          <w:tcPr>
            <w:tcW w:type="dxa" w:w="1008"/>
          </w:tcPr>
          <w:p>
            <w:r>
              <w:rPr>
                <w:rFonts w:ascii="標楷體" w:hAnsi="標楷體" w:eastAsia="標楷體"/>
              </w:rPr>
              <w:t>3.383e-05</w:t>
            </w:r>
          </w:p>
        </w:tc>
        <w:tc>
          <w:tcPr>
            <w:tcW w:type="dxa" w:w="1008"/>
          </w:tcPr>
          <w:p>
            <w:r>
              <w:rPr>
                <w:rFonts w:ascii="標楷體" w:hAnsi="標楷體" w:eastAsia="標楷體"/>
              </w:rPr>
              <w:t>1.445</w:t>
            </w:r>
          </w:p>
        </w:tc>
        <w:tc>
          <w:tcPr>
            <w:tcW w:type="dxa" w:w="1008"/>
          </w:tcPr>
          <w:p>
            <w:r>
              <w:rPr>
                <w:rFonts w:ascii="標楷體" w:hAnsi="標楷體" w:eastAsia="標楷體"/>
              </w:rPr>
              <w:t>正向</w:t>
            </w:r>
          </w:p>
        </w:tc>
      </w:tr>
      <w:tr>
        <w:tc>
          <w:tcPr>
            <w:tcW w:type="dxa" w:w="1008"/>
          </w:tcPr>
          <w:p>
            <w:r>
              <w:rPr>
                <w:rFonts w:ascii="標楷體" w:hAnsi="標楷體" w:eastAsia="標楷體"/>
              </w:rPr>
              <w:t>waterproof_rating_ipx8</w:t>
            </w:r>
          </w:p>
        </w:tc>
        <w:tc>
          <w:tcPr>
            <w:tcW w:type="dxa" w:w="1008"/>
          </w:tcPr>
          <w:p>
            <w:r>
              <w:rPr>
                <w:rFonts w:ascii="標楷體" w:hAnsi="標楷體" w:eastAsia="標楷體"/>
              </w:rPr>
              <w:t>IPX8 Waterproof Rating</w:t>
            </w:r>
          </w:p>
        </w:tc>
        <w:tc>
          <w:tcPr>
            <w:tcW w:type="dxa" w:w="1008"/>
          </w:tcPr>
          <w:p>
            <w:r>
              <w:rPr>
                <w:rFonts w:ascii="標楷體" w:hAnsi="標楷體" w:eastAsia="標楷體"/>
              </w:rPr>
              <w:t>IPX8防水等級</w:t>
            </w:r>
          </w:p>
        </w:tc>
        <w:tc>
          <w:tcPr>
            <w:tcW w:type="dxa" w:w="1008"/>
          </w:tcPr>
          <w:p>
            <w:r>
              <w:rPr>
                <w:rFonts w:ascii="標楷體" w:hAnsi="標楷體" w:eastAsia="標楷體"/>
              </w:rPr>
              <w:t>高階(high)</w:t>
            </w:r>
          </w:p>
        </w:tc>
        <w:tc>
          <w:tcPr>
            <w:tcW w:type="dxa" w:w="1008"/>
          </w:tcPr>
          <w:p>
            <w:r>
              <w:rPr>
                <w:rFonts w:ascii="標楷體" w:hAnsi="標楷體" w:eastAsia="標楷體"/>
              </w:rPr>
              <w:t>0.3365</w:t>
            </w:r>
          </w:p>
        </w:tc>
        <w:tc>
          <w:tcPr>
            <w:tcW w:type="dxa" w:w="1008"/>
          </w:tcPr>
          <w:p>
            <w:r>
              <w:rPr>
                <w:rFonts w:ascii="標楷體" w:hAnsi="標楷體" w:eastAsia="標楷體"/>
              </w:rPr>
              <w:t>0.2863</w:t>
            </w:r>
          </w:p>
        </w:tc>
        <w:tc>
          <w:tcPr>
            <w:tcW w:type="dxa" w:w="1008"/>
          </w:tcPr>
          <w:p>
            <w:r>
              <w:rPr>
                <w:rFonts w:ascii="標楷體" w:hAnsi="標楷體" w:eastAsia="標楷體"/>
              </w:rPr>
              <w:t>1.176</w:t>
            </w:r>
          </w:p>
        </w:tc>
        <w:tc>
          <w:tcPr>
            <w:tcW w:type="dxa" w:w="1008"/>
          </w:tcPr>
          <w:p>
            <w:r>
              <w:rPr>
                <w:rFonts w:ascii="標楷體" w:hAnsi="標楷體" w:eastAsia="標楷體"/>
              </w:rPr>
              <w:t>0.2397</w:t>
            </w:r>
          </w:p>
        </w:tc>
        <w:tc>
          <w:tcPr>
            <w:tcW w:type="dxa" w:w="1008"/>
          </w:tcPr>
          <w:p>
            <w:r>
              <w:rPr>
                <w:rFonts w:ascii="標楷體" w:hAnsi="標楷體" w:eastAsia="標楷體"/>
              </w:rPr>
              <w:t>1.4</w:t>
            </w:r>
          </w:p>
        </w:tc>
        <w:tc>
          <w:tcPr>
            <w:tcW w:type="dxa" w:w="1008"/>
          </w:tcPr>
          <w:p>
            <w:r>
              <w:rPr>
                <w:rFonts w:ascii="標楷體" w:hAnsi="標楷體" w:eastAsia="標楷體"/>
              </w:rPr>
              <w:t>正向</w:t>
            </w:r>
          </w:p>
        </w:tc>
      </w:tr>
      <w:tr>
        <w:tc>
          <w:tcPr>
            <w:tcW w:type="dxa" w:w="1008"/>
          </w:tcPr>
          <w:p>
            <w:r>
              <w:rPr>
                <w:rFonts w:ascii="標楷體" w:hAnsi="標楷體" w:eastAsia="標楷體"/>
              </w:rPr>
              <w:t>blade_hair_pulling</w:t>
            </w:r>
          </w:p>
        </w:tc>
        <w:tc>
          <w:tcPr>
            <w:tcW w:type="dxa" w:w="1008"/>
          </w:tcPr>
          <w:p>
            <w:r>
              <w:rPr>
                <w:rFonts w:ascii="標楷體" w:hAnsi="標楷體" w:eastAsia="標楷體"/>
              </w:rPr>
              <w:t>Blade Hair Pulling / Snagging</w:t>
            </w:r>
          </w:p>
        </w:tc>
        <w:tc>
          <w:tcPr>
            <w:tcW w:type="dxa" w:w="1008"/>
          </w:tcPr>
          <w:p>
            <w:r>
              <w:rPr>
                <w:rFonts w:ascii="標楷體" w:hAnsi="標楷體" w:eastAsia="標楷體"/>
              </w:rPr>
              <w:t>刀片拉毛問題</w:t>
            </w:r>
          </w:p>
        </w:tc>
        <w:tc>
          <w:tcPr>
            <w:tcW w:type="dxa" w:w="1008"/>
          </w:tcPr>
          <w:p>
            <w:r>
              <w:rPr>
                <w:rFonts w:ascii="標楷體" w:hAnsi="標楷體" w:eastAsia="標楷體"/>
              </w:rPr>
              <w:t>中階(mid)</w:t>
            </w:r>
          </w:p>
        </w:tc>
        <w:tc>
          <w:tcPr>
            <w:tcW w:type="dxa" w:w="1008"/>
          </w:tcPr>
          <w:p>
            <w:r>
              <w:rPr>
                <w:rFonts w:ascii="標楷體" w:hAnsi="標楷體" w:eastAsia="標楷體"/>
              </w:rPr>
              <w:t>0.2961</w:t>
            </w:r>
          </w:p>
        </w:tc>
        <w:tc>
          <w:tcPr>
            <w:tcW w:type="dxa" w:w="1008"/>
          </w:tcPr>
          <w:p>
            <w:r>
              <w:rPr>
                <w:rFonts w:ascii="標楷體" w:hAnsi="標楷體" w:eastAsia="標楷體"/>
              </w:rPr>
              <w:t>0.151</w:t>
            </w:r>
          </w:p>
        </w:tc>
        <w:tc>
          <w:tcPr>
            <w:tcW w:type="dxa" w:w="1008"/>
          </w:tcPr>
          <w:p>
            <w:r>
              <w:rPr>
                <w:rFonts w:ascii="標楷體" w:hAnsi="標楷體" w:eastAsia="標楷體"/>
              </w:rPr>
              <w:t>1.962</w:t>
            </w:r>
          </w:p>
        </w:tc>
        <w:tc>
          <w:tcPr>
            <w:tcW w:type="dxa" w:w="1008"/>
          </w:tcPr>
          <w:p>
            <w:r>
              <w:rPr>
                <w:rFonts w:ascii="標楷體" w:hAnsi="標楷體" w:eastAsia="標楷體"/>
              </w:rPr>
              <w:t>0.04982</w:t>
            </w:r>
          </w:p>
        </w:tc>
        <w:tc>
          <w:tcPr>
            <w:tcW w:type="dxa" w:w="1008"/>
          </w:tcPr>
          <w:p>
            <w:r>
              <w:rPr>
                <w:rFonts w:ascii="標楷體" w:hAnsi="標楷體" w:eastAsia="標楷體"/>
              </w:rPr>
              <w:t>1.345</w:t>
            </w:r>
          </w:p>
        </w:tc>
        <w:tc>
          <w:tcPr>
            <w:tcW w:type="dxa" w:w="1008"/>
          </w:tcPr>
          <w:p>
            <w:r>
              <w:rPr>
                <w:rFonts w:ascii="標楷體" w:hAnsi="標楷體" w:eastAsia="標楷體"/>
              </w:rPr>
              <w:t>正向</w:t>
            </w:r>
          </w:p>
        </w:tc>
      </w:tr>
      <w:tr>
        <w:tc>
          <w:tcPr>
            <w:tcW w:type="dxa" w:w="1008"/>
          </w:tcPr>
          <w:p>
            <w:r>
              <w:rPr>
                <w:rFonts w:ascii="標楷體" w:hAnsi="標楷體" w:eastAsia="標楷體"/>
              </w:rPr>
              <w:t>rechargeable_design</w:t>
            </w:r>
          </w:p>
        </w:tc>
        <w:tc>
          <w:tcPr>
            <w:tcW w:type="dxa" w:w="1008"/>
          </w:tcPr>
          <w:p>
            <w:r>
              <w:rPr>
                <w:rFonts w:ascii="標楷體" w:hAnsi="標楷體" w:eastAsia="標楷體"/>
              </w:rPr>
              <w:t>Rechargeable Design</w:t>
            </w:r>
          </w:p>
        </w:tc>
        <w:tc>
          <w:tcPr>
            <w:tcW w:type="dxa" w:w="1008"/>
          </w:tcPr>
          <w:p>
            <w:r>
              <w:rPr>
                <w:rFonts w:ascii="標楷體" w:hAnsi="標楷體" w:eastAsia="標楷體"/>
              </w:rPr>
              <w:t>充電式設計</w:t>
            </w:r>
          </w:p>
        </w:tc>
        <w:tc>
          <w:tcPr>
            <w:tcW w:type="dxa" w:w="1008"/>
          </w:tcPr>
          <w:p>
            <w:r>
              <w:rPr>
                <w:rFonts w:ascii="標楷體" w:hAnsi="標楷體" w:eastAsia="標楷體"/>
              </w:rPr>
              <w:t>高階(high)</w:t>
            </w:r>
          </w:p>
        </w:tc>
        <w:tc>
          <w:tcPr>
            <w:tcW w:type="dxa" w:w="1008"/>
          </w:tcPr>
          <w:p>
            <w:r>
              <w:rPr>
                <w:rFonts w:ascii="標楷體" w:hAnsi="標楷體" w:eastAsia="標楷體"/>
              </w:rPr>
              <w:t>0.2828</w:t>
            </w:r>
          </w:p>
        </w:tc>
        <w:tc>
          <w:tcPr>
            <w:tcW w:type="dxa" w:w="1008"/>
          </w:tcPr>
          <w:p>
            <w:r>
              <w:rPr>
                <w:rFonts w:ascii="標楷體" w:hAnsi="標楷體" w:eastAsia="標楷體"/>
              </w:rPr>
              <w:t>0.1748</w:t>
            </w:r>
          </w:p>
        </w:tc>
        <w:tc>
          <w:tcPr>
            <w:tcW w:type="dxa" w:w="1008"/>
          </w:tcPr>
          <w:p>
            <w:r>
              <w:rPr>
                <w:rFonts w:ascii="標楷體" w:hAnsi="標楷體" w:eastAsia="標楷體"/>
              </w:rPr>
              <w:t>1.618</w:t>
            </w:r>
          </w:p>
        </w:tc>
        <w:tc>
          <w:tcPr>
            <w:tcW w:type="dxa" w:w="1008"/>
          </w:tcPr>
          <w:p>
            <w:r>
              <w:rPr>
                <w:rFonts w:ascii="標楷體" w:hAnsi="標楷體" w:eastAsia="標楷體"/>
              </w:rPr>
              <w:t>0.1058</w:t>
            </w:r>
          </w:p>
        </w:tc>
        <w:tc>
          <w:tcPr>
            <w:tcW w:type="dxa" w:w="1008"/>
          </w:tcPr>
          <w:p>
            <w:r>
              <w:rPr>
                <w:rFonts w:ascii="標楷體" w:hAnsi="標楷體" w:eastAsia="標楷體"/>
              </w:rPr>
              <w:t>1.327</w:t>
            </w:r>
          </w:p>
        </w:tc>
        <w:tc>
          <w:tcPr>
            <w:tcW w:type="dxa" w:w="1008"/>
          </w:tcPr>
          <w:p>
            <w:r>
              <w:rPr>
                <w:rFonts w:ascii="標楷體" w:hAnsi="標楷體" w:eastAsia="標楷體"/>
              </w:rPr>
              <w:t>正向</w:t>
            </w:r>
          </w:p>
        </w:tc>
      </w:tr>
      <w:tr>
        <w:tc>
          <w:tcPr>
            <w:tcW w:type="dxa" w:w="1008"/>
          </w:tcPr>
          <w:p>
            <w:r>
              <w:rPr>
                <w:rFonts w:ascii="標楷體" w:hAnsi="標楷體" w:eastAsia="標楷體"/>
              </w:rPr>
              <w:t>motor_power_rpm</w:t>
            </w:r>
          </w:p>
        </w:tc>
        <w:tc>
          <w:tcPr>
            <w:tcW w:type="dxa" w:w="1008"/>
          </w:tcPr>
          <w:p>
            <w:r>
              <w:rPr>
                <w:rFonts w:ascii="標楷體" w:hAnsi="標楷體" w:eastAsia="標楷體"/>
              </w:rPr>
              <w:t>Motor Power / Speed</w:t>
            </w:r>
          </w:p>
        </w:tc>
        <w:tc>
          <w:tcPr>
            <w:tcW w:type="dxa" w:w="1008"/>
          </w:tcPr>
          <w:p>
            <w:r>
              <w:rPr>
                <w:rFonts w:ascii="標楷體" w:hAnsi="標楷體" w:eastAsia="標楷體"/>
              </w:rPr>
              <w:t>馬達功率轉速</w:t>
            </w:r>
          </w:p>
        </w:tc>
        <w:tc>
          <w:tcPr>
            <w:tcW w:type="dxa" w:w="1008"/>
          </w:tcPr>
          <w:p>
            <w:r>
              <w:rPr>
                <w:rFonts w:ascii="標楷體" w:hAnsi="標楷體" w:eastAsia="標楷體"/>
              </w:rPr>
              <w:t>中階(mid)</w:t>
            </w:r>
          </w:p>
        </w:tc>
        <w:tc>
          <w:tcPr>
            <w:tcW w:type="dxa" w:w="1008"/>
          </w:tcPr>
          <w:p>
            <w:r>
              <w:rPr>
                <w:rFonts w:ascii="標楷體" w:hAnsi="標楷體" w:eastAsia="標楷體"/>
              </w:rPr>
              <w:t>0.1881</w:t>
            </w:r>
          </w:p>
        </w:tc>
        <w:tc>
          <w:tcPr>
            <w:tcW w:type="dxa" w:w="1008"/>
          </w:tcPr>
          <w:p>
            <w:r>
              <w:rPr>
                <w:rFonts w:ascii="標楷體" w:hAnsi="標楷體" w:eastAsia="標楷體"/>
              </w:rPr>
              <w:t>0.1167</w:t>
            </w:r>
          </w:p>
        </w:tc>
        <w:tc>
          <w:tcPr>
            <w:tcW w:type="dxa" w:w="1008"/>
          </w:tcPr>
          <w:p>
            <w:r>
              <w:rPr>
                <w:rFonts w:ascii="標楷體" w:hAnsi="標楷體" w:eastAsia="標楷體"/>
              </w:rPr>
              <w:t>1.612</w:t>
            </w:r>
          </w:p>
        </w:tc>
        <w:tc>
          <w:tcPr>
            <w:tcW w:type="dxa" w:w="1008"/>
          </w:tcPr>
          <w:p>
            <w:r>
              <w:rPr>
                <w:rFonts w:ascii="標楷體" w:hAnsi="標楷體" w:eastAsia="標楷體"/>
              </w:rPr>
              <w:t>0.107</w:t>
            </w:r>
          </w:p>
        </w:tc>
        <w:tc>
          <w:tcPr>
            <w:tcW w:type="dxa" w:w="1008"/>
          </w:tcPr>
          <w:p>
            <w:r>
              <w:rPr>
                <w:rFonts w:ascii="標楷體" w:hAnsi="標楷體" w:eastAsia="標楷體"/>
              </w:rPr>
              <w:t>1.207</w:t>
            </w:r>
          </w:p>
        </w:tc>
        <w:tc>
          <w:tcPr>
            <w:tcW w:type="dxa" w:w="1008"/>
          </w:tcPr>
          <w:p>
            <w:r>
              <w:rPr>
                <w:rFonts w:ascii="標楷體" w:hAnsi="標楷體" w:eastAsia="標楷體"/>
              </w:rPr>
              <w:t>正向</w:t>
            </w:r>
          </w:p>
        </w:tc>
      </w:tr>
      <w:tr>
        <w:tc>
          <w:tcPr>
            <w:tcW w:type="dxa" w:w="1008"/>
          </w:tcPr>
          <w:p>
            <w:r>
              <w:rPr>
                <w:rFonts w:ascii="標楷體" w:hAnsi="標楷體" w:eastAsia="標楷體"/>
              </w:rPr>
              <w:t>blade_sharpness</w:t>
            </w:r>
          </w:p>
        </w:tc>
        <w:tc>
          <w:tcPr>
            <w:tcW w:type="dxa" w:w="1008"/>
          </w:tcPr>
          <w:p>
            <w:r>
              <w:rPr>
                <w:rFonts w:ascii="標楷體" w:hAnsi="標楷體" w:eastAsia="標楷體"/>
              </w:rPr>
              <w:t>Blade Sharpness</w:t>
            </w:r>
          </w:p>
        </w:tc>
        <w:tc>
          <w:tcPr>
            <w:tcW w:type="dxa" w:w="1008"/>
          </w:tcPr>
          <w:p>
            <w:r>
              <w:rPr>
                <w:rFonts w:ascii="標楷體" w:hAnsi="標楷體" w:eastAsia="標楷體"/>
              </w:rPr>
              <w:t>刀片鋒利度</w:t>
            </w:r>
          </w:p>
        </w:tc>
        <w:tc>
          <w:tcPr>
            <w:tcW w:type="dxa" w:w="1008"/>
          </w:tcPr>
          <w:p>
            <w:r>
              <w:rPr>
                <w:rFonts w:ascii="標楷體" w:hAnsi="標楷體" w:eastAsia="標楷體"/>
              </w:rPr>
              <w:t>中階(mid)</w:t>
            </w:r>
          </w:p>
        </w:tc>
        <w:tc>
          <w:tcPr>
            <w:tcW w:type="dxa" w:w="1008"/>
          </w:tcPr>
          <w:p>
            <w:r>
              <w:rPr>
                <w:rFonts w:ascii="標楷體" w:hAnsi="標楷體" w:eastAsia="標楷體"/>
              </w:rPr>
              <w:t>0.1134</w:t>
            </w:r>
          </w:p>
        </w:tc>
        <w:tc>
          <w:tcPr>
            <w:tcW w:type="dxa" w:w="1008"/>
          </w:tcPr>
          <w:p>
            <w:r>
              <w:rPr>
                <w:rFonts w:ascii="標楷體" w:hAnsi="標楷體" w:eastAsia="標楷體"/>
              </w:rPr>
              <w:t>0.083</w:t>
            </w:r>
          </w:p>
        </w:tc>
        <w:tc>
          <w:tcPr>
            <w:tcW w:type="dxa" w:w="1008"/>
          </w:tcPr>
          <w:p>
            <w:r>
              <w:rPr>
                <w:rFonts w:ascii="標楷體" w:hAnsi="標楷體" w:eastAsia="標楷體"/>
              </w:rPr>
              <w:t>1.366</w:t>
            </w:r>
          </w:p>
        </w:tc>
        <w:tc>
          <w:tcPr>
            <w:tcW w:type="dxa" w:w="1008"/>
          </w:tcPr>
          <w:p>
            <w:r>
              <w:rPr>
                <w:rFonts w:ascii="標楷體" w:hAnsi="標楷體" w:eastAsia="標楷體"/>
              </w:rPr>
              <w:t>0.1721</w:t>
            </w:r>
          </w:p>
        </w:tc>
        <w:tc>
          <w:tcPr>
            <w:tcW w:type="dxa" w:w="1008"/>
          </w:tcPr>
          <w:p>
            <w:r>
              <w:rPr>
                <w:rFonts w:ascii="標楷體" w:hAnsi="標楷體" w:eastAsia="標楷體"/>
              </w:rPr>
              <w:t>1.12</w:t>
            </w:r>
          </w:p>
        </w:tc>
        <w:tc>
          <w:tcPr>
            <w:tcW w:type="dxa" w:w="1008"/>
          </w:tcPr>
          <w:p>
            <w:r>
              <w:rPr>
                <w:rFonts w:ascii="標楷體" w:hAnsi="標楷體" w:eastAsia="標楷體"/>
              </w:rPr>
              <w:t>正向</w:t>
            </w:r>
          </w:p>
        </w:tc>
      </w:tr>
      <w:tr>
        <w:tc>
          <w:tcPr>
            <w:tcW w:type="dxa" w:w="1008"/>
          </w:tcPr>
          <w:p>
            <w:r>
              <w:rPr>
                <w:rFonts w:ascii="標楷體" w:hAnsi="標楷體" w:eastAsia="標楷體"/>
              </w:rPr>
              <w:t>adjustable_comb_settings</w:t>
            </w:r>
          </w:p>
        </w:tc>
        <w:tc>
          <w:tcPr>
            <w:tcW w:type="dxa" w:w="1008"/>
          </w:tcPr>
          <w:p>
            <w:r>
              <w:rPr>
                <w:rFonts w:ascii="標楷體" w:hAnsi="標楷體" w:eastAsia="標楷體"/>
              </w:rPr>
              <w:t>Adjustable Comb Length Settings</w:t>
            </w:r>
          </w:p>
        </w:tc>
        <w:tc>
          <w:tcPr>
            <w:tcW w:type="dxa" w:w="1008"/>
          </w:tcPr>
          <w:p>
            <w:r>
              <w:rPr>
                <w:rFonts w:ascii="標楷體" w:hAnsi="標楷體" w:eastAsia="標楷體"/>
              </w:rPr>
              <w:t>可調式導梳長度設定</w:t>
            </w:r>
          </w:p>
        </w:tc>
        <w:tc>
          <w:tcPr>
            <w:tcW w:type="dxa" w:w="1008"/>
          </w:tcPr>
          <w:p>
            <w:r>
              <w:rPr>
                <w:rFonts w:ascii="標楷體" w:hAnsi="標楷體" w:eastAsia="標楷體"/>
              </w:rPr>
              <w:t>中階(mid)</w:t>
            </w:r>
          </w:p>
        </w:tc>
        <w:tc>
          <w:tcPr>
            <w:tcW w:type="dxa" w:w="1008"/>
          </w:tcPr>
          <w:p>
            <w:r>
              <w:rPr>
                <w:rFonts w:ascii="標楷體" w:hAnsi="標楷體" w:eastAsia="標楷體"/>
              </w:rPr>
              <w:t>-0.947</w:t>
            </w:r>
          </w:p>
        </w:tc>
        <w:tc>
          <w:tcPr>
            <w:tcW w:type="dxa" w:w="1008"/>
          </w:tcPr>
          <w:p>
            <w:r>
              <w:rPr>
                <w:rFonts w:ascii="標楷體" w:hAnsi="標楷體" w:eastAsia="標楷體"/>
              </w:rPr>
              <w:t>0.1264</w:t>
            </w:r>
          </w:p>
        </w:tc>
        <w:tc>
          <w:tcPr>
            <w:tcW w:type="dxa" w:w="1008"/>
          </w:tcPr>
          <w:p>
            <w:r>
              <w:rPr>
                <w:rFonts w:ascii="標楷體" w:hAnsi="標楷體" w:eastAsia="標楷體"/>
              </w:rPr>
              <w:t>-7.493</w:t>
            </w:r>
          </w:p>
        </w:tc>
        <w:tc>
          <w:tcPr>
            <w:tcW w:type="dxa" w:w="1008"/>
          </w:tcPr>
          <w:p>
            <w:r>
              <w:rPr>
                <w:rFonts w:ascii="標楷體" w:hAnsi="標楷體" w:eastAsia="標楷體"/>
              </w:rPr>
              <w:t>6.728e-14</w:t>
            </w:r>
          </w:p>
        </w:tc>
        <w:tc>
          <w:tcPr>
            <w:tcW w:type="dxa" w:w="1008"/>
          </w:tcPr>
          <w:p>
            <w:r>
              <w:rPr>
                <w:rFonts w:ascii="標楷體" w:hAnsi="標楷體" w:eastAsia="標楷體"/>
              </w:rPr>
              <w:t>0.388</w:t>
            </w:r>
          </w:p>
        </w:tc>
        <w:tc>
          <w:tcPr>
            <w:tcW w:type="dxa" w:w="1008"/>
          </w:tcPr>
          <w:p>
            <w:r>
              <w:rPr>
                <w:rFonts w:ascii="標楷體" w:hAnsi="標楷體" w:eastAsia="標楷體"/>
              </w:rPr>
              <w:t>負向</w:t>
            </w:r>
          </w:p>
        </w:tc>
      </w:tr>
      <w:tr>
        <w:tc>
          <w:tcPr>
            <w:tcW w:type="dxa" w:w="1008"/>
          </w:tcPr>
          <w:p>
            <w:r>
              <w:rPr>
                <w:rFonts w:ascii="標楷體" w:hAnsi="標楷體" w:eastAsia="標楷體"/>
              </w:rPr>
              <w:t>blade_hair_pulling</w:t>
            </w:r>
          </w:p>
        </w:tc>
        <w:tc>
          <w:tcPr>
            <w:tcW w:type="dxa" w:w="1008"/>
          </w:tcPr>
          <w:p>
            <w:r>
              <w:rPr>
                <w:rFonts w:ascii="標楷體" w:hAnsi="標楷體" w:eastAsia="標楷體"/>
              </w:rPr>
              <w:t>Blade Hair Pulling / Snagging</w:t>
            </w:r>
          </w:p>
        </w:tc>
        <w:tc>
          <w:tcPr>
            <w:tcW w:type="dxa" w:w="1008"/>
          </w:tcPr>
          <w:p>
            <w:r>
              <w:rPr>
                <w:rFonts w:ascii="標楷體" w:hAnsi="標楷體" w:eastAsia="標楷體"/>
              </w:rPr>
              <w:t>刀片拉毛問題</w:t>
            </w:r>
          </w:p>
        </w:tc>
        <w:tc>
          <w:tcPr>
            <w:tcW w:type="dxa" w:w="1008"/>
          </w:tcPr>
          <w:p>
            <w:r>
              <w:rPr>
                <w:rFonts w:ascii="標楷體" w:hAnsi="標楷體" w:eastAsia="標楷體"/>
              </w:rPr>
              <w:t>高階(high)</w:t>
            </w:r>
          </w:p>
        </w:tc>
        <w:tc>
          <w:tcPr>
            <w:tcW w:type="dxa" w:w="1008"/>
          </w:tcPr>
          <w:p>
            <w:r>
              <w:rPr>
                <w:rFonts w:ascii="標楷體" w:hAnsi="標楷體" w:eastAsia="標楷體"/>
              </w:rPr>
              <w:t>-1.4617</w:t>
            </w:r>
          </w:p>
        </w:tc>
        <w:tc>
          <w:tcPr>
            <w:tcW w:type="dxa" w:w="1008"/>
          </w:tcPr>
          <w:p>
            <w:r>
              <w:rPr>
                <w:rFonts w:ascii="標楷體" w:hAnsi="標楷體" w:eastAsia="標楷體"/>
              </w:rPr>
              <w:t>0.1865</w:t>
            </w:r>
          </w:p>
        </w:tc>
        <w:tc>
          <w:tcPr>
            <w:tcW w:type="dxa" w:w="1008"/>
          </w:tcPr>
          <w:p>
            <w:r>
              <w:rPr>
                <w:rFonts w:ascii="標楷體" w:hAnsi="標楷體" w:eastAsia="標楷體"/>
              </w:rPr>
              <w:t>-7.837</w:t>
            </w:r>
          </w:p>
        </w:tc>
        <w:tc>
          <w:tcPr>
            <w:tcW w:type="dxa" w:w="1008"/>
          </w:tcPr>
          <w:p>
            <w:r>
              <w:rPr>
                <w:rFonts w:ascii="標楷體" w:hAnsi="標楷體" w:eastAsia="標楷體"/>
              </w:rPr>
              <w:t>4.602e-15</w:t>
            </w:r>
          </w:p>
        </w:tc>
        <w:tc>
          <w:tcPr>
            <w:tcW w:type="dxa" w:w="1008"/>
          </w:tcPr>
          <w:p>
            <w:r>
              <w:rPr>
                <w:rFonts w:ascii="標楷體" w:hAnsi="標楷體" w:eastAsia="標楷體"/>
              </w:rPr>
              <w:t>0.232</w:t>
            </w:r>
          </w:p>
        </w:tc>
        <w:tc>
          <w:tcPr>
            <w:tcW w:type="dxa" w:w="1008"/>
          </w:tcPr>
          <w:p>
            <w:r>
              <w:rPr>
                <w:rFonts w:ascii="標楷體" w:hAnsi="標楷體" w:eastAsia="標楷體"/>
              </w:rPr>
              <w:t>負向</w:t>
            </w:r>
          </w:p>
        </w:tc>
      </w:tr>
      <w:tr>
        <w:tc>
          <w:tcPr>
            <w:tcW w:type="dxa" w:w="1008"/>
          </w:tcPr>
          <w:p>
            <w:r>
              <w:rPr>
                <w:rFonts w:ascii="標楷體" w:hAnsi="標楷體" w:eastAsia="標楷體"/>
              </w:rPr>
              <w:t>adjustable_comb_settings</w:t>
            </w:r>
          </w:p>
        </w:tc>
        <w:tc>
          <w:tcPr>
            <w:tcW w:type="dxa" w:w="1008"/>
          </w:tcPr>
          <w:p>
            <w:r>
              <w:rPr>
                <w:rFonts w:ascii="標楷體" w:hAnsi="標楷體" w:eastAsia="標楷體"/>
              </w:rPr>
              <w:t>Adjustable Comb Length Settings</w:t>
            </w:r>
          </w:p>
        </w:tc>
        <w:tc>
          <w:tcPr>
            <w:tcW w:type="dxa" w:w="1008"/>
          </w:tcPr>
          <w:p>
            <w:r>
              <w:rPr>
                <w:rFonts w:ascii="標楷體" w:hAnsi="標楷體" w:eastAsia="標楷體"/>
              </w:rPr>
              <w:t>可調式導梳長度設定</w:t>
            </w:r>
          </w:p>
        </w:tc>
        <w:tc>
          <w:tcPr>
            <w:tcW w:type="dxa" w:w="1008"/>
          </w:tcPr>
          <w:p>
            <w:r>
              <w:rPr>
                <w:rFonts w:ascii="標楷體" w:hAnsi="標楷體" w:eastAsia="標楷體"/>
              </w:rPr>
              <w:t>高階(high)</w:t>
            </w:r>
          </w:p>
        </w:tc>
        <w:tc>
          <w:tcPr>
            <w:tcW w:type="dxa" w:w="1008"/>
          </w:tcPr>
          <w:p>
            <w:r>
              <w:rPr>
                <w:rFonts w:ascii="標楷體" w:hAnsi="標楷體" w:eastAsia="標楷體"/>
              </w:rPr>
              <w:t>-3.4765</w:t>
            </w:r>
          </w:p>
        </w:tc>
        <w:tc>
          <w:tcPr>
            <w:tcW w:type="dxa" w:w="1008"/>
          </w:tcPr>
          <w:p>
            <w:r>
              <w:rPr>
                <w:rFonts w:ascii="標楷體" w:hAnsi="標楷體" w:eastAsia="標楷體"/>
              </w:rPr>
              <w:t>0.2281</w:t>
            </w:r>
          </w:p>
        </w:tc>
        <w:tc>
          <w:tcPr>
            <w:tcW w:type="dxa" w:w="1008"/>
          </w:tcPr>
          <w:p>
            <w:r>
              <w:rPr>
                <w:rFonts w:ascii="標楷體" w:hAnsi="標楷體" w:eastAsia="標楷體"/>
              </w:rPr>
              <w:t>-15.242</w:t>
            </w:r>
          </w:p>
        </w:tc>
        <w:tc>
          <w:tcPr>
            <w:tcW w:type="dxa" w:w="1008"/>
          </w:tcPr>
          <w:p>
            <w:r>
              <w:rPr>
                <w:rFonts w:ascii="標楷體" w:hAnsi="標楷體" w:eastAsia="標楷體"/>
              </w:rPr>
              <w:t>1.851e-52</w:t>
            </w:r>
          </w:p>
        </w:tc>
        <w:tc>
          <w:tcPr>
            <w:tcW w:type="dxa" w:w="1008"/>
          </w:tcPr>
          <w:p>
            <w:r>
              <w:rPr>
                <w:rFonts w:ascii="標楷體" w:hAnsi="標楷體" w:eastAsia="標楷體"/>
              </w:rPr>
              <w:t>0.031</w:t>
            </w:r>
          </w:p>
        </w:tc>
        <w:tc>
          <w:tcPr>
            <w:tcW w:type="dxa" w:w="1008"/>
          </w:tcPr>
          <w:p>
            <w:r>
              <w:rPr>
                <w:rFonts w:ascii="標楷體" w:hAnsi="標楷體" w:eastAsia="標楷體"/>
              </w:rPr>
              <w:t>負向</w:t>
            </w:r>
          </w:p>
        </w:tc>
      </w:tr>
    </w:tbl>
    <w:p>
      <w:r>
        <w:rPr>
          <w:rFonts w:ascii="標楷體" w:hAnsi="標楷體" w:eastAsia="標楷體"/>
          <w:b w:val="0"/>
          <w:i w:val="0"/>
        </w:rPr>
        <w:t>重點解讀 1：整體易用性（Ease of Use）高階係數最高，表示產品若能有效降低學習成本，對轉換率的提升最明顯。</w:t>
      </w:r>
    </w:p>
    <w:p>
      <w:r>
        <w:rPr>
          <w:rFonts w:ascii="標楷體" w:hAnsi="標楷體" w:eastAsia="標楷體"/>
          <w:b w:val="0"/>
          <w:i w:val="0"/>
        </w:rPr>
        <w:t>重點解讀 2：性價比、刀片鋒利度與防水能力皆有正向效用，顯示『可感知的實用價值』比單純規格堆疊更重要。</w:t>
      </w:r>
    </w:p>
    <w:p>
      <w:r>
        <w:rPr>
          <w:rFonts w:ascii="標楷體" w:hAnsi="標楷體" w:eastAsia="標楷體"/>
          <w:b w:val="0"/>
          <w:i w:val="0"/>
        </w:rPr>
        <w:t>重點解讀 3：可調式導梳在 mid/high 均為負向，代表該屬性在目前市場語境中存在『功能複雜化』風險，需以更直覺的溝通或結構設計化解。</w:t>
      </w:r>
    </w:p>
    <w:p>
      <w:pPr>
        <w:pStyle w:val="Heading1"/>
      </w:pPr>
      <w:r>
        <w:t>7. 產品組合排序與購買機率</w:t>
      </w:r>
    </w:p>
    <w:p>
      <w:r>
        <w:rPr>
          <w:b/>
        </w:rPr>
        <w:t>表 5. 前 5 名產品組合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1440"/>
            <w:shd w:fill="D9EAF7"/>
          </w:tcPr>
          <w:p>
            <w:r>
              <w:rPr>
                <w:rFonts w:ascii="標楷體" w:hAnsi="標楷體" w:eastAsia="標楷體"/>
              </w:rPr>
              <w:t>排名</w:t>
            </w:r>
          </w:p>
        </w:tc>
        <w:tc>
          <w:tcPr>
            <w:tcW w:type="dxa" w:w="1440"/>
            <w:shd w:fill="D9EAF7"/>
          </w:tcPr>
          <w:p>
            <w:r>
              <w:rPr>
                <w:rFonts w:ascii="標楷體" w:hAnsi="標楷體" w:eastAsia="標楷體"/>
              </w:rPr>
              <w:t>Run</w:t>
            </w:r>
          </w:p>
        </w:tc>
        <w:tc>
          <w:tcPr>
            <w:tcW w:type="dxa" w:w="1440"/>
            <w:shd w:fill="D9EAF7"/>
          </w:tcPr>
          <w:p>
            <w:r>
              <w:rPr>
                <w:rFonts w:ascii="標楷體" w:hAnsi="標楷體" w:eastAsia="標楷體"/>
              </w:rPr>
              <w:t>產品組合</w:t>
            </w:r>
          </w:p>
        </w:tc>
        <w:tc>
          <w:tcPr>
            <w:tcW w:type="dxa" w:w="1440"/>
            <w:shd w:fill="D9EAF7"/>
          </w:tcPr>
          <w:p>
            <w:r>
              <w:rPr>
                <w:rFonts w:ascii="標楷體" w:hAnsi="標楷體" w:eastAsia="標楷體"/>
              </w:rPr>
              <w:t>總效用</w:t>
            </w:r>
          </w:p>
        </w:tc>
        <w:tc>
          <w:tcPr>
            <w:tcW w:type="dxa" w:w="1440"/>
            <w:shd w:fill="D9EAF7"/>
          </w:tcPr>
          <w:p>
            <w:r>
              <w:rPr>
                <w:rFonts w:ascii="標楷體" w:hAnsi="標楷體" w:eastAsia="標楷體"/>
              </w:rPr>
              <w:t>sigmoid 分數</w:t>
            </w:r>
          </w:p>
        </w:tc>
        <w:tc>
          <w:tcPr>
            <w:tcW w:type="dxa" w:w="1440"/>
            <w:shd w:fill="D9EAF7"/>
          </w:tcPr>
          <w:p>
            <w:r>
              <w:rPr>
                <w:rFonts w:ascii="標楷體" w:hAnsi="標楷體" w:eastAsia="標楷體"/>
              </w:rPr>
              <w:t>softmax 機率</w:t>
            </w:r>
          </w:p>
        </w:tc>
        <w:tc>
          <w:tcPr>
            <w:tcW w:type="dxa" w:w="1440"/>
            <w:shd w:fill="D9EAF7"/>
          </w:tcPr>
          <w:p>
            <w:r>
              <w:rPr>
                <w:rFonts w:ascii="標楷體" w:hAnsi="標楷體" w:eastAsia="標楷體"/>
              </w:rPr>
              <w:t>估計價格(USD)</w:t>
            </w:r>
          </w:p>
        </w:tc>
      </w:tr>
      <w:tr>
        <w:tc>
          <w:tcPr>
            <w:tcW w:type="dxa" w:w="1440"/>
          </w:tcPr>
          <w:p>
            <w:r>
              <w:rPr>
                <w:rFonts w:ascii="標楷體" w:hAnsi="標楷體" w:eastAsia="標楷體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rFonts w:ascii="標楷體" w:hAnsi="標楷體" w:eastAsia="標楷體"/>
              </w:rPr>
              <w:t>9</w:t>
            </w:r>
          </w:p>
        </w:tc>
        <w:tc>
          <w:tcPr>
            <w:tcW w:type="dxa" w:w="1440"/>
          </w:tcPr>
          <w:p>
            <w:r>
              <w:rPr>
                <w:rFonts w:ascii="標楷體" w:hAnsi="標楷體" w:eastAsia="標楷體"/>
              </w:rPr>
              <w:t>A1-B3-C3-D1-E3-F2-G1-H2</w:t>
            </w:r>
          </w:p>
        </w:tc>
        <w:tc>
          <w:tcPr>
            <w:tcW w:type="dxa" w:w="1440"/>
          </w:tcPr>
          <w:p>
            <w:r>
              <w:rPr>
                <w:rFonts w:ascii="標楷體" w:hAnsi="標楷體" w:eastAsia="標楷體"/>
              </w:rPr>
              <w:t>7.184</w:t>
            </w:r>
          </w:p>
        </w:tc>
        <w:tc>
          <w:tcPr>
            <w:tcW w:type="dxa" w:w="1440"/>
          </w:tcPr>
          <w:p>
            <w:r>
              <w:rPr>
                <w:rFonts w:ascii="標楷體" w:hAnsi="標楷體" w:eastAsia="標楷體"/>
              </w:rPr>
              <w:t>0.999242</w:t>
            </w:r>
          </w:p>
        </w:tc>
        <w:tc>
          <w:tcPr>
            <w:tcW w:type="dxa" w:w="1440"/>
          </w:tcPr>
          <w:p>
            <w:r>
              <w:rPr>
                <w:rFonts w:ascii="標楷體" w:hAnsi="標楷體" w:eastAsia="標楷體"/>
              </w:rPr>
              <w:t>0.135926</w:t>
            </w:r>
          </w:p>
        </w:tc>
        <w:tc>
          <w:tcPr>
            <w:tcW w:type="dxa" w:w="1440"/>
          </w:tcPr>
          <w:p>
            <w:r>
              <w:rPr>
                <w:rFonts w:ascii="標楷體" w:hAnsi="標楷體" w:eastAsia="標楷體"/>
              </w:rPr>
              <w:t>33.0</w:t>
            </w:r>
          </w:p>
        </w:tc>
      </w:tr>
      <w:tr>
        <w:tc>
          <w:tcPr>
            <w:tcW w:type="dxa" w:w="1440"/>
          </w:tcPr>
          <w:p>
            <w:r>
              <w:rPr>
                <w:rFonts w:ascii="標楷體" w:hAnsi="標楷體" w:eastAsia="標楷體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rFonts w:ascii="標楷體" w:hAnsi="標楷體" w:eastAsia="標楷體"/>
              </w:rPr>
              <w:t>18</w:t>
            </w:r>
          </w:p>
        </w:tc>
        <w:tc>
          <w:tcPr>
            <w:tcW w:type="dxa" w:w="1440"/>
          </w:tcPr>
          <w:p>
            <w:r>
              <w:rPr>
                <w:rFonts w:ascii="標楷體" w:hAnsi="標楷體" w:eastAsia="標楷體"/>
              </w:rPr>
              <w:t>A2-B3-C3-D2-E1-F2-G3-H1</w:t>
            </w:r>
          </w:p>
        </w:tc>
        <w:tc>
          <w:tcPr>
            <w:tcW w:type="dxa" w:w="1440"/>
          </w:tcPr>
          <w:p>
            <w:r>
              <w:rPr>
                <w:rFonts w:ascii="標楷體" w:hAnsi="標楷體" w:eastAsia="標楷體"/>
              </w:rPr>
              <w:t>7.153</w:t>
            </w:r>
          </w:p>
        </w:tc>
        <w:tc>
          <w:tcPr>
            <w:tcW w:type="dxa" w:w="1440"/>
          </w:tcPr>
          <w:p>
            <w:r>
              <w:rPr>
                <w:rFonts w:ascii="標楷體" w:hAnsi="標楷體" w:eastAsia="標楷體"/>
              </w:rPr>
              <w:t>0.999218</w:t>
            </w:r>
          </w:p>
        </w:tc>
        <w:tc>
          <w:tcPr>
            <w:tcW w:type="dxa" w:w="1440"/>
          </w:tcPr>
          <w:p>
            <w:r>
              <w:rPr>
                <w:rFonts w:ascii="標楷體" w:hAnsi="標楷體" w:eastAsia="標楷體"/>
              </w:rPr>
              <w:t>0.131777</w:t>
            </w:r>
          </w:p>
        </w:tc>
        <w:tc>
          <w:tcPr>
            <w:tcW w:type="dxa" w:w="1440"/>
          </w:tcPr>
          <w:p>
            <w:r>
              <w:rPr>
                <w:rFonts w:ascii="標楷體" w:hAnsi="標楷體" w:eastAsia="標楷體"/>
              </w:rPr>
              <w:t>33.5</w:t>
            </w:r>
          </w:p>
        </w:tc>
      </w:tr>
      <w:tr>
        <w:tc>
          <w:tcPr>
            <w:tcW w:type="dxa" w:w="1440"/>
          </w:tcPr>
          <w:p>
            <w:r>
              <w:rPr>
                <w:rFonts w:ascii="標楷體" w:hAnsi="標楷體" w:eastAsia="標楷體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rFonts w:ascii="標楷體" w:hAnsi="標楷體" w:eastAsia="標楷體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rFonts w:ascii="標楷體" w:hAnsi="標楷體" w:eastAsia="標楷體"/>
              </w:rPr>
              <w:t>A1-B1-C3-D3-E3-F3-G3-H3</w:t>
            </w:r>
          </w:p>
        </w:tc>
        <w:tc>
          <w:tcPr>
            <w:tcW w:type="dxa" w:w="1440"/>
          </w:tcPr>
          <w:p>
            <w:r>
              <w:rPr>
                <w:rFonts w:ascii="標楷體" w:hAnsi="標楷體" w:eastAsia="標楷體"/>
              </w:rPr>
              <w:t>6.989</w:t>
            </w:r>
          </w:p>
        </w:tc>
        <w:tc>
          <w:tcPr>
            <w:tcW w:type="dxa" w:w="1440"/>
          </w:tcPr>
          <w:p>
            <w:r>
              <w:rPr>
                <w:rFonts w:ascii="標楷體" w:hAnsi="標楷體" w:eastAsia="標楷體"/>
              </w:rPr>
              <w:t>0.999079</w:t>
            </w:r>
          </w:p>
        </w:tc>
        <w:tc>
          <w:tcPr>
            <w:tcW w:type="dxa" w:w="1440"/>
          </w:tcPr>
          <w:p>
            <w:r>
              <w:rPr>
                <w:rFonts w:ascii="標楷體" w:hAnsi="標楷體" w:eastAsia="標楷體"/>
              </w:rPr>
              <w:t>0.111845</w:t>
            </w:r>
          </w:p>
        </w:tc>
        <w:tc>
          <w:tcPr>
            <w:tcW w:type="dxa" w:w="1440"/>
          </w:tcPr>
          <w:p>
            <w:r>
              <w:rPr>
                <w:rFonts w:ascii="標楷體" w:hAnsi="標楷體" w:eastAsia="標楷體"/>
              </w:rPr>
              <w:t>39.5</w:t>
            </w:r>
          </w:p>
        </w:tc>
      </w:tr>
      <w:tr>
        <w:tc>
          <w:tcPr>
            <w:tcW w:type="dxa" w:w="1440"/>
          </w:tcPr>
          <w:p>
            <w:r>
              <w:rPr>
                <w:rFonts w:ascii="標楷體" w:hAnsi="標楷體" w:eastAsia="標楷體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rFonts w:ascii="標楷體" w:hAnsi="標楷體" w:eastAsia="標楷體"/>
              </w:rPr>
              <w:t>15</w:t>
            </w:r>
          </w:p>
        </w:tc>
        <w:tc>
          <w:tcPr>
            <w:tcW w:type="dxa" w:w="1440"/>
          </w:tcPr>
          <w:p>
            <w:r>
              <w:rPr>
                <w:rFonts w:ascii="標楷體" w:hAnsi="標楷體" w:eastAsia="標楷體"/>
              </w:rPr>
              <w:t>A2-B2-C3-D1-E2-F3-G2-H1</w:t>
            </w:r>
          </w:p>
        </w:tc>
        <w:tc>
          <w:tcPr>
            <w:tcW w:type="dxa" w:w="1440"/>
          </w:tcPr>
          <w:p>
            <w:r>
              <w:rPr>
                <w:rFonts w:ascii="標楷體" w:hAnsi="標楷體" w:eastAsia="標楷體"/>
              </w:rPr>
              <w:t>6.799</w:t>
            </w:r>
          </w:p>
        </w:tc>
        <w:tc>
          <w:tcPr>
            <w:tcW w:type="dxa" w:w="1440"/>
          </w:tcPr>
          <w:p>
            <w:r>
              <w:rPr>
                <w:rFonts w:ascii="標楷體" w:hAnsi="標楷體" w:eastAsia="標楷體"/>
              </w:rPr>
              <w:t>0.998886</w:t>
            </w:r>
          </w:p>
        </w:tc>
        <w:tc>
          <w:tcPr>
            <w:tcW w:type="dxa" w:w="1440"/>
          </w:tcPr>
          <w:p>
            <w:r>
              <w:rPr>
                <w:rFonts w:ascii="標楷體" w:hAnsi="標楷體" w:eastAsia="標楷體"/>
              </w:rPr>
              <w:t>0.092491</w:t>
            </w:r>
          </w:p>
        </w:tc>
        <w:tc>
          <w:tcPr>
            <w:tcW w:type="dxa" w:w="1440"/>
          </w:tcPr>
          <w:p>
            <w:r>
              <w:rPr>
                <w:rFonts w:ascii="標楷體" w:hAnsi="標楷體" w:eastAsia="標楷體"/>
              </w:rPr>
              <w:t>34.5</w:t>
            </w:r>
          </w:p>
        </w:tc>
      </w:tr>
      <w:tr>
        <w:tc>
          <w:tcPr>
            <w:tcW w:type="dxa" w:w="1440"/>
          </w:tcPr>
          <w:p>
            <w:r>
              <w:rPr>
                <w:rFonts w:ascii="標楷體" w:hAnsi="標楷體" w:eastAsia="標楷體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rFonts w:ascii="標楷體" w:hAnsi="標楷體" w:eastAsia="標楷體"/>
              </w:rPr>
              <w:t>17</w:t>
            </w:r>
          </w:p>
        </w:tc>
        <w:tc>
          <w:tcPr>
            <w:tcW w:type="dxa" w:w="1440"/>
          </w:tcPr>
          <w:p>
            <w:r>
              <w:rPr>
                <w:rFonts w:ascii="標楷體" w:hAnsi="標楷體" w:eastAsia="標楷體"/>
              </w:rPr>
              <w:t>A2-B3-C2-D1-E3-F1-G2-H3</w:t>
            </w:r>
          </w:p>
        </w:tc>
        <w:tc>
          <w:tcPr>
            <w:tcW w:type="dxa" w:w="1440"/>
          </w:tcPr>
          <w:p>
            <w:r>
              <w:rPr>
                <w:rFonts w:ascii="標楷體" w:hAnsi="標楷體" w:eastAsia="標楷體"/>
              </w:rPr>
              <w:t>6.615</w:t>
            </w:r>
          </w:p>
        </w:tc>
        <w:tc>
          <w:tcPr>
            <w:tcW w:type="dxa" w:w="1440"/>
          </w:tcPr>
          <w:p>
            <w:r>
              <w:rPr>
                <w:rFonts w:ascii="標楷體" w:hAnsi="標楷體" w:eastAsia="標楷體"/>
              </w:rPr>
              <w:t>0.998662</w:t>
            </w:r>
          </w:p>
        </w:tc>
        <w:tc>
          <w:tcPr>
            <w:tcW w:type="dxa" w:w="1440"/>
          </w:tcPr>
          <w:p>
            <w:r>
              <w:rPr>
                <w:rFonts w:ascii="標楷體" w:hAnsi="標楷體" w:eastAsia="標楷體"/>
              </w:rPr>
              <w:t>0.076947</w:t>
            </w:r>
          </w:p>
        </w:tc>
        <w:tc>
          <w:tcPr>
            <w:tcW w:type="dxa" w:w="1440"/>
          </w:tcPr>
          <w:p>
            <w:r>
              <w:rPr>
                <w:rFonts w:ascii="標楷體" w:hAnsi="標楷體" w:eastAsia="標楷體"/>
              </w:rPr>
              <w:t>36.0</w:t>
            </w:r>
          </w:p>
        </w:tc>
      </w:tr>
    </w:tbl>
    <w:p>
      <w:r>
        <w:rPr>
          <w:rFonts w:ascii="標楷體" w:hAnsi="標楷體" w:eastAsia="標楷體"/>
          <w:b w:val="0"/>
          <w:i w:val="0"/>
        </w:rPr>
        <w:t>機率欄位說明：sigmoid 分數可視為效用轉換後的單點吸引力，不適合作跨方案機率比較；softmax 機率則是多方案競爭下的相對被選擇機率，較適合做組合排序與資源配置。</w:t>
      </w:r>
    </w:p>
    <w:p>
      <w:r>
        <w:rPr>
          <w:rFonts w:ascii="標楷體" w:hAnsi="標楷體" w:eastAsia="標楷體"/>
          <w:b w:val="0"/>
          <w:i w:val="0"/>
        </w:rPr>
        <w:t>先前表格中『標準化機率』接近 0.055 的主因是 sigmoid 已高度飽和（幾乎都接近 1），再做標準化後自然接近 1/18；這不代表方案吸引力低，而是轉換尺度造成的可讀性問題。</w:t>
      </w:r>
    </w:p>
    <w:p>
      <w:r>
        <w:rPr>
          <w:rFonts w:ascii="標楷體" w:hAnsi="標楷體" w:eastAsia="標楷體"/>
          <w:b w:val="0"/>
          <w:i w:val="0"/>
        </w:rPr>
        <w:t>最佳組合是 Run 9：A1-B3-C3-D1-E3-F2-G1-H2。它不是所有屬性都極端拉滿，而是把高權重屬性集中在 USB-C 充電、IPX8 防水、高質感機身與中度功能配置上，因此在效用與市場吸引力上都最均衡。</w:t>
      </w:r>
    </w:p>
    <w:p>
      <w:pPr>
        <w:pStyle w:val="Heading1"/>
      </w:pPr>
      <w:r>
        <w:t>8. 產品定位與策略解讀</w:t>
      </w:r>
    </w:p>
    <w:p>
      <w:pPr>
        <w:pStyle w:val="ListBullet"/>
      </w:pPr>
      <w:r>
        <w:t>Value：低價入門款，適合價格敏感或首次購買者，但不應成為主力形象款。</w:t>
      </w:r>
    </w:p>
    <w:p>
      <w:pPr>
        <w:pStyle w:val="ListBullet"/>
      </w:pPr>
      <w:r>
        <w:t>Mainstream：中價位、均衡型產品，重點是穩定、易用、耐用，適合擴大量體。</w:t>
      </w:r>
    </w:p>
    <w:p>
      <w:pPr>
        <w:pStyle w:val="ListBullet"/>
      </w:pPr>
      <w:r>
        <w:t>Premium：高價高效用產品，是目前最有利的主力定位，適合承接品牌溢價。</w:t>
      </w:r>
    </w:p>
    <w:p>
      <w:pPr>
        <w:pStyle w:val="ListBullet"/>
      </w:pPr>
      <w:r>
        <w:t>Niche：送禮、特殊功能或高控制感需求的小眾產品，可作為補充線。</w:t>
      </w:r>
    </w:p>
    <w:p>
      <w:r>
        <w:rPr>
          <w:rFonts w:ascii="標楷體" w:hAnsi="標楷體" w:eastAsia="標楷體"/>
          <w:b w:val="0"/>
          <w:i w:val="0"/>
        </w:rPr>
        <w:t>從模型結果來看，市場不是單純追求功能數量，而是追求『好用、值得、夠鋒利、夠方便』。因此，最值得投資的是易用性、價值感、刀片鋒利度、防水與 USB-C 充電；最應避免的是過度複雜但不一定有感的調整設計。</w:t>
      </w:r>
    </w:p>
    <w:p>
      <w:r>
        <w:rPr>
          <w:rFonts w:ascii="標楷體" w:hAnsi="標楷體" w:eastAsia="標楷體"/>
          <w:b w:val="0"/>
          <w:i w:val="0"/>
        </w:rPr>
        <w:t>價格策略上，存在 premium pricing 空間，但前提是產品真的具備能被感知的高效用屬性。換言之，價格溢價不是靠故事，而是靠使用體驗與功能差異。</w:t>
      </w:r>
    </w:p>
    <w:p>
      <w:pPr>
        <w:pStyle w:val="Heading1"/>
      </w:pPr>
      <w:r>
        <w:t>9. 策略建議</w:t>
      </w:r>
    </w:p>
    <w:p>
      <w:pPr>
        <w:pStyle w:val="ListNumber"/>
      </w:pPr>
      <w:r>
        <w:t>建議推出一個 Hero SKU，採 Premium 日常便利型定位：USB-C、IPX8、防拉毛、好清潔、好上手。</w:t>
      </w:r>
    </w:p>
    <w:p>
      <w:pPr>
        <w:pStyle w:val="ListNumber"/>
      </w:pPr>
      <w:r>
        <w:t>建議推出一個 Performance SKU，強調精準修剪、馬達性能與更高控制感，對重度使用者與高涉入客群有效。</w:t>
      </w:r>
    </w:p>
    <w:p>
      <w:pPr>
        <w:pStyle w:val="ListNumber"/>
      </w:pPr>
      <w:r>
        <w:t>建議推出一個 Gift SKU，強調禮品包裝、完整配備與節慶送禮情境。</w:t>
      </w:r>
    </w:p>
    <w:p>
      <w:pPr>
        <w:pStyle w:val="ListNumber"/>
      </w:pPr>
      <w:r>
        <w:t>Entry SKU 可保留，但應扮演流量入口，不宜承擔品牌主形象。</w:t>
      </w:r>
    </w:p>
    <w:p>
      <w:r>
        <w:rPr>
          <w:rFonts w:ascii="標楷體" w:hAnsi="標楷體" w:eastAsia="標楷體"/>
          <w:b w:val="0"/>
          <w:i w:val="0"/>
        </w:rPr>
        <w:t>產品線策略建議採三層：入門引流、中階擴量、高階溢價。主戰場放在中高階的便利型與高效能型，因為目前市場的核心痛點與價值感都集中在這一帶。</w:t>
      </w:r>
    </w:p>
    <w:p>
      <w:pPr>
        <w:pStyle w:val="Heading1"/>
      </w:pPr>
      <w:r>
        <w:t>10. 圖表與視覺化（逐圖解讀）</w:t>
      </w:r>
    </w:p>
    <w:p>
      <w:r>
        <w:rPr>
          <w:rFonts w:ascii="標楷體" w:hAnsi="標楷體" w:eastAsia="標楷體"/>
          <w:b w:val="0"/>
          <w:i w:val="0"/>
        </w:rPr>
        <w:t>以下每張圖均附上圖像閱讀方式、觀察重點與決策含意，方便直接放入簡報報告口條。</w:t>
      </w:r>
    </w:p>
    <w:p>
      <w:r>
        <w:drawing>
          <wp:inline xmlns:a="http://schemas.openxmlformats.org/drawingml/2006/main" xmlns:pic="http://schemas.openxmlformats.org/drawingml/2006/picture">
            <wp:extent cx="5760720" cy="16459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ality_heatm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圖 1. 產品屬性品質熱圖</w:t>
      </w:r>
    </w:p>
    <w:p>
      <w:r>
        <w:rPr>
          <w:rFonts w:ascii="標楷體" w:hAnsi="標楷體" w:eastAsia="標楷體"/>
          <w:b w:val="0"/>
          <w:i w:val="0"/>
        </w:rPr>
        <w:t>說明：橫軸為高差異屬性，縱軸為主要競品；顏色越偏綠代表該屬性品質感知越高。管理意涵：可快速辨識 Urbaner 應優先補強的屬性缺口與可主打的相對優勢。</w:t>
      </w:r>
    </w:p>
    <w:p/>
    <w:p>
      <w:r>
        <w:drawing>
          <wp:inline xmlns:a="http://schemas.openxmlformats.org/drawingml/2006/main" xmlns:pic="http://schemas.openxmlformats.org/drawingml/2006/picture">
            <wp:extent cx="5760720" cy="44805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rceptual_ma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80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圖 2. 產品感知定位圖</w:t>
      </w:r>
    </w:p>
    <w:p>
      <w:r>
        <w:rPr>
          <w:rFonts w:ascii="標楷體" w:hAnsi="標楷體" w:eastAsia="標楷體"/>
          <w:b w:val="0"/>
          <w:i w:val="0"/>
        </w:rPr>
        <w:t>說明：以主成分將多屬性壓縮為二維定位空間，點位距離越近代表消費者感知越相似。管理意涵：可判斷是否陷入同質競爭，並找出可切入的差異化座標。</w:t>
      </w:r>
    </w:p>
    <w:p/>
    <w:p>
      <w:r>
        <w:drawing>
          <wp:inline xmlns:a="http://schemas.openxmlformats.org/drawingml/2006/main" xmlns:pic="http://schemas.openxmlformats.org/drawingml/2006/picture">
            <wp:extent cx="5760720" cy="43205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gmentation_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205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圖 3. 顧客分群圖</w:t>
      </w:r>
    </w:p>
    <w:p>
      <w:r>
        <w:rPr>
          <w:rFonts w:ascii="標楷體" w:hAnsi="標楷體" w:eastAsia="標楷體"/>
          <w:b w:val="0"/>
          <w:i w:val="0"/>
        </w:rPr>
        <w:t>說明：以評論屬性顯著度進行分群，顏色區塊代表偏好結構不同的客群。管理意涵：有助於區分主力受眾與次要受眾，避免單一訴求覆蓋全部客群。</w:t>
      </w:r>
    </w:p>
    <w:p/>
    <w:p>
      <w:r>
        <w:drawing>
          <wp:inline xmlns:a="http://schemas.openxmlformats.org/drawingml/2006/main" xmlns:pic="http://schemas.openxmlformats.org/drawingml/2006/picture">
            <wp:extent cx="5760720" cy="296345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D_main_effect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634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圖 4. 正交設計主效果圖</w:t>
      </w:r>
    </w:p>
    <w:p>
      <w:r>
        <w:rPr>
          <w:rFonts w:ascii="標楷體" w:hAnsi="標楷體" w:eastAsia="標楷體"/>
          <w:b w:val="0"/>
          <w:i w:val="0"/>
        </w:rPr>
        <w:t>說明：顯示各因子不同水準對總效用的平均影響幅度。管理意涵：可決定優先投資的規格因子，例如防水與充電型態通常具有較大拉升空間。</w:t>
      </w:r>
    </w:p>
    <w:p/>
    <w:p>
      <w:r>
        <w:drawing>
          <wp:inline xmlns:a="http://schemas.openxmlformats.org/drawingml/2006/main" xmlns:pic="http://schemas.openxmlformats.org/drawingml/2006/picture">
            <wp:extent cx="5760720" cy="38404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D_utility_price_spac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圖 5. 效用 × 價格散佈圖</w:t>
      </w:r>
    </w:p>
    <w:p>
      <w:r>
        <w:rPr>
          <w:rFonts w:ascii="標楷體" w:hAnsi="標楷體" w:eastAsia="標楷體"/>
          <w:b w:val="0"/>
          <w:i w:val="0"/>
        </w:rPr>
        <w:t>說明：橫軸為估計價格，縱軸為總效用；右上角代表高價高效用組合。管理意涵：用於篩選高價值 SKU，並判斷 premium 定價是否具備效用支撐。</w:t>
      </w:r>
    </w:p>
    <w:p/>
    <w:p>
      <w:r>
        <w:drawing>
          <wp:inline xmlns:a="http://schemas.openxmlformats.org/drawingml/2006/main" xmlns:pic="http://schemas.openxmlformats.org/drawingml/2006/picture">
            <wp:extent cx="5760720" cy="314379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p5_choice_probabiliti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437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圖 6. 前 5 名產品組合購買機率</w:t>
      </w:r>
    </w:p>
    <w:p>
      <w:r>
        <w:rPr>
          <w:rFonts w:ascii="標楷體" w:hAnsi="標楷體" w:eastAsia="標楷體"/>
          <w:b w:val="0"/>
          <w:i w:val="0"/>
        </w:rPr>
        <w:t>說明：比較前五名組合的 raw / norm 機率表現。管理意涵：協助先做小規模打樣或 A/B 上架順序，降低新品組合決策風險。</w:t>
      </w:r>
    </w:p>
    <w:p/>
    <w:p>
      <w:r>
        <w:drawing>
          <wp:inline xmlns:a="http://schemas.openxmlformats.org/drawingml/2006/main" xmlns:pic="http://schemas.openxmlformats.org/drawingml/2006/picture">
            <wp:extent cx="5760720" cy="343315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t_coefficients_ba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331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圖 7. Conditional Logit 係數條圖</w:t>
      </w:r>
    </w:p>
    <w:p>
      <w:r>
        <w:rPr>
          <w:rFonts w:ascii="標楷體" w:hAnsi="標楷體" w:eastAsia="標楷體"/>
          <w:b w:val="0"/>
          <w:i w:val="0"/>
        </w:rPr>
        <w:t>說明：條長顯示效用強弱，正值代表提升被選擇機率，負值代表抑制選擇。管理意涵：可直接對應產品文案與主賣點排序，先打高正向係數屬性。</w:t>
      </w:r>
    </w:p>
    <w:p/>
    <w:p>
      <w:pPr>
        <w:pStyle w:val="Heading1"/>
      </w:pPr>
      <w:r>
        <w:t>11. 結論</w:t>
      </w:r>
    </w:p>
    <w:p>
      <w:r>
        <w:rPr>
          <w:rFonts w:ascii="標楷體" w:hAnsi="標楷體" w:eastAsia="標楷體"/>
          <w:b w:val="0"/>
          <w:i w:val="0"/>
        </w:rPr>
        <w:t>綜合 STP、聯合分析與 choice model 的結果，Urbaner 在 Beard / Mustache Trimmers 類別的最佳路徑不是單純低價競爭，而是以『高使用感的中高階定位』切入。</w:t>
      </w:r>
    </w:p>
    <w:p>
      <w:r>
        <w:rPr>
          <w:rFonts w:ascii="標楷體" w:hAnsi="標楷體" w:eastAsia="標楷體"/>
          <w:b w:val="0"/>
          <w:i w:val="0"/>
        </w:rPr>
        <w:t>真正能創造價值的不是功能數量本身，而是使用者感知到的易用性、價值感、防水便利性、鋒利度與整體體驗。這些元素構成了可持續的產品溢價基礎，也最適合作為品牌主訊息。</w:t>
      </w:r>
    </w:p>
    <w:p>
      <w:pPr>
        <w:pStyle w:val="Heading1"/>
      </w:pPr>
      <w:r>
        <w:t>12. 附註</w:t>
      </w:r>
    </w:p>
    <w:p>
      <w:r>
        <w:rPr>
          <w:rFonts w:ascii="標楷體" w:hAnsi="標楷體" w:eastAsia="標楷體"/>
          <w:b w:val="0"/>
          <w:i w:val="0"/>
        </w:rPr>
        <w:t>本文件由既有分析輸出自動彙整而成，包含 STP、效用分析、購買機率與產品策略建議。若未來要補入真實價格係數，可再把 WTP 換算成絕對金額版的願付價格。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標楷體" w:hAnsi="標楷體" w:eastAsia="標楷體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標楷體" w:hAnsi="標楷體" w:eastAsia="標楷體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標楷體" w:hAnsi="標楷體" w:eastAsia="標楷體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標楷體" w:hAnsi="標楷體" w:eastAsia="標楷體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標楷體" w:hAnsi="標楷體" w:eastAsia="標楷體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標楷體" w:hAnsi="標楷體" w:eastAsia="標楷體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標楷體" w:hAnsi="標楷體" w:eastAsia="標楷體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