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</w:pPr>
      <w:r>
        <w:rPr>
          <w:rFonts w:ascii="Microsoft YaHei" w:hAnsi="Microsoft YaHei"/>
          <w:b/>
          <w:color w:val="1A2E44"/>
          <w:sz w:val="36"/>
        </w:rPr>
        <w:t>產品組合購買機率分析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方法</w:t>
      </w:r>
      <w:r>
        <w:rPr>
          <w:i/>
          <w:color w:val="888888"/>
          <w:sz w:val="19"/>
        </w:rPr>
        <w:t>：Split-model Dummy Encoding Logistic Conjoint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各產品卡片視為一個完整產品組合，效用值由各屬性的 part-worth 加總得出，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經 Z-score 正規化後透過 logistic 轉換為購買機率（0–1）。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購買機率反映市場整體消費者對各產品組合的</w:t>
      </w:r>
      <w:r>
        <w:rPr>
          <w:b/>
          <w:i/>
          <w:color w:val="888888"/>
          <w:sz w:val="19"/>
        </w:rPr>
        <w:t>平均偏好傾向</w:t>
      </w:r>
      <w:r>
        <w:rPr>
          <w:i/>
          <w:color w:val="888888"/>
          <w:sz w:val="19"/>
        </w:rPr>
        <w:t>，非個人實際購買預測。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一、美國市場（US）— 24 張產品卡片購買機率排名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購買機率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效用值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長度調整段數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電源類型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附件件數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充電方式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機身尺寸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功能合一數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防水等級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0.8326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51.5466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0.8208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50.4694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0.7704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46.3848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0.7595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45.5913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0.7452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44.5801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0.7119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42.3677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0.6672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39.6246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0.6662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39.5635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0.5726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34.3283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0.5495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33.0979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0.5351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32.3372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0.5051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30.7612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0.4953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30.2437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0.4945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30.2038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0.4469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27.6909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0.4222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26.3718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0.4090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25.6605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0.4035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25.3569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0.3373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21.6222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0.2977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19.2232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0.2019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12.4476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0.1869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11.1883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0.1862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11.1272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0.0893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二、日本市場（JP）— 24 張產品卡片購買機率排名</w:t>
      </w:r>
    </w:p>
    <w:p>
      <w:pPr>
        <w:spacing w:before="200" w:after="80"/>
      </w:pPr>
      <w:r>
        <w:rPr>
          <w:b/>
          <w:color w:val="E8472A"/>
          <w:sz w:val="24"/>
        </w:rPr>
        <w:t>🇯🇵 日本市場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購買機率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效用值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長度調整段數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附件件數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電源類型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電池續航時間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防水等級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調整精度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機身尺寸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0.8905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81.8580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0.8356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74.5168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0.8126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72.0346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0.7239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64.1762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0.6186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56.6726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0.6013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55.5381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0.6010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55.5168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0.5643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53.1605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0.5503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52.2734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0.5457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51.9807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0.5238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50.6054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0.4938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48.7308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0.4892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48.4469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0.4704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47.2646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0.4687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47.1578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0.4330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44.9088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0.4314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44.8057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0.3729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41.0013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0.3613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40.2189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0.3568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39.9118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0.3263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37.7939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0.3130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36.8372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0.2682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33.4422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0.0413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三、最佳產品組合</w:t>
      </w:r>
    </w:p>
    <w:p>
      <w:pPr>
        <w:spacing w:before="160" w:after="60"/>
      </w:pPr>
      <w:r>
        <w:rPr>
          <w:b/>
          <w:color w:val="1A2E44"/>
          <w:sz w:val="22"/>
        </w:rPr>
        <w:t>🇺🇸 美國市場 最佳產品組合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卡片</w:t>
      </w:r>
      <w:r>
        <w:rPr>
          <w:sz w:val="21"/>
        </w:rPr>
        <w:t>：Card 22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購買機率</w:t>
      </w:r>
      <w:r>
        <w:rPr>
          <w:sz w:val="21"/>
        </w:rPr>
        <w:t>：0.8326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效用值</w:t>
      </w:r>
      <w:r>
        <w:rPr>
          <w:sz w:val="21"/>
        </w:rPr>
        <w:t>：51.5466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最佳水準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🇯🇵 日本市場 最佳產品組合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卡片</w:t>
      </w:r>
      <w:r>
        <w:rPr>
          <w:sz w:val="21"/>
        </w:rPr>
        <w:t>：Card 22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購買機率</w:t>
      </w:r>
      <w:r>
        <w:rPr>
          <w:sz w:val="21"/>
        </w:rPr>
        <w:t>：0.8905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效用值</w:t>
      </w:r>
      <w:r>
        <w:rPr>
          <w:sz w:val="21"/>
        </w:rPr>
        <w:t>：81.8580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最佳水準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四、方法說明與限制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β 係數來源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conjoint_analysis.py Split-model Dummy Encoding Logistic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效用加總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 = Σ (β_mid × mid_dummy + β_high × high_dummy)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正規化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Z-score 正規化避免 logistic 飽和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價格屬性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不納入效用加總（作為 WTP 計算分母）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充電方式(US)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完全分離問題，係數已清除，不貢獻效用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統計推論力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樣本偏小（US n=52, JP n=36），結果為方向性</w:t>
            </w:r>
          </w:p>
        </w:tc>
      </w:tr>
    </w:tbl>
    <w:p/>
    <w:p>
      <w:pPr>
        <w:spacing w:after="80"/>
      </w:pPr>
      <w:r>
        <w:rPr>
          <w:sz w:val="21"/>
        </w:rPr>
      </w:r>
      <w:r>
        <w:rPr>
          <w:i/>
          <w:sz w:val="21"/>
        </w:rPr>
        <w:t>分析腳本：`card_choice_prob.py`　　輸出路徑：`output_conjoint/`</w:t>
      </w:r>
      <w:r>
        <w:rPr>
          <w:sz w:val="21"/>
        </w:rPr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