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Cq</w:t>
      </w:r>
      <w:r>
        <w:t xml:space="preserve"> </w:t>
      </w:r>
      <w:r>
        <w:t xml:space="preserve">Shift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eliminaries"/>
    <w:p>
      <w:pPr>
        <w:pStyle w:val="Heading1"/>
      </w:pPr>
      <w:r>
        <w:t xml:space="preserve">Preliminaries</w:t>
      </w:r>
    </w:p>
    <w:bookmarkStart w:id="22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This notebook provides the code required for defining of</w:t>
      </w:r>
      <w:r>
        <w:t xml:space="preserve"> </w:t>
      </w:r>
      <w:r>
        <w:t xml:space="preserve">“</w:t>
      </w:r>
      <w:r>
        <w:t xml:space="preserve">Cq shift</w:t>
      </w:r>
      <w:r>
        <w:t xml:space="preserve">”</w:t>
      </w:r>
      <w:r>
        <w:t xml:space="preserve"> </w:t>
      </w:r>
      <w:r>
        <w:t xml:space="preserve">- the difference between the quantification cycle (Cq) of a pool test and the Cq of component samples measured in individual sample tests. Cq shift arises from the effective</w:t>
      </w:r>
      <w:r>
        <w:t xml:space="preserve"> </w:t>
      </w:r>
      <w:r>
        <w:t xml:space="preserve">‘</w:t>
      </w:r>
      <w:r>
        <w:t xml:space="preserve">dilution</w:t>
      </w:r>
      <w:r>
        <w:t xml:space="preserve">’</w:t>
      </w:r>
      <w:r>
        <w:t xml:space="preserve"> </w:t>
      </w:r>
      <w:r>
        <w:t xml:space="preserve">of viral loads in positive samples when mixed (pooled) with virus-negative samples. It therefore takes more cycles of PCR to amplify the viral genetic material and make it detectable.</w:t>
      </w:r>
    </w:p>
    <w:p>
      <w:pPr>
        <w:pStyle w:val="BodyText"/>
      </w:pPr>
      <w:r>
        <w:t xml:space="preserve">Alongside other variables, including the Cq distribution within tested samples (a higher % of</w:t>
      </w:r>
      <w:r>
        <w:t xml:space="preserve"> </w:t>
      </w:r>
      <w:r>
        <w:t xml:space="preserve">‘</w:t>
      </w:r>
      <w:r>
        <w:t xml:space="preserve">weak positive</w:t>
      </w:r>
      <w:r>
        <w:t xml:space="preserve">’</w:t>
      </w:r>
      <w:r>
        <w:t xml:space="preserve"> </w:t>
      </w:r>
      <w:r>
        <w:t xml:space="preserve">samples with low viral load increases risks of non-detection after Cq shift), degree of clustering of positive samples within pools, and pool size essential variable for determining the sensitivity of pooled testing,</w:t>
      </w:r>
      <w:r>
        <w:t xml:space="preserve"> </w:t>
      </w:r>
      <w:r>
        <w:t xml:space="preserve">“</w:t>
      </w:r>
      <w:r>
        <w:t xml:space="preserve">cq shift</w:t>
      </w:r>
      <w:r>
        <w:t xml:space="preserve">”</w:t>
      </w:r>
      <w:r>
        <w:t xml:space="preserve"> </w:t>
      </w:r>
      <w:r>
        <w:t xml:space="preserve">is a key determinant of sensitivity for pooled testing.</w:t>
      </w:r>
    </w:p>
    <w:p>
      <w:pPr>
        <w:pStyle w:val="BodyText"/>
      </w:pPr>
      <w:r>
        <w:t xml:space="preserve">There were two reasons to examin</w:t>
      </w:r>
      <w:r>
        <w:t xml:space="preserve"> </w:t>
      </w:r>
      <w:r>
        <w:t xml:space="preserve">“</w:t>
      </w:r>
      <w:r>
        <w:t xml:space="preserve">Cq shift</w:t>
      </w:r>
      <w:r>
        <w:t xml:space="preserve">”</w:t>
      </w:r>
      <w:r>
        <w:t xml:space="preserve"> </w:t>
      </w:r>
      <w:r>
        <w:t xml:space="preserve">closely within this DTA systematic review:</w:t>
      </w:r>
    </w:p>
    <w:bookmarkStart w:id="20" w:name="X0ecc62296f271360fb734c13b92882670b87de2"/>
    <w:p>
      <w:pPr>
        <w:pStyle w:val="Heading3"/>
      </w:pPr>
      <w:r>
        <w:t xml:space="preserve">To provide population-adjusted measures of sensitivity (and specificity) for meta-analysis</w:t>
      </w:r>
    </w:p>
    <w:p>
      <w:pPr>
        <w:pStyle w:val="FirstParagraph"/>
      </w:pPr>
      <w:r>
        <w:t xml:space="preserve">The primary meta-analysis combined studies that took a true representative sample of samples (single-gate, quality-group 1) and those that took a purposive sample of positives and combined those with negative samples within pools (two-gate, case-control type, quality group 2). The latter typically over-sampled positives with low viral loads (</w:t>
      </w:r>
      <w:r>
        <w:t xml:space="preserve">“</w:t>
      </w:r>
      <w:r>
        <w:t xml:space="preserve">weak positives</w:t>
      </w:r>
      <w:r>
        <w:t xml:space="preserve">”</w:t>
      </w:r>
      <w:r>
        <w:t xml:space="preserve">) to verify limits of analytical sensitivity. However, this will lead to an underestimate of</w:t>
      </w:r>
      <w:r>
        <w:t xml:space="preserve"> </w:t>
      </w:r>
      <w:r>
        <w:t xml:space="preserve">‘</w:t>
      </w:r>
      <w:r>
        <w:t xml:space="preserve">real-world</w:t>
      </w:r>
      <w:r>
        <w:t xml:space="preserve">’</w:t>
      </w:r>
      <w:r>
        <w:t xml:space="preserve"> </w:t>
      </w:r>
      <w:r>
        <w:t xml:space="preserve">clinical sensitivity which depends on the mix (distribution) of viral loads in the test poopulation.</w:t>
      </w:r>
    </w:p>
    <w:p>
      <w:pPr>
        <w:pStyle w:val="BodyText"/>
      </w:pPr>
      <w:r>
        <w:t xml:space="preserve">Several two-gate (quality group 2) studies provided</w:t>
      </w:r>
      <w:r>
        <w:t xml:space="preserve"> </w:t>
      </w:r>
      <w:r>
        <w:t xml:space="preserve">“</w:t>
      </w:r>
      <w:r>
        <w:t xml:space="preserve">population adjusted</w:t>
      </w:r>
      <w:r>
        <w:t xml:space="preserve">”</w:t>
      </w:r>
      <w:r>
        <w:t xml:space="preserve"> </w:t>
      </w:r>
      <w:r>
        <w:t xml:space="preserve">estimates of real-world clinical sensitivity alongside the observed results from a purposive sample. However, we wished to used a consistent method for obtaining</w:t>
      </w:r>
      <w:r>
        <w:t xml:space="preserve"> </w:t>
      </w:r>
      <w:r>
        <w:t xml:space="preserve">“</w:t>
      </w:r>
      <w:r>
        <w:t xml:space="preserve">population-adjusted</w:t>
      </w:r>
      <w:r>
        <w:t xml:space="preserve">”</w:t>
      </w:r>
      <w:r>
        <w:t xml:space="preserve"> </w:t>
      </w:r>
      <w:r>
        <w:t xml:space="preserve">summmary estimates of accuracy.</w:t>
      </w:r>
    </w:p>
    <w:bookmarkEnd w:id="20"/>
    <w:bookmarkStart w:id="21" w:name="X28be8ceed1185c8afa050740dd7ea2b79aba0e5"/>
    <w:p>
      <w:pPr>
        <w:pStyle w:val="Heading3"/>
      </w:pPr>
      <w:r>
        <w:t xml:space="preserve">To explore pool-testing protocols that may improve analytical sensitivity</w:t>
      </w:r>
    </w:p>
    <w:bookmarkEnd w:id="21"/>
    <w:bookmarkEnd w:id="22"/>
    <w:bookmarkStart w:id="23" w:name="methodology"/>
    <w:p>
      <w:pPr>
        <w:pStyle w:val="Heading2"/>
      </w:pPr>
      <w:r>
        <w:t xml:space="preserve">Methodology</w:t>
      </w:r>
    </w:p>
    <w:p>
      <w:pPr>
        <w:pStyle w:val="FirstParagraph"/>
      </w:pPr>
      <w:r>
        <w:t xml:space="preserve">Our overall approach mirrors that proposed by the US FDA:</w:t>
      </w:r>
      <w:r>
        <w:t xml:space="preserve"> </w:t>
      </w:r>
      <w:r>
        <w:t xml:space="preserve">1.</w:t>
      </w:r>
      <w:r>
        <w:t xml:space="preserve"> </w:t>
      </w:r>
      <w:r>
        <w:rPr>
          <w:iCs/>
          <w:i/>
        </w:rPr>
        <w:t xml:space="preserve">Observe</w:t>
      </w:r>
      <w:r>
        <w:t xml:space="preserve"> </w:t>
      </w:r>
      <w:r>
        <w:t xml:space="preserve">Base predictions on laboratory observations of change in Cq (Cq shift) and probability of detection of a purposive sample of clinical specimens when tested in pools of desired size.</w:t>
      </w:r>
      <w:r>
        <w:t xml:space="preserve"> </w:t>
      </w:r>
      <w:r>
        <w:t xml:space="preserve">2.</w:t>
      </w:r>
      <w:r>
        <w:t xml:space="preserve"> </w:t>
      </w:r>
      <w:r>
        <w:rPr>
          <w:iCs/>
          <w:i/>
        </w:rPr>
        <w:t xml:space="preserve">Model</w:t>
      </w:r>
      <w:r>
        <w:t xml:space="preserve"> </w:t>
      </w:r>
      <w:r>
        <w:t xml:space="preserve">Define the relationship between the Cq measure from individual sample testing and the expected Cq of pools containing positive sample(s), and the probability of detection at pre-defined Cq cut-offs.</w:t>
      </w:r>
      <w:r>
        <w:t xml:space="preserve"> </w:t>
      </w:r>
      <w:r>
        <w:t xml:space="preserve">3.</w:t>
      </w:r>
      <w:r>
        <w:t xml:space="preserve"> </w:t>
      </w:r>
      <w:r>
        <w:rPr>
          <w:iCs/>
          <w:i/>
        </w:rPr>
        <w:t xml:space="preserve">Predict</w:t>
      </w:r>
      <w:r>
        <w:t xml:space="preserve"> </w:t>
      </w:r>
      <w:r>
        <w:t xml:space="preserve">Apply the model in step 2 to a true representative sample of specimens from a relevant test population with a representative distribution of viral loads (Cq values). Define the likelihood of detection of the positive sample at the</w:t>
      </w:r>
    </w:p>
    <w:bookmarkEnd w:id="23"/>
    <w:bookmarkStart w:id="24" w:name="load-packages-required"/>
    <w:p>
      <w:pPr>
        <w:pStyle w:val="Heading2"/>
      </w:pPr>
      <w:r>
        <w:t xml:space="preserve">Load packages required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(gamm4)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"mgcv"</w:t>
      </w:r>
      <w:r>
        <w:rPr>
          <w:rStyle w:val="NormalTok"/>
        </w:rPr>
        <w:t xml:space="preserve">)</w:t>
      </w:r>
    </w:p>
    <w:bookmarkEnd w:id="24"/>
    <w:bookmarkEnd w:id="25"/>
    <w:bookmarkStart w:id="26" w:name="load-obervations"/>
    <w:p>
      <w:pPr>
        <w:pStyle w:val="Heading1"/>
      </w:pPr>
      <w:r>
        <w:t xml:space="preserve">1. Load obervations</w:t>
      </w:r>
    </w:p>
    <w:p>
      <w:pPr>
        <w:pStyle w:val="FirstParagraph"/>
      </w:pPr>
      <w:r>
        <w:t xml:space="preserve">The code below loads the</w:t>
      </w:r>
      <w:r>
        <w:t xml:space="preserve"> </w:t>
      </w:r>
      <w:r>
        <w:t xml:space="preserve">“</w:t>
      </w:r>
      <w:r>
        <w:t xml:space="preserve">Cq shift</w:t>
      </w:r>
      <w:r>
        <w:t xml:space="preserve">”</w:t>
      </w:r>
      <w:r>
        <w:t xml:space="preserve"> </w:t>
      </w:r>
      <w:r>
        <w:t xml:space="preserve">data obtained from studies included in the Cochrane review, and edits to create two datasets in formats required for different methods.</w:t>
      </w:r>
    </w:p>
    <w:p>
      <w:pPr>
        <w:pStyle w:val="SourceCode"/>
      </w:pPr>
      <w:r>
        <w:rPr>
          <w:rStyle w:val="NormalTok"/>
        </w:rPr>
        <w:t xml:space="preserve">shift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"egshift.csv"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indiv=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quality=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eval=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study =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pool_id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n1=</w:t>
      </w:r>
      <w:r>
        <w:rPr>
          <w:rStyle w:val="FunctionTok"/>
        </w:rPr>
        <w:t xml:space="preserve">col_factor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shiftex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(pool_id)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pool_exp1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cq_ist))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shiftnew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(shift,shiftex,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"pool_id"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shiftnew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shiftnew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expgap =</w:t>
      </w:r>
      <w:r>
        <w:rPr>
          <w:rStyle w:val="NormalTok"/>
        </w:rPr>
        <w:t xml:space="preserve"> cq_pool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pool_exp1)</w:t>
      </w:r>
      <w:r>
        <w:br/>
      </w:r>
      <w:r>
        <w:rPr>
          <w:rStyle w:val="NormalTok"/>
        </w:rPr>
        <w:t xml:space="preserve">shiftnew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shiftnew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exp_pool=</w:t>
      </w:r>
      <w:r>
        <w:rPr>
          <w:rStyle w:val="NormalTok"/>
        </w:rPr>
        <w:t xml:space="preserve">cq_ist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expgap)</w:t>
      </w:r>
      <w:r>
        <w:br/>
      </w:r>
      <w:r>
        <w:rPr>
          <w:rStyle w:val="NormalTok"/>
        </w:rPr>
        <w:t xml:space="preserve">shiftnew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shiftnew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diffobs =</w:t>
      </w:r>
      <w:r>
        <w:rPr>
          <w:rStyle w:val="NormalTok"/>
        </w:rPr>
        <w:t xml:space="preserve"> cq_pool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cq_ist)</w:t>
      </w:r>
    </w:p>
    <w:bookmarkEnd w:id="26"/>
    <w:bookmarkStart w:id="29" w:name="model-cq-shift"/>
    <w:p>
      <w:pPr>
        <w:pStyle w:val="Heading1"/>
      </w:pPr>
      <w:r>
        <w:t xml:space="preserve">2. Model Cq shift</w:t>
      </w:r>
    </w:p>
    <w:p>
      <w:pPr>
        <w:pStyle w:val="FirstParagraph"/>
      </w:pPr>
      <w:r>
        <w:t xml:space="preserve">Standard methods exist in laboratory and medical science for comparing measures, including Bland-Altman plots /analysis, Probability of agreement analysis, Passing-Bablok etc. However, these have limitations for the our purpose of modelling expected Cq shift:</w:t>
      </w:r>
    </w:p>
    <w:p>
      <w:pPr>
        <w:numPr>
          <w:ilvl w:val="0"/>
          <w:numId w:val="1001"/>
        </w:numPr>
        <w:pStyle w:val="Compact"/>
      </w:pPr>
      <w:r>
        <w:t xml:space="preserve">Cq measures are made (often) on multiple SARS-CoV-2 gene targets in each sample, and the impact of pooling on Cq can vary between genes.</w:t>
      </w:r>
    </w:p>
    <w:p>
      <w:pPr>
        <w:numPr>
          <w:ilvl w:val="0"/>
          <w:numId w:val="1001"/>
        </w:numPr>
        <w:pStyle w:val="Compact"/>
      </w:pPr>
      <w:r>
        <w:t xml:space="preserve">Multiple positive samples can arise within the same pool.</w:t>
      </w:r>
    </w:p>
    <w:p>
      <w:pPr>
        <w:numPr>
          <w:ilvl w:val="0"/>
          <w:numId w:val="1001"/>
        </w:numPr>
        <w:pStyle w:val="Compact"/>
      </w:pPr>
      <w:r>
        <w:t xml:space="preserve">The probability of multiple positive samples being in the same pool varies with prevalence, and clustering.</w:t>
      </w:r>
    </w:p>
    <w:p>
      <w:pPr>
        <w:pStyle w:val="FirstParagraph"/>
      </w:pPr>
      <w:r>
        <w:t xml:space="preserve">We therefore explored two approaches for defining Cq shift: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GAMM: Generalised Additive Mixed Model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BLMM: Bayesian Linear Mixed Model</w:t>
      </w:r>
    </w:p>
    <w:bookmarkStart w:id="28" w:name="gamm"/>
    <w:p>
      <w:pPr>
        <w:pStyle w:val="Heading2"/>
      </w:pPr>
      <w:r>
        <w:t xml:space="preserve">2.1 GAMM</w:t>
      </w:r>
    </w:p>
    <w:p>
      <w:pPr>
        <w:pStyle w:val="FirstParagraph"/>
      </w:pPr>
      <w:r>
        <w:t xml:space="preserve">We start from theoretical assumption that if a single positive sample is mixed within a pool, with other samples being negative, the pool Cq is expected to be: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sSub>
            <m:e>
              <m:r>
                <m:t>q</m:t>
              </m:r>
            </m:e>
            <m:sub>
              <m:r>
                <m:t>p</m:t>
              </m:r>
              <m:r>
                <m:t>o</m:t>
              </m:r>
              <m:r>
                <m:t>o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C</m:t>
          </m:r>
          <m:sSub>
            <m:e>
              <m:r>
                <m:t>q</m:t>
              </m:r>
            </m:e>
            <m:sub>
              <m:r>
                <m:t>s</m:t>
              </m:r>
              <m:r>
                <m:t>a</m:t>
              </m:r>
              <m:r>
                <m:t>m</m:t>
              </m:r>
              <m:r>
                <m:t>p</m:t>
              </m:r>
              <m:r>
                <m:t>l</m:t>
              </m:r>
              <m:r>
                <m:t>e</m:t>
              </m:r>
            </m:sub>
          </m:sSub>
          <m:r>
            <m:rPr>
              <m:sty m:val="p"/>
            </m:rPr>
            <m:t>−</m:t>
          </m:r>
          <m:r>
            <m:t>l</m:t>
          </m:r>
          <m:r>
            <m:t>o</m:t>
          </m:r>
          <m:r>
            <m:t>g</m:t>
          </m:r>
          <m:r>
            <m:t>2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where;</w:t>
      </w:r>
      <w:r>
        <w:t xml:space="preserve"> </w:t>
      </w:r>
      <w:r>
        <w:t xml:space="preserve">Cqist = individual sample test Cq</w:t>
      </w:r>
      <w:r>
        <w:t xml:space="preserve"> </w:t>
      </w:r>
      <w:r>
        <w:t xml:space="preserve">n = pool size</w:t>
      </w:r>
    </w:p>
    <w:p>
      <w:pPr>
        <w:pStyle w:val="BodyText"/>
      </w:pPr>
      <w:r>
        <w:t xml:space="preserve">This can be generalised to a scenario of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positive samples within a pool as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sSub>
            <m:e>
              <m:r>
                <m:t>q</m:t>
              </m:r>
            </m:e>
            <m:sub>
              <m:r>
                <m:t>p</m:t>
              </m:r>
              <m:r>
                <m:t>o</m:t>
              </m:r>
              <m:r>
                <m:t>o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l</m:t>
          </m:r>
          <m:r>
            <m:t>o</m:t>
          </m:r>
          <m:r>
            <m:t>g</m:t>
          </m:r>
          <m:r>
            <m:t>2</m:t>
          </m:r>
          <m:r>
            <m:rPr>
              <m:sty m:val="p"/>
            </m:rP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C</m:t>
              </m:r>
              <m:sSub>
                <m:e>
                  <m:r>
                    <m:t>q</m:t>
                  </m:r>
                </m:e>
                <m:sub>
                  <m:r>
                    <m:t>s</m:t>
                  </m:r>
                  <m:r>
                    <m:t>a</m:t>
                  </m:r>
                  <m:r>
                    <m:t>m</m:t>
                  </m:r>
                  <m:r>
                    <m:t>p</m:t>
                  </m:r>
                  <m:r>
                    <m:t>l</m:t>
                  </m:r>
                  <m:r>
                    <m:t>e</m:t>
                  </m:r>
                </m:sub>
              </m:sSub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gamm1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gamm4</w:t>
      </w:r>
      <w:r>
        <w:rPr>
          <w:rStyle w:val="NormalTok"/>
        </w:rPr>
        <w:t xml:space="preserve">(cq_pool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(pool_exp1,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gene),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pool_id),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shiftnew)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(gamm1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book_cqshif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2.2 BLMM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for Cq Shift</dc:title>
  <dc:creator/>
  <cp:keywords/>
  <dcterms:created xsi:type="dcterms:W3CDTF">2021-05-21T22:30:26Z</dcterms:created>
  <dcterms:modified xsi:type="dcterms:W3CDTF">2021-05-21T22:30:26Z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