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BFC74" w14:textId="77777777" w:rsidR="00EB4E71" w:rsidRDefault="00000000">
      <w:pPr>
        <w:pStyle w:val="NormalWeb"/>
        <w:spacing w:beforeAutospacing="1" w:afterAutospacing="1"/>
      </w:pPr>
      <w:r>
        <w:rPr>
          <w:rStyle w:val="Strong"/>
        </w:rPr>
        <w:t>Slide 1 — Phase 1 (about 55 seconds)</w:t>
      </w:r>
    </w:p>
    <w:p w14:paraId="1AA01BD5" w14:textId="77777777" w:rsidR="00EB4E71" w:rsidRDefault="00000000">
      <w:pPr>
        <w:pStyle w:val="NormalWeb"/>
        <w:spacing w:beforeAutospacing="1" w:afterAutospacing="1"/>
      </w:pPr>
      <w:r>
        <w:t>The Avellaneda-Stoikov paper asks: how should a market maker set bid and ask quotes when holding risky inventory? Their answer is two formulas. The reservation price shifts your personal fair value below the mid-price when you are long stock — you want to sell — and above mid when you are short. The optimal spread formula then tells you how wide to quote around that shifted price.</w:t>
      </w:r>
    </w:p>
    <w:p w14:paraId="34ABCDBD" w14:textId="77777777" w:rsidR="00EB4E71" w:rsidRDefault="00000000">
      <w:pPr>
        <w:pStyle w:val="NormalWeb"/>
        <w:spacing w:beforeAutospacing="1" w:afterAutospacing="1"/>
      </w:pPr>
      <w:r>
        <w:t>We reproduced the paper's results using 1000 Monte Carlo paths. The key number is here: at gamma equals 0.1, our inventory strategy achieves a P&amp;L standard deviation of 6.4 versus 12.5 for the symmetric benchmark. That is roughly half the risk for the same average profit. This holds across all three gamma values and our numbers match the paper's tables.</w:t>
      </w:r>
    </w:p>
    <w:p w14:paraId="6F40E7CC" w14:textId="77777777" w:rsidR="00EB4E71" w:rsidRDefault="00EB4E71"/>
    <w:p w14:paraId="2DD310DA" w14:textId="77777777" w:rsidR="00EB4E71" w:rsidRDefault="00000000">
      <w:pPr>
        <w:pStyle w:val="NormalWeb"/>
        <w:spacing w:beforeAutospacing="1" w:afterAutospacing="1"/>
      </w:pPr>
      <w:r>
        <w:rPr>
          <w:rStyle w:val="Strong"/>
        </w:rPr>
        <w:t>Slide 2 — Phase 2 (about 50 seconds)</w:t>
      </w:r>
    </w:p>
    <w:p w14:paraId="11ED3383" w14:textId="77777777" w:rsidR="00EB4E71" w:rsidRDefault="00000000">
      <w:pPr>
        <w:pStyle w:val="NormalWeb"/>
        <w:spacing w:beforeAutospacing="1" w:afterAutospacing="1"/>
      </w:pPr>
      <w:r>
        <w:t>The paper's biggest assumption is that volatility is constant forever. In real markets it is not — after a large move, the next move tends to be large too. This is volatility clustering, and GARCH captures it.</w:t>
      </w:r>
    </w:p>
    <w:p w14:paraId="219EE8C5" w14:textId="77777777" w:rsidR="00EB4E71" w:rsidRDefault="00000000">
      <w:pPr>
        <w:pStyle w:val="NormalWeb"/>
        <w:spacing w:beforeAutospacing="1" w:afterAutospacing="1"/>
      </w:pPr>
      <w:r>
        <w:t>We replaced the paper's flat price process with a GARCH(1,1) process that has the same long-run average volatility as the paper but with clustering. The chart shows the result — the GARCH line spikes to over 3.5 in places, while the paper assumes a flat 2. During those spikes the fixed-sigma agent quotes too tight and gets hit by moves it did not price in.</w:t>
      </w:r>
    </w:p>
    <w:p w14:paraId="5774C6B0" w14:textId="77777777" w:rsidR="00EB4E71" w:rsidRDefault="00000000">
      <w:pPr>
        <w:pStyle w:val="NormalWeb"/>
        <w:spacing w:beforeAutospacing="1" w:afterAutospacing="1"/>
      </w:pPr>
      <w:r>
        <w:t>Despite this, the P&amp;L statistics are nearly identical between the two agents. The A-S inventory mechanism is robust — it works even when its own volatility assumption is violated.</w:t>
      </w:r>
    </w:p>
    <w:p w14:paraId="6E482A77" w14:textId="77777777" w:rsidR="00EB4E71" w:rsidRDefault="00EB4E71"/>
    <w:p w14:paraId="3DBF2601" w14:textId="77777777" w:rsidR="00EB4E71" w:rsidRDefault="00000000">
      <w:pPr>
        <w:pStyle w:val="NormalWeb"/>
        <w:spacing w:beforeAutospacing="1" w:afterAutospacing="1"/>
      </w:pPr>
      <w:r>
        <w:rPr>
          <w:rStyle w:val="Strong"/>
        </w:rPr>
        <w:t>Slide 3 — Phase 3 (about 50 seconds)</w:t>
      </w:r>
    </w:p>
    <w:p w14:paraId="3B18B96B" w14:textId="77777777" w:rsidR="00EB4E71" w:rsidRDefault="00000000">
      <w:pPr>
        <w:pStyle w:val="NormalWeb"/>
        <w:spacing w:beforeAutospacing="1" w:afterAutospacing="1"/>
      </w:pPr>
      <w:r>
        <w:t>The paper chose A equals 140 and k equals 1.5 as plausible estimates for the order arrival rate, but never validated them on real data. We used 34,186 real executions from AAPL on June 21, 2012.</w:t>
      </w:r>
    </w:p>
    <w:p w14:paraId="501BFCBE" w14:textId="77777777" w:rsidR="00EB4E71" w:rsidRDefault="00000000">
      <w:pPr>
        <w:pStyle w:val="NormalWeb"/>
        <w:spacing w:beforeAutospacing="1" w:afterAutospacing="1"/>
      </w:pPr>
      <w:r>
        <w:t>The exponential fit achieves R-squared of 0.924 — validating the paper's functional form. Our fitted A is 136.6, almost identical to the paper's 140. Our k is 59.5, which looks very different from 1.5, but this is purely a units issue. AAPL quotes in cent-scale increments while the paper assumed dollar-scale distances. The right panel shows both curves have exactly the same shape when plotted on comparable scales. The power-law alternative achieves only 0.36 and clearly loses.</w:t>
      </w:r>
    </w:p>
    <w:p w14:paraId="35BC5F6E" w14:textId="77777777" w:rsidR="00EB4E71" w:rsidRDefault="00EB4E71"/>
    <w:p w14:paraId="3468E304" w14:textId="77777777" w:rsidR="00EB4E71" w:rsidRDefault="00000000">
      <w:pPr>
        <w:pStyle w:val="NormalWeb"/>
        <w:spacing w:beforeAutospacing="1" w:afterAutospacing="1"/>
      </w:pPr>
      <w:r>
        <w:rPr>
          <w:rStyle w:val="Strong"/>
        </w:rPr>
        <w:lastRenderedPageBreak/>
        <w:t>Slide 4 — Phase 4 (about 55 seconds)</w:t>
      </w:r>
    </w:p>
    <w:p w14:paraId="5E6F5AD0" w14:textId="77777777" w:rsidR="00EB4E71" w:rsidRDefault="00000000">
      <w:pPr>
        <w:pStyle w:val="NormalWeb"/>
        <w:spacing w:beforeAutospacing="1" w:afterAutospacing="1"/>
      </w:pPr>
      <w:r>
        <w:t>The paper handles one stock. We extend to two correlated assets — AAPL and AMZN — using the full covariance matrix. The key new term is rho times sigma-one times sigma-two times q-two in the reservation price formula. This means your AMZN inventory now shifts your AAPL fair value, scaled by how correlated the two stocks are. This term is completely absent from the single-asset model.</w:t>
      </w:r>
    </w:p>
    <w:p w14:paraId="1D0738AA" w14:textId="77777777" w:rsidR="00EB4E71" w:rsidRDefault="00000000">
      <w:pPr>
        <w:pStyle w:val="NormalWeb"/>
        <w:spacing w:beforeAutospacing="1" w:afterAutospacing="1"/>
      </w:pPr>
      <w:r>
        <w:t>We verified the math: setting rho to zero collapses exactly back to two independent single-asset agents — both pass. With real data, the realized AAPL-AMZN correlation is 0.497. If the agent ignores this and uses rho equals zero, it misquotes by 0.455 price units. For our second pair — AAPL morning versus afternoon, where correlation is essentially zero — the cost is negligible. The model correctly identifies when correlation modeling matters and when the single-asset formula is already sufficient.</w:t>
      </w:r>
    </w:p>
    <w:p w14:paraId="71991043" w14:textId="201AFAE0" w:rsidR="005971F3" w:rsidRDefault="005971F3" w:rsidP="005971F3">
      <w:pPr>
        <w:pStyle w:val="NormalWeb"/>
        <w:spacing w:beforeAutospacing="1" w:afterAutospacing="1"/>
        <w:rPr>
          <w:rStyle w:val="Strong"/>
        </w:rPr>
      </w:pPr>
      <w:r>
        <w:rPr>
          <w:rStyle w:val="Strong"/>
        </w:rPr>
        <w:t>Slide</w:t>
      </w:r>
      <w:r>
        <w:rPr>
          <w:rStyle w:val="Strong"/>
          <w:rFonts w:hint="eastAsia"/>
        </w:rPr>
        <w:t xml:space="preserve"> </w:t>
      </w:r>
      <w:r w:rsidR="00ED558E">
        <w:rPr>
          <w:rStyle w:val="Strong"/>
          <w:rFonts w:hint="eastAsia"/>
        </w:rPr>
        <w:t>6</w:t>
      </w:r>
      <w:r w:rsidR="00ED558E">
        <w:rPr>
          <w:rStyle w:val="Strong"/>
          <w:rFonts w:hint="eastAsia"/>
        </w:rPr>
        <w:t>，</w:t>
      </w:r>
      <w:r w:rsidR="00ED558E">
        <w:rPr>
          <w:rStyle w:val="Strong"/>
          <w:rFonts w:hint="eastAsia"/>
        </w:rPr>
        <w:t>7</w:t>
      </w:r>
      <w:r w:rsidR="00ED558E">
        <w:rPr>
          <w:rStyle w:val="Strong"/>
          <w:rFonts w:hint="eastAsia"/>
        </w:rPr>
        <w:t>，</w:t>
      </w:r>
      <w:r w:rsidR="00ED558E">
        <w:rPr>
          <w:rStyle w:val="Strong"/>
          <w:rFonts w:hint="eastAsia"/>
        </w:rPr>
        <w:t>8</w:t>
      </w:r>
      <w:r>
        <w:rPr>
          <w:rStyle w:val="Strong"/>
        </w:rPr>
        <w:t xml:space="preserve"> — Phase </w:t>
      </w:r>
      <w:r>
        <w:rPr>
          <w:rStyle w:val="Strong"/>
          <w:rFonts w:hint="eastAsia"/>
        </w:rPr>
        <w:t>5</w:t>
      </w:r>
      <w:r>
        <w:rPr>
          <w:rStyle w:val="Strong"/>
        </w:rPr>
        <w:t xml:space="preserve"> (about </w:t>
      </w:r>
      <w:r w:rsidR="00B66B0B">
        <w:rPr>
          <w:rStyle w:val="Strong"/>
          <w:rFonts w:hint="eastAsia"/>
        </w:rPr>
        <w:t>90</w:t>
      </w:r>
      <w:r>
        <w:rPr>
          <w:rStyle w:val="Strong"/>
        </w:rPr>
        <w:t xml:space="preserve"> seconds)</w:t>
      </w:r>
    </w:p>
    <w:p w14:paraId="2F878C1C" w14:textId="77777777" w:rsidR="008D3571" w:rsidRDefault="008D3571" w:rsidP="008D3571">
      <w:pPr>
        <w:pStyle w:val="NormalWeb"/>
      </w:pPr>
      <w:r w:rsidRPr="008D3571">
        <w:t>Now we move to the reinforcement learning benchmark.</w:t>
      </w:r>
    </w:p>
    <w:p w14:paraId="2E6F805C" w14:textId="77777777" w:rsidR="00362A53" w:rsidRPr="008D3571" w:rsidRDefault="00362A53" w:rsidP="008D3571">
      <w:pPr>
        <w:pStyle w:val="NormalWeb"/>
      </w:pPr>
    </w:p>
    <w:p w14:paraId="7E16E8E8" w14:textId="22A8AF3D" w:rsidR="008D3571" w:rsidRDefault="008D3571" w:rsidP="008D3571">
      <w:pPr>
        <w:pStyle w:val="NormalWeb"/>
        <w:rPr>
          <w:rFonts w:hint="eastAsia"/>
        </w:rPr>
      </w:pPr>
      <w:r w:rsidRPr="008D3571">
        <w:t>First, reinforcement learning is a learning framework where an agent interacts with an environment, observes a state, takes an action, receives a reward, and gradually learns which actions perform better</w:t>
      </w:r>
      <w:r w:rsidR="00362A53">
        <w:rPr>
          <w:rFonts w:hint="eastAsia"/>
        </w:rPr>
        <w:t xml:space="preserve"> in long term</w:t>
      </w:r>
      <w:r w:rsidRPr="008D3571">
        <w:t xml:space="preserve">. This fits market making because </w:t>
      </w:r>
      <w:r w:rsidR="00362A53">
        <w:rPr>
          <w:rFonts w:hint="eastAsia"/>
        </w:rPr>
        <w:t>it calculates future sequential rewards.</w:t>
      </w:r>
    </w:p>
    <w:p w14:paraId="2EA59727" w14:textId="77777777" w:rsidR="00362A53" w:rsidRPr="008D3571" w:rsidRDefault="00362A53" w:rsidP="008D3571">
      <w:pPr>
        <w:pStyle w:val="NormalWeb"/>
      </w:pPr>
    </w:p>
    <w:p w14:paraId="4FF20B36" w14:textId="260E7CDF" w:rsidR="008D3571" w:rsidRDefault="008D3571" w:rsidP="008D3571">
      <w:pPr>
        <w:pStyle w:val="NormalWeb"/>
      </w:pPr>
      <w:r w:rsidRPr="008D3571">
        <w:t>For our setup, we use a simple tabular Q-learning agent</w:t>
      </w:r>
      <w:r w:rsidR="00F6503C">
        <w:rPr>
          <w:rFonts w:hint="eastAsia"/>
        </w:rPr>
        <w:t xml:space="preserve"> as modern benchmark</w:t>
      </w:r>
      <w:r w:rsidRPr="008D3571">
        <w:t>. The state includes inventory, time bucket, and volatility regime. The action is choosing bid and ask quote distances from a small grid. The reward is change in wealth minus an inventory penalty, so the agent is encouraged to make money without taking excessive directional risk.</w:t>
      </w:r>
    </w:p>
    <w:p w14:paraId="55C22197" w14:textId="77777777" w:rsidR="00362A53" w:rsidRPr="008D3571" w:rsidRDefault="00362A53" w:rsidP="008D3571">
      <w:pPr>
        <w:pStyle w:val="NormalWeb"/>
      </w:pPr>
    </w:p>
    <w:p w14:paraId="13A4E512" w14:textId="77777777" w:rsidR="008D3571" w:rsidRDefault="008D3571" w:rsidP="008D3571">
      <w:pPr>
        <w:pStyle w:val="NormalWeb"/>
      </w:pPr>
      <w:r w:rsidRPr="008D3571">
        <w:t>The main result is shown in the final backtest figure and table. On real AAPL data, the Avellaneda-Stoikov inventory strategy and the symmetric benchmark both finish around 530 in final P&amp;L, with Sharpe ratios around 14.3. The RL agent finishes lower, around 460 P&amp;L, with Sharpe around 12.5. So in this experiment, RL underperforms A-S by about 13 percent in P&amp;L.</w:t>
      </w:r>
    </w:p>
    <w:p w14:paraId="00EFE4DA" w14:textId="77777777" w:rsidR="00362A53" w:rsidRPr="008D3571" w:rsidRDefault="00362A53" w:rsidP="008D3571">
      <w:pPr>
        <w:pStyle w:val="NormalWeb"/>
      </w:pPr>
    </w:p>
    <w:p w14:paraId="37F49DD6" w14:textId="4A65000C" w:rsidR="008D3571" w:rsidRDefault="008D3571" w:rsidP="008D3571">
      <w:pPr>
        <w:pStyle w:val="NormalWeb"/>
        <w:rPr>
          <w:rFonts w:hint="eastAsia"/>
        </w:rPr>
      </w:pPr>
      <w:r w:rsidRPr="008D3571">
        <w:t xml:space="preserve">The interpretation is important: </w:t>
      </w:r>
      <w:r w:rsidR="00947966">
        <w:rPr>
          <w:rFonts w:hint="eastAsia"/>
        </w:rPr>
        <w:t>analytical solution outperforms simple artificial intelligence solution it fits with markets.</w:t>
      </w:r>
    </w:p>
    <w:p w14:paraId="27ABC009" w14:textId="77777777" w:rsidR="00362A53" w:rsidRPr="008D3571" w:rsidRDefault="00362A53" w:rsidP="008D3571">
      <w:pPr>
        <w:pStyle w:val="NormalWeb"/>
      </w:pPr>
    </w:p>
    <w:p w14:paraId="3E57DA5B" w14:textId="77777777" w:rsidR="008D3571" w:rsidRPr="008D3571" w:rsidRDefault="008D3571" w:rsidP="008D3571">
      <w:pPr>
        <w:pStyle w:val="NormalWeb"/>
      </w:pPr>
      <w:r w:rsidRPr="008D3571">
        <w:t>So the final takeaway from the whole project is: Avellaneda-Stoikov remains a strong baseline. It reduces inventory risk, is robust under GARCH volatility clustering, can be calibrated with real LOBSTER data, extended to multi-asset settings, and still outperforms a simple tabular RL benchmark in our real-data backtest.</w:t>
      </w:r>
    </w:p>
    <w:p w14:paraId="61E0A683" w14:textId="77777777" w:rsidR="008D3571" w:rsidRDefault="008D3571" w:rsidP="005971F3">
      <w:pPr>
        <w:pStyle w:val="NormalWeb"/>
        <w:spacing w:beforeAutospacing="1" w:afterAutospacing="1"/>
      </w:pPr>
    </w:p>
    <w:p w14:paraId="1619A9F0" w14:textId="77777777" w:rsidR="005971F3" w:rsidRDefault="005971F3">
      <w:pPr>
        <w:pStyle w:val="NormalWeb"/>
        <w:spacing w:beforeAutospacing="1" w:afterAutospacing="1"/>
      </w:pPr>
    </w:p>
    <w:p w14:paraId="2DCA6CC8" w14:textId="77777777" w:rsidR="00EB4E71" w:rsidRDefault="00EB4E71"/>
    <w:sectPr w:rsidR="00EB4E71">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EAF7C396"/>
    <w:rsid w:val="00362A53"/>
    <w:rsid w:val="005971F3"/>
    <w:rsid w:val="008D3571"/>
    <w:rsid w:val="00947966"/>
    <w:rsid w:val="00B66B0B"/>
    <w:rsid w:val="00B843DC"/>
    <w:rsid w:val="00EB4E71"/>
    <w:rsid w:val="00ED558E"/>
    <w:rsid w:val="00EE1034"/>
    <w:rsid w:val="00F6503C"/>
    <w:rsid w:val="EAF7C3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3BE140"/>
  <w15:docId w15:val="{75E36B21-530D-4F30-8939-DDD91FEBE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Pr>
      <w:sz w:val="24"/>
      <w:szCs w:val="24"/>
    </w:rPr>
  </w:style>
  <w:style w:type="character" w:styleId="Strong">
    <w:name w:val="Strong"/>
    <w:basedOn w:val="DefaultParagraphFont"/>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712</Words>
  <Characters>4059</Characters>
  <Application>Microsoft Office Word</Application>
  <DocSecurity>0</DocSecurity>
  <Lines>33</Lines>
  <Paragraphs>9</Paragraphs>
  <ScaleCrop>false</ScaleCrop>
  <Company/>
  <LinksUpToDate>false</LinksUpToDate>
  <CharactersWithSpaces>4762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Yidi Pei</dc:creator>
  <cp:lastModifiedBy>凌峰 赵</cp:lastModifiedBy>
  <cp:revision>9</cp:revision>
  <dcterms:created xsi:type="dcterms:W3CDTF">2026-04-27T18:33:00Z</dcterms:created>
  <dcterms:modified xsi:type="dcterms:W3CDTF">2026-04-28T02:22:00Z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1033-12.1.25867.25867</vt:lpwstr>
  </property>
  <property fmtid="{D5CDD505-2E9C-101B-9397-08002B2CF9AE}" pid="3" name="ICV">
    <vt:lpwstr>090E2F80CB3AA97A3FE4EF6919788C56_41</vt:lpwstr>
  </property>
</Properties>
</file>