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39CD4" w14:textId="33BD3AF6" w:rsidR="005C081C" w:rsidRDefault="005C081C">
      <w:r>
        <w:t>Investigation of the effect of batteries on the electricity price in times of high RES penetration with the help of a two stage model</w:t>
      </w:r>
    </w:p>
    <w:p w14:paraId="73181170" w14:textId="77777777" w:rsidR="005C081C" w:rsidRDefault="005C081C"/>
    <w:p w14:paraId="2F1AE07F" w14:textId="1D24C9AF" w:rsidR="005C081C" w:rsidRDefault="005C081C">
      <w:r>
        <w:t>Literature Review</w:t>
      </w:r>
    </w:p>
    <w:p w14:paraId="6A6C2498" w14:textId="71B0B738" w:rsidR="005C081C" w:rsidRDefault="005C081C">
      <w:r>
        <w:t>Mwampashi und Nikitopoulos (2025/2026)</w:t>
      </w:r>
    </w:p>
    <w:p w14:paraId="03B8F660" w14:textId="77777777" w:rsidR="005C081C" w:rsidRPr="005C081C" w:rsidRDefault="005C081C" w:rsidP="005C08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C081C">
        <w:rPr>
          <w:rFonts w:ascii="Times New Roman" w:eastAsia="Times New Roman" w:hAnsi="Times New Roman" w:cs="Times New Roman"/>
          <w:b/>
          <w:bCs/>
          <w:kern w:val="0"/>
          <w:sz w:val="27"/>
          <w:szCs w:val="27"/>
          <w:lang w:eastAsia="en-GB"/>
          <w14:ligatures w14:val="none"/>
        </w:rPr>
        <w:t>1. Theoretische Bestätigung deiner „zwei Welten“</w:t>
      </w:r>
    </w:p>
    <w:p w14:paraId="69D077CC" w14:textId="77777777" w:rsidR="005C081C" w:rsidRPr="005C081C" w:rsidRDefault="005C081C" w:rsidP="005C08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kern w:val="0"/>
          <w:lang w:eastAsia="en-GB"/>
          <w14:ligatures w14:val="none"/>
        </w:rPr>
        <w:t xml:space="preserve">Das Paper bestätigt deine Grundannahme, dass der Strommarkt in verschiedenen Zuständen (Regimes) völlig unterschiedlich funktioniert. Die Autoren nutzen zwar kein Threshold-Modell, belegen aber mittels </w:t>
      </w:r>
      <w:r w:rsidRPr="005C081C">
        <w:rPr>
          <w:rFonts w:ascii="Times New Roman" w:eastAsia="Times New Roman" w:hAnsi="Times New Roman" w:cs="Times New Roman"/>
          <w:b/>
          <w:bCs/>
          <w:kern w:val="0"/>
          <w:lang w:eastAsia="en-GB"/>
          <w14:ligatures w14:val="none"/>
        </w:rPr>
        <w:t>Quantilsregression</w:t>
      </w:r>
      <w:r w:rsidRPr="005C081C">
        <w:rPr>
          <w:rFonts w:ascii="Times New Roman" w:eastAsia="Times New Roman" w:hAnsi="Times New Roman" w:cs="Times New Roman"/>
          <w:kern w:val="0"/>
          <w:lang w:eastAsia="en-GB"/>
          <w14:ligatures w14:val="none"/>
        </w:rPr>
        <w:t>, dass Variablen wie Wind- und Solarenergie bei niedrigen Preisen (dein „Stress-Regime“) massiven Einfluss haben, während sie bei hohen Preisen („Normal-Regime“) fast wirkungslos sind.</w:t>
      </w:r>
    </w:p>
    <w:p w14:paraId="7D90AC6A" w14:textId="77777777" w:rsidR="005C081C" w:rsidRPr="005C081C" w:rsidRDefault="005C081C" w:rsidP="005C081C">
      <w:pPr>
        <w:spacing w:after="0" w:line="240" w:lineRule="auto"/>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kern w:val="0"/>
          <w:lang w:eastAsia="en-GB"/>
          <w14:ligatures w14:val="none"/>
        </w:rPr>
        <w:t>+2</w:t>
      </w:r>
    </w:p>
    <w:p w14:paraId="32336082" w14:textId="77777777" w:rsidR="005C081C" w:rsidRPr="005C081C" w:rsidRDefault="005C081C" w:rsidP="005C08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C081C">
        <w:rPr>
          <w:rFonts w:ascii="Times New Roman" w:eastAsia="Times New Roman" w:hAnsi="Times New Roman" w:cs="Times New Roman"/>
          <w:b/>
          <w:bCs/>
          <w:kern w:val="0"/>
          <w:sz w:val="27"/>
          <w:szCs w:val="27"/>
          <w:lang w:eastAsia="en-GB"/>
          <w14:ligatures w14:val="none"/>
        </w:rPr>
        <w:t>2. Endogenität und methodische Rechtfertigung</w:t>
      </w:r>
    </w:p>
    <w:p w14:paraId="780A3AC2" w14:textId="77777777" w:rsidR="005C081C" w:rsidRPr="005C081C" w:rsidRDefault="005C081C" w:rsidP="005C08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kern w:val="0"/>
          <w:lang w:eastAsia="en-GB"/>
          <w14:ligatures w14:val="none"/>
        </w:rPr>
        <w:t>Deine Kritik an OLS-Modellen wird im Paper gestützt:</w:t>
      </w:r>
    </w:p>
    <w:p w14:paraId="3B7D1505" w14:textId="77777777" w:rsidR="005C081C" w:rsidRPr="005C081C" w:rsidRDefault="005C081C" w:rsidP="005C081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b/>
          <w:bCs/>
          <w:kern w:val="0"/>
          <w:lang w:eastAsia="en-GB"/>
          <w14:ligatures w14:val="none"/>
        </w:rPr>
        <w:t>Nicht-Linearität</w:t>
      </w:r>
      <w:r w:rsidRPr="005C081C">
        <w:rPr>
          <w:rFonts w:ascii="Times New Roman" w:eastAsia="Times New Roman" w:hAnsi="Times New Roman" w:cs="Times New Roman"/>
          <w:kern w:val="0"/>
          <w:lang w:eastAsia="en-GB"/>
          <w14:ligatures w14:val="none"/>
        </w:rPr>
        <w:t>: Die Autoren betonen, dass die Beziehung zwischen Preis und Fundamentaldaten komplex und nicht-linear ist, was einfache lineare Modelle (wie OLS) unpräzise macht.</w:t>
      </w:r>
    </w:p>
    <w:p w14:paraId="489C3410" w14:textId="77777777" w:rsidR="005C081C" w:rsidRPr="005C081C" w:rsidRDefault="005C081C" w:rsidP="005C081C">
      <w:pPr>
        <w:spacing w:beforeAutospacing="1" w:after="0" w:afterAutospacing="1" w:line="240" w:lineRule="auto"/>
        <w:ind w:left="720"/>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kern w:val="0"/>
          <w:lang w:eastAsia="en-GB"/>
          <w14:ligatures w14:val="none"/>
        </w:rPr>
        <w:t>+1</w:t>
      </w:r>
    </w:p>
    <w:p w14:paraId="2B861C16" w14:textId="77777777" w:rsidR="005C081C" w:rsidRPr="005C081C" w:rsidRDefault="005C081C" w:rsidP="005C081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b/>
          <w:bCs/>
          <w:kern w:val="0"/>
          <w:lang w:eastAsia="en-GB"/>
          <w14:ligatures w14:val="none"/>
        </w:rPr>
        <w:t>Strategisches Verhalten</w:t>
      </w:r>
      <w:r w:rsidRPr="005C081C">
        <w:rPr>
          <w:rFonts w:ascii="Times New Roman" w:eastAsia="Times New Roman" w:hAnsi="Times New Roman" w:cs="Times New Roman"/>
          <w:kern w:val="0"/>
          <w:lang w:eastAsia="en-GB"/>
          <w14:ligatures w14:val="none"/>
        </w:rPr>
        <w:t>: Sie dokumentieren, dass Akteure wie Hydro-Generatoren ihr Gebotsverhalten strategisch an die Preise anpassen („Shadow Pricing“), was die von dir vermutete Rückkopplungsschleife (Endogenität) bestätigt.</w:t>
      </w:r>
    </w:p>
    <w:p w14:paraId="52F03C67" w14:textId="77777777" w:rsidR="005C081C" w:rsidRPr="005C081C" w:rsidRDefault="005C081C" w:rsidP="005C081C">
      <w:pPr>
        <w:spacing w:beforeAutospacing="1" w:after="0" w:afterAutospacing="1" w:line="240" w:lineRule="auto"/>
        <w:ind w:left="720"/>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kern w:val="0"/>
          <w:lang w:eastAsia="en-GB"/>
          <w14:ligatures w14:val="none"/>
        </w:rPr>
        <w:t>+2</w:t>
      </w:r>
    </w:p>
    <w:p w14:paraId="654A0F09" w14:textId="77777777" w:rsidR="005C081C" w:rsidRPr="005C081C" w:rsidRDefault="005C081C" w:rsidP="005C08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C081C">
        <w:rPr>
          <w:rFonts w:ascii="Times New Roman" w:eastAsia="Times New Roman" w:hAnsi="Times New Roman" w:cs="Times New Roman"/>
          <w:b/>
          <w:bCs/>
          <w:kern w:val="0"/>
          <w:sz w:val="27"/>
          <w:szCs w:val="27"/>
          <w:lang w:eastAsia="en-GB"/>
          <w14:ligatures w14:val="none"/>
        </w:rPr>
        <w:t>3. Batterien als „fehlendes Puzzleteil“</w:t>
      </w:r>
    </w:p>
    <w:p w14:paraId="652FC161" w14:textId="77777777" w:rsidR="005C081C" w:rsidRPr="005C081C" w:rsidRDefault="005C081C" w:rsidP="005C08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kern w:val="0"/>
          <w:lang w:eastAsia="en-GB"/>
          <w14:ligatures w14:val="none"/>
        </w:rPr>
        <w:t xml:space="preserve">In deinem Modell sind Batterien der entscheidende Faktor für die Marktkorrektur. Das Paper zeigt hier eine klare </w:t>
      </w:r>
      <w:r w:rsidRPr="005C081C">
        <w:rPr>
          <w:rFonts w:ascii="Times New Roman" w:eastAsia="Times New Roman" w:hAnsi="Times New Roman" w:cs="Times New Roman"/>
          <w:b/>
          <w:bCs/>
          <w:kern w:val="0"/>
          <w:lang w:eastAsia="en-GB"/>
          <w14:ligatures w14:val="none"/>
        </w:rPr>
        <w:t>Forschungslücke</w:t>
      </w:r>
      <w:r w:rsidRPr="005C081C">
        <w:rPr>
          <w:rFonts w:ascii="Times New Roman" w:eastAsia="Times New Roman" w:hAnsi="Times New Roman" w:cs="Times New Roman"/>
          <w:kern w:val="0"/>
          <w:lang w:eastAsia="en-GB"/>
          <w14:ligatures w14:val="none"/>
        </w:rPr>
        <w:t xml:space="preserve"> für dich auf:</w:t>
      </w:r>
    </w:p>
    <w:p w14:paraId="741AA2C4" w14:textId="77777777" w:rsidR="005C081C" w:rsidRPr="005C081C" w:rsidRDefault="005C081C" w:rsidP="005C081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b/>
          <w:bCs/>
          <w:kern w:val="0"/>
          <w:lang w:eastAsia="en-GB"/>
          <w14:ligatures w14:val="none"/>
        </w:rPr>
        <w:t>Geringer Anteil</w:t>
      </w:r>
      <w:r w:rsidRPr="005C081C">
        <w:rPr>
          <w:rFonts w:ascii="Times New Roman" w:eastAsia="Times New Roman" w:hAnsi="Times New Roman" w:cs="Times New Roman"/>
          <w:kern w:val="0"/>
          <w:lang w:eastAsia="en-GB"/>
          <w14:ligatures w14:val="none"/>
        </w:rPr>
        <w:t xml:space="preserve">: Im Untersuchungszeitraum des Papers (bis Ende 2022) machten Batterien weniger als </w:t>
      </w:r>
      <w:r w:rsidRPr="005C081C">
        <w:rPr>
          <w:rFonts w:ascii="Times New Roman" w:eastAsia="Times New Roman" w:hAnsi="Times New Roman" w:cs="Times New Roman"/>
          <w:b/>
          <w:bCs/>
          <w:kern w:val="0"/>
          <w:lang w:eastAsia="en-GB"/>
          <w14:ligatures w14:val="none"/>
        </w:rPr>
        <w:t>1 %</w:t>
      </w:r>
      <w:r w:rsidRPr="005C081C">
        <w:rPr>
          <w:rFonts w:ascii="Times New Roman" w:eastAsia="Times New Roman" w:hAnsi="Times New Roman" w:cs="Times New Roman"/>
          <w:kern w:val="0"/>
          <w:lang w:eastAsia="en-GB"/>
          <w14:ligatures w14:val="none"/>
        </w:rPr>
        <w:t xml:space="preserve"> der Erzeugung aus.</w:t>
      </w:r>
    </w:p>
    <w:p w14:paraId="3CE3350F" w14:textId="77777777" w:rsidR="005C081C" w:rsidRPr="005C081C" w:rsidRDefault="005C081C" w:rsidP="005C081C">
      <w:pPr>
        <w:spacing w:beforeAutospacing="1" w:after="0" w:afterAutospacing="1" w:line="240" w:lineRule="auto"/>
        <w:ind w:left="720"/>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kern w:val="0"/>
          <w:lang w:eastAsia="en-GB"/>
          <w14:ligatures w14:val="none"/>
        </w:rPr>
        <w:t>+1</w:t>
      </w:r>
    </w:p>
    <w:p w14:paraId="73776407" w14:textId="77777777" w:rsidR="005C081C" w:rsidRPr="005C081C" w:rsidRDefault="005C081C" w:rsidP="005C081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b/>
          <w:bCs/>
          <w:kern w:val="0"/>
          <w:lang w:eastAsia="en-GB"/>
          <w14:ligatures w14:val="none"/>
        </w:rPr>
        <w:t>Keine Korrektur-Analyse</w:t>
      </w:r>
      <w:r w:rsidRPr="005C081C">
        <w:rPr>
          <w:rFonts w:ascii="Times New Roman" w:eastAsia="Times New Roman" w:hAnsi="Times New Roman" w:cs="Times New Roman"/>
          <w:kern w:val="0"/>
          <w:lang w:eastAsia="en-GB"/>
          <w14:ligatures w14:val="none"/>
        </w:rPr>
        <w:t>: Da der Datensatz des Papers 2022 endet, konnten die Autoren den massiven Batterie-Boom der Jahre 2023–2025 noch nicht statistisch erfassen. Batterien werden dort eher als zukünftige Empfehlung zur Stärkung der Marktstabilität genannt.</w:t>
      </w:r>
    </w:p>
    <w:p w14:paraId="464549BE" w14:textId="77777777" w:rsidR="005C081C" w:rsidRPr="005C081C" w:rsidRDefault="005C081C" w:rsidP="005C081C">
      <w:pPr>
        <w:spacing w:beforeAutospacing="1" w:after="0" w:afterAutospacing="1" w:line="240" w:lineRule="auto"/>
        <w:ind w:left="720"/>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kern w:val="0"/>
          <w:lang w:eastAsia="en-GB"/>
          <w14:ligatures w14:val="none"/>
        </w:rPr>
        <w:lastRenderedPageBreak/>
        <w:t>+2</w:t>
      </w:r>
    </w:p>
    <w:p w14:paraId="6B2AD8C2" w14:textId="77777777" w:rsidR="005C081C" w:rsidRPr="005C081C" w:rsidRDefault="005C081C" w:rsidP="005C08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C081C">
        <w:rPr>
          <w:rFonts w:ascii="Times New Roman" w:eastAsia="Times New Roman" w:hAnsi="Times New Roman" w:cs="Times New Roman"/>
          <w:b/>
          <w:bCs/>
          <w:kern w:val="0"/>
          <w:sz w:val="27"/>
          <w:szCs w:val="27"/>
          <w:lang w:eastAsia="en-GB"/>
          <w14:ligatures w14:val="none"/>
        </w:rPr>
        <w:t>4. Südaustralien als „Reallabor“</w:t>
      </w:r>
    </w:p>
    <w:p w14:paraId="65CA8967" w14:textId="77777777" w:rsidR="005C081C" w:rsidRPr="005C081C" w:rsidRDefault="005C081C" w:rsidP="005C08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kern w:val="0"/>
          <w:lang w:eastAsia="en-GB"/>
          <w14:ligatures w14:val="none"/>
        </w:rPr>
        <w:t xml:space="preserve">Das Paper analysiert zwar den gesamten NEM, hebt </w:t>
      </w:r>
      <w:r w:rsidRPr="005C081C">
        <w:rPr>
          <w:rFonts w:ascii="Times New Roman" w:eastAsia="Times New Roman" w:hAnsi="Times New Roman" w:cs="Times New Roman"/>
          <w:b/>
          <w:bCs/>
          <w:kern w:val="0"/>
          <w:lang w:eastAsia="en-GB"/>
          <w14:ligatures w14:val="none"/>
        </w:rPr>
        <w:t>South Australia (SA)</w:t>
      </w:r>
      <w:r w:rsidRPr="005C081C">
        <w:rPr>
          <w:rFonts w:ascii="Times New Roman" w:eastAsia="Times New Roman" w:hAnsi="Times New Roman" w:cs="Times New Roman"/>
          <w:kern w:val="0"/>
          <w:lang w:eastAsia="en-GB"/>
          <w14:ligatures w14:val="none"/>
        </w:rPr>
        <w:t xml:space="preserve"> aber als den Staat hervor, in dem deine Thesen am besten prüfbar sind. SA ist die einzige Region, in der erneuerbare Energien bereits jetzt stark genug sind, um Preise über die gesamte Verteilung hinweg zu beeinflussen – genau dort setzt deine Analyse an.</w:t>
      </w:r>
    </w:p>
    <w:p w14:paraId="2606293C" w14:textId="77777777" w:rsidR="005C081C" w:rsidRPr="005C081C" w:rsidRDefault="005C081C" w:rsidP="005C081C">
      <w:pPr>
        <w:spacing w:after="0" w:line="240" w:lineRule="auto"/>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kern w:val="0"/>
          <w:lang w:eastAsia="en-GB"/>
          <w14:ligatures w14:val="none"/>
        </w:rPr>
        <w:t>+4</w:t>
      </w:r>
    </w:p>
    <w:p w14:paraId="55689D17" w14:textId="77777777" w:rsidR="005C081C" w:rsidRPr="005C081C" w:rsidRDefault="005C081C" w:rsidP="005C08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b/>
          <w:bCs/>
          <w:kern w:val="0"/>
          <w:lang w:eastAsia="en-GB"/>
          <w14:ligatures w14:val="none"/>
        </w:rPr>
        <w:t>Zusammenfassend</w:t>
      </w:r>
      <w:r w:rsidRPr="005C081C">
        <w:rPr>
          <w:rFonts w:ascii="Times New Roman" w:eastAsia="Times New Roman" w:hAnsi="Times New Roman" w:cs="Times New Roman"/>
          <w:kern w:val="0"/>
          <w:lang w:eastAsia="en-GB"/>
          <w14:ligatures w14:val="none"/>
        </w:rPr>
        <w:t xml:space="preserve">: Das Paper liefert dir das </w:t>
      </w:r>
      <w:r w:rsidRPr="005C081C">
        <w:rPr>
          <w:rFonts w:ascii="Times New Roman" w:eastAsia="Times New Roman" w:hAnsi="Times New Roman" w:cs="Times New Roman"/>
          <w:b/>
          <w:bCs/>
          <w:kern w:val="0"/>
          <w:lang w:eastAsia="en-GB"/>
          <w14:ligatures w14:val="none"/>
        </w:rPr>
        <w:t>wissenschaftliche Fundament</w:t>
      </w:r>
      <w:r w:rsidRPr="005C081C">
        <w:rPr>
          <w:rFonts w:ascii="Times New Roman" w:eastAsia="Times New Roman" w:hAnsi="Times New Roman" w:cs="Times New Roman"/>
          <w:kern w:val="0"/>
          <w:lang w:eastAsia="en-GB"/>
          <w14:ligatures w14:val="none"/>
        </w:rPr>
        <w:t xml:space="preserve"> für die Existenz der Regimes, lässt aber die </w:t>
      </w:r>
      <w:r w:rsidRPr="005C081C">
        <w:rPr>
          <w:rFonts w:ascii="Times New Roman" w:eastAsia="Times New Roman" w:hAnsi="Times New Roman" w:cs="Times New Roman"/>
          <w:b/>
          <w:bCs/>
          <w:kern w:val="0"/>
          <w:lang w:eastAsia="en-GB"/>
          <w14:ligatures w14:val="none"/>
        </w:rPr>
        <w:t>statistische Tür offen</w:t>
      </w:r>
      <w:r w:rsidRPr="005C081C">
        <w:rPr>
          <w:rFonts w:ascii="Times New Roman" w:eastAsia="Times New Roman" w:hAnsi="Times New Roman" w:cs="Times New Roman"/>
          <w:kern w:val="0"/>
          <w:lang w:eastAsia="en-GB"/>
          <w14:ligatures w14:val="none"/>
        </w:rPr>
        <w:t xml:space="preserve"> für deine Analyse, wie der Batterie-Boom nach 2022 diese Regimes und deren Schwellenwerte (Thresholds) tatsächlich verändert hat.</w:t>
      </w:r>
    </w:p>
    <w:p w14:paraId="295F6156" w14:textId="77777777" w:rsidR="005C081C" w:rsidRPr="005C081C" w:rsidRDefault="005C081C" w:rsidP="005C08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081C">
        <w:rPr>
          <w:rFonts w:ascii="Times New Roman" w:eastAsia="Times New Roman" w:hAnsi="Times New Roman" w:cs="Times New Roman"/>
          <w:kern w:val="0"/>
          <w:lang w:eastAsia="en-GB"/>
          <w14:ligatures w14:val="none"/>
        </w:rPr>
        <w:t>Soll ich dir dabei helfen, die Struktur für den Vergleich zwischen dem "alten" Regime (Paper-Daten bis 2022) und deinem "neuen" Regime (Daten 2023-2025) aufzusetzen?</w:t>
      </w:r>
    </w:p>
    <w:p w14:paraId="421D6B38" w14:textId="77777777" w:rsidR="005C081C" w:rsidRDefault="005C081C"/>
    <w:sectPr w:rsidR="005C0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29B9"/>
    <w:multiLevelType w:val="multilevel"/>
    <w:tmpl w:val="94AE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D0141"/>
    <w:multiLevelType w:val="multilevel"/>
    <w:tmpl w:val="7C72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664896">
    <w:abstractNumId w:val="0"/>
  </w:num>
  <w:num w:numId="2" w16cid:durableId="2137601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81C"/>
    <w:rsid w:val="00251657"/>
    <w:rsid w:val="005C081C"/>
    <w:rsid w:val="006E1F8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17B1E15"/>
  <w15:chartTrackingRefBased/>
  <w15:docId w15:val="{44D241F6-FF92-B540-B95F-63DE5BBC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0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0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81C"/>
    <w:rPr>
      <w:rFonts w:eastAsiaTheme="majorEastAsia" w:cstheme="majorBidi"/>
      <w:color w:val="272727" w:themeColor="text1" w:themeTint="D8"/>
    </w:rPr>
  </w:style>
  <w:style w:type="paragraph" w:styleId="Title">
    <w:name w:val="Title"/>
    <w:basedOn w:val="Normal"/>
    <w:next w:val="Normal"/>
    <w:link w:val="TitleChar"/>
    <w:uiPriority w:val="10"/>
    <w:qFormat/>
    <w:rsid w:val="005C0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81C"/>
    <w:pPr>
      <w:spacing w:before="160"/>
      <w:jc w:val="center"/>
    </w:pPr>
    <w:rPr>
      <w:i/>
      <w:iCs/>
      <w:color w:val="404040" w:themeColor="text1" w:themeTint="BF"/>
    </w:rPr>
  </w:style>
  <w:style w:type="character" w:customStyle="1" w:styleId="QuoteChar">
    <w:name w:val="Quote Char"/>
    <w:basedOn w:val="DefaultParagraphFont"/>
    <w:link w:val="Quote"/>
    <w:uiPriority w:val="29"/>
    <w:rsid w:val="005C081C"/>
    <w:rPr>
      <w:i/>
      <w:iCs/>
      <w:color w:val="404040" w:themeColor="text1" w:themeTint="BF"/>
    </w:rPr>
  </w:style>
  <w:style w:type="paragraph" w:styleId="ListParagraph">
    <w:name w:val="List Paragraph"/>
    <w:basedOn w:val="Normal"/>
    <w:uiPriority w:val="34"/>
    <w:qFormat/>
    <w:rsid w:val="005C081C"/>
    <w:pPr>
      <w:ind w:left="720"/>
      <w:contextualSpacing/>
    </w:pPr>
  </w:style>
  <w:style w:type="character" w:styleId="IntenseEmphasis">
    <w:name w:val="Intense Emphasis"/>
    <w:basedOn w:val="DefaultParagraphFont"/>
    <w:uiPriority w:val="21"/>
    <w:qFormat/>
    <w:rsid w:val="005C081C"/>
    <w:rPr>
      <w:i/>
      <w:iCs/>
      <w:color w:val="0F4761" w:themeColor="accent1" w:themeShade="BF"/>
    </w:rPr>
  </w:style>
  <w:style w:type="paragraph" w:styleId="IntenseQuote">
    <w:name w:val="Intense Quote"/>
    <w:basedOn w:val="Normal"/>
    <w:next w:val="Normal"/>
    <w:link w:val="IntenseQuoteChar"/>
    <w:uiPriority w:val="30"/>
    <w:qFormat/>
    <w:rsid w:val="005C0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81C"/>
    <w:rPr>
      <w:i/>
      <w:iCs/>
      <w:color w:val="0F4761" w:themeColor="accent1" w:themeShade="BF"/>
    </w:rPr>
  </w:style>
  <w:style w:type="character" w:styleId="IntenseReference">
    <w:name w:val="Intense Reference"/>
    <w:basedOn w:val="DefaultParagraphFont"/>
    <w:uiPriority w:val="32"/>
    <w:qFormat/>
    <w:rsid w:val="005C081C"/>
    <w:rPr>
      <w:b/>
      <w:bCs/>
      <w:smallCaps/>
      <w:color w:val="0F4761" w:themeColor="accent1" w:themeShade="BF"/>
      <w:spacing w:val="5"/>
    </w:rPr>
  </w:style>
  <w:style w:type="paragraph" w:styleId="NormalWeb">
    <w:name w:val="Normal (Web)"/>
    <w:basedOn w:val="Normal"/>
    <w:uiPriority w:val="99"/>
    <w:semiHidden/>
    <w:unhideWhenUsed/>
    <w:rsid w:val="005C08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107">
    <w:name w:val="citation-107"/>
    <w:basedOn w:val="DefaultParagraphFont"/>
    <w:rsid w:val="005C081C"/>
  </w:style>
  <w:style w:type="character" w:customStyle="1" w:styleId="citation-106">
    <w:name w:val="citation-106"/>
    <w:basedOn w:val="DefaultParagraphFont"/>
    <w:rsid w:val="005C081C"/>
  </w:style>
  <w:style w:type="character" w:customStyle="1" w:styleId="button-label">
    <w:name w:val="button-label"/>
    <w:basedOn w:val="DefaultParagraphFont"/>
    <w:rsid w:val="005C081C"/>
  </w:style>
  <w:style w:type="character" w:customStyle="1" w:styleId="citation-105">
    <w:name w:val="citation-105"/>
    <w:basedOn w:val="DefaultParagraphFont"/>
    <w:rsid w:val="005C081C"/>
  </w:style>
  <w:style w:type="character" w:customStyle="1" w:styleId="citation-104">
    <w:name w:val="citation-104"/>
    <w:basedOn w:val="DefaultParagraphFont"/>
    <w:rsid w:val="005C081C"/>
  </w:style>
  <w:style w:type="character" w:customStyle="1" w:styleId="citation-103">
    <w:name w:val="citation-103"/>
    <w:basedOn w:val="DefaultParagraphFont"/>
    <w:rsid w:val="005C081C"/>
  </w:style>
  <w:style w:type="character" w:customStyle="1" w:styleId="citation-102">
    <w:name w:val="citation-102"/>
    <w:basedOn w:val="DefaultParagraphFont"/>
    <w:rsid w:val="005C081C"/>
  </w:style>
  <w:style w:type="character" w:customStyle="1" w:styleId="citation-101">
    <w:name w:val="citation-101"/>
    <w:basedOn w:val="DefaultParagraphFont"/>
    <w:rsid w:val="005C081C"/>
  </w:style>
  <w:style w:type="character" w:customStyle="1" w:styleId="citation-100">
    <w:name w:val="citation-100"/>
    <w:basedOn w:val="DefaultParagraphFont"/>
    <w:rsid w:val="005C081C"/>
  </w:style>
  <w:style w:type="character" w:customStyle="1" w:styleId="citation-99">
    <w:name w:val="citation-99"/>
    <w:basedOn w:val="DefaultParagraphFont"/>
    <w:rsid w:val="005C0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350</Words>
  <Characters>2180</Characters>
  <Application>Microsoft Office Word</Application>
  <DocSecurity>0</DocSecurity>
  <Lines>50</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Tim-Louis Wilken</dc:creator>
  <cp:keywords/>
  <dc:description/>
  <cp:lastModifiedBy>Tim-Louis Wilken</cp:lastModifiedBy>
  <cp:revision>1</cp:revision>
  <dcterms:created xsi:type="dcterms:W3CDTF">2026-02-20T21:03:00Z</dcterms:created>
  <dcterms:modified xsi:type="dcterms:W3CDTF">2026-02-21T09:14:00Z</dcterms:modified>
</cp:coreProperties>
</file>