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b w:val="0"/>
          <w:sz w:val="20"/>
          <w:szCs w:val="20"/>
        </w:rPr>
      </w:pPr>
      <w:bookmarkStart w:colFirst="0" w:colLast="0" w:name="_ju99o1hokjfb" w:id="0"/>
      <w:bookmarkEnd w:id="0"/>
      <w:r w:rsidDel="00000000" w:rsidR="00000000" w:rsidRPr="00000000">
        <w:rPr>
          <w:rtl w:val="0"/>
        </w:rPr>
        <w:t xml:space="preserve">Sandwich of Happiness </w:t>
      </w:r>
      <w:r w:rsidDel="00000000" w:rsidR="00000000" w:rsidRPr="00000000">
        <w:rPr>
          <w:sz w:val="24"/>
          <w:szCs w:val="24"/>
          <w:rtl w:val="0"/>
        </w:rPr>
        <w:t xml:space="preserve">(</w:t>
      </w:r>
      <w:hyperlink r:id="rId6">
        <w:r w:rsidDel="00000000" w:rsidR="00000000" w:rsidRPr="00000000">
          <w:rPr>
            <w:b w:val="0"/>
            <w:color w:val="1155cc"/>
            <w:sz w:val="20"/>
            <w:szCs w:val="20"/>
            <w:u w:val="single"/>
            <w:rtl w:val="0"/>
          </w:rPr>
          <w:t xml:space="preserve">theotheunissen.nl/happiness</w:t>
        </w:r>
      </w:hyperlink>
      <w:r w:rsidDel="00000000" w:rsidR="00000000" w:rsidRPr="00000000">
        <w:rPr>
          <w:b w:val="0"/>
          <w:sz w:val="20"/>
          <w:szCs w:val="20"/>
          <w:rtl w:val="0"/>
        </w:rPr>
        <w:t xml:space="preserve">, </w:t>
      </w:r>
      <w:hyperlink r:id="rId7">
        <w:r w:rsidDel="00000000" w:rsidR="00000000" w:rsidRPr="00000000">
          <w:rPr>
            <w:b w:val="0"/>
            <w:color w:val="1155cc"/>
            <w:sz w:val="20"/>
            <w:szCs w:val="20"/>
            <w:u w:val="single"/>
            <w:rtl w:val="0"/>
          </w:rPr>
          <w:t xml:space="preserve">goo.gl/YyTYj5</w:t>
        </w:r>
      </w:hyperlink>
      <w:r w:rsidDel="00000000" w:rsidR="00000000" w:rsidRPr="00000000">
        <w:rPr>
          <w:b w:val="0"/>
          <w:sz w:val="20"/>
          <w:szCs w:val="20"/>
          <w:rtl w:val="0"/>
        </w:rPr>
        <w:t xml:space="preserve">)</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20"/>
        <w:gridCol w:w="2955"/>
        <w:gridCol w:w="2865"/>
        <w:tblGridChange w:id="0">
          <w:tblGrid>
            <w:gridCol w:w="1560"/>
            <w:gridCol w:w="1620"/>
            <w:gridCol w:w="2955"/>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b w:val="1"/>
                <w:rtl w:val="0"/>
              </w:rPr>
              <w:t xml:space="preserve">Week of year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240" w:lineRule="auto"/>
              <w:rPr>
                <w:b w:val="1"/>
                <w:highlight w:val="yellow"/>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b w:val="1"/>
                <w:rtl w:val="0"/>
              </w:rPr>
              <w:t xml:space="preserve">Date</w:t>
            </w:r>
            <w:r w:rsidDel="00000000" w:rsidR="00000000" w:rsidRPr="00000000">
              <w:rPr>
                <w:rtl w:val="0"/>
              </w:rPr>
              <w:t xml:space="preserve"> (on Monday)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240" w:lineRule="auto"/>
              <w:rPr>
                <w:b w:val="1"/>
                <w:highlight w:val="yellow"/>
              </w:rPr>
            </w:pPr>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mbria" w:cs="Cambria" w:eastAsia="Cambria" w:hAnsi="Cambria"/>
          <w:i w:val="1"/>
          <w:sz w:val="18"/>
          <w:szCs w:val="18"/>
        </w:rPr>
      </w:pPr>
      <w:r w:rsidDel="00000000" w:rsidR="00000000" w:rsidRPr="00000000">
        <w:rPr>
          <w:rFonts w:ascii="Cambria" w:cs="Cambria" w:eastAsia="Cambria" w:hAnsi="Cambria"/>
          <w:i w:val="1"/>
          <w:sz w:val="18"/>
          <w:szCs w:val="18"/>
          <w:rtl w:val="0"/>
        </w:rPr>
        <w:t xml:space="preserve">The Sandwich of Happiness is partly –in the first two questions– a thoughtful reflection of last week where you take accountability of the planning and results. The third question is looking forward where you define improvements. </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color w:val="000000"/>
          <w:sz w:val="20"/>
          <w:szCs w:val="20"/>
        </w:rPr>
      </w:pPr>
      <w:r w:rsidDel="00000000" w:rsidR="00000000" w:rsidRPr="00000000">
        <w:rPr>
          <w:rFonts w:ascii="Cambria" w:cs="Cambria" w:eastAsia="Cambria" w:hAnsi="Cambria"/>
          <w:b w:val="0"/>
          <w:color w:val="000000"/>
          <w:sz w:val="20"/>
          <w:szCs w:val="20"/>
          <w:rtl w:val="0"/>
        </w:rPr>
        <w:t xml:space="preserve">What was successful, were you proud of, have you contributed to others, was an example for others; in short: was positive?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color w:val="000000"/>
          <w:sz w:val="20"/>
          <w:szCs w:val="20"/>
        </w:rPr>
      </w:pPr>
      <w:r w:rsidDel="00000000" w:rsidR="00000000" w:rsidRPr="00000000">
        <w:rPr>
          <w:rFonts w:ascii="Cambria" w:cs="Cambria" w:eastAsia="Cambria" w:hAnsi="Cambria"/>
          <w:b w:val="0"/>
          <w:color w:val="000000"/>
          <w:sz w:val="20"/>
          <w:szCs w:val="20"/>
          <w:rtl w:val="0"/>
        </w:rPr>
        <w:t xml:space="preserve">What went wrong, where irritations, was the wrong ambition, must not be tried (happen) again; in short: was negative?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color w:val="000000"/>
          <w:sz w:val="20"/>
          <w:szCs w:val="20"/>
        </w:rPr>
      </w:pPr>
      <w:r w:rsidDel="00000000" w:rsidR="00000000" w:rsidRPr="00000000">
        <w:rPr>
          <w:rFonts w:ascii="Cambria" w:cs="Cambria" w:eastAsia="Cambria" w:hAnsi="Cambria"/>
          <w:b w:val="0"/>
          <w:color w:val="000000"/>
          <w:sz w:val="20"/>
          <w:szCs w:val="20"/>
          <w:rtl w:val="0"/>
        </w:rPr>
        <w:t xml:space="preserve">Based on 1 en 2, what will you do next week? Make it </w:t>
      </w:r>
      <w:hyperlink r:id="rId8">
        <w:r w:rsidDel="00000000" w:rsidR="00000000" w:rsidRPr="00000000">
          <w:rPr>
            <w:rFonts w:ascii="Cambria" w:cs="Cambria" w:eastAsia="Cambria" w:hAnsi="Cambria"/>
            <w:b w:val="0"/>
            <w:color w:val="1155cc"/>
            <w:sz w:val="20"/>
            <w:szCs w:val="20"/>
            <w:u w:val="single"/>
            <w:rtl w:val="0"/>
          </w:rPr>
          <w:t xml:space="preserve">SMART</w:t>
        </w:r>
      </w:hyperlink>
      <w:r w:rsidDel="00000000" w:rsidR="00000000" w:rsidRPr="00000000">
        <w:rPr>
          <w:rFonts w:ascii="Cambria" w:cs="Cambria" w:eastAsia="Cambria" w:hAnsi="Cambria"/>
          <w:b w:val="0"/>
          <w:color w:val="000000"/>
          <w:sz w:val="20"/>
          <w:szCs w:val="20"/>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76" w:lineRule="auto"/>
        <w:ind w:left="720" w:firstLine="0"/>
        <w:rPr>
          <w:rFonts w:ascii="Tms Rmn" w:cs="Tms Rmn" w:eastAsia="Tms Rmn" w:hAnsi="Tms Rmn"/>
          <w:b w:val="0"/>
          <w:color w:val="000000"/>
          <w:sz w:val="24"/>
          <w:szCs w:val="24"/>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&lt;</w:t>
      </w:r>
      <w:r w:rsidDel="00000000" w:rsidR="00000000" w:rsidRPr="00000000">
        <w:rPr>
          <w:rFonts w:ascii="Calibri" w:cs="Calibri" w:eastAsia="Calibri" w:hAnsi="Calibri"/>
          <w:b w:val="0"/>
          <w:color w:val="000000"/>
          <w:sz w:val="22"/>
          <w:szCs w:val="22"/>
          <w:highlight w:val="yellow"/>
          <w:rtl w:val="0"/>
        </w:rPr>
        <w:t xml:space="preserve">Your reflection on positive outcomes; </w:t>
      </w:r>
      <w:r w:rsidDel="00000000" w:rsidR="00000000" w:rsidRPr="00000000">
        <w:rPr>
          <w:rFonts w:ascii="Calibri" w:cs="Calibri" w:eastAsia="Calibri" w:hAnsi="Calibri"/>
          <w:b w:val="1"/>
          <w:color w:val="000000"/>
          <w:sz w:val="22"/>
          <w:szCs w:val="22"/>
          <w:highlight w:val="yellow"/>
          <w:rtl w:val="0"/>
        </w:rPr>
        <w:t xml:space="preserve">Replace YELLOW with your text</w:t>
      </w:r>
      <w:r w:rsidDel="00000000" w:rsidR="00000000" w:rsidRPr="00000000">
        <w:rPr>
          <w:rFonts w:ascii="Calibri" w:cs="Calibri" w:eastAsia="Calibri" w:hAnsi="Calibri"/>
          <w:b w:val="0"/>
          <w:sz w:val="22"/>
          <w:szCs w:val="22"/>
          <w:rtl w:val="0"/>
        </w:rPr>
        <w:t xml:space="preserve">&gt;</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&lt;</w:t>
      </w:r>
      <w:r w:rsidDel="00000000" w:rsidR="00000000" w:rsidRPr="00000000">
        <w:rPr>
          <w:rFonts w:ascii="Calibri" w:cs="Calibri" w:eastAsia="Calibri" w:hAnsi="Calibri"/>
          <w:b w:val="0"/>
          <w:color w:val="000000"/>
          <w:sz w:val="22"/>
          <w:szCs w:val="22"/>
          <w:highlight w:val="yellow"/>
          <w:rtl w:val="0"/>
        </w:rPr>
        <w:t xml:space="preserve">Your reflection on negative outcomes, do </w:t>
      </w:r>
      <w:r w:rsidDel="00000000" w:rsidR="00000000" w:rsidRPr="00000000">
        <w:rPr>
          <w:rFonts w:ascii="Calibri" w:cs="Calibri" w:eastAsia="Calibri" w:hAnsi="Calibri"/>
          <w:b w:val="0"/>
          <w:i w:val="1"/>
          <w:color w:val="000000"/>
          <w:sz w:val="22"/>
          <w:szCs w:val="22"/>
          <w:highlight w:val="yellow"/>
          <w:rtl w:val="0"/>
        </w:rPr>
        <w:t xml:space="preserve">not </w:t>
      </w:r>
      <w:r w:rsidDel="00000000" w:rsidR="00000000" w:rsidRPr="00000000">
        <w:rPr>
          <w:rFonts w:ascii="Calibri" w:cs="Calibri" w:eastAsia="Calibri" w:hAnsi="Calibri"/>
          <w:b w:val="0"/>
          <w:color w:val="000000"/>
          <w:sz w:val="22"/>
          <w:szCs w:val="22"/>
          <w:highlight w:val="yellow"/>
          <w:rtl w:val="0"/>
        </w:rPr>
        <w:t xml:space="preserve">mention improvements</w:t>
      </w:r>
      <w:r w:rsidDel="00000000" w:rsidR="00000000" w:rsidRPr="00000000">
        <w:rPr>
          <w:rFonts w:ascii="Calibri" w:cs="Calibri" w:eastAsia="Calibri" w:hAnsi="Calibri"/>
          <w:b w:val="0"/>
          <w:sz w:val="22"/>
          <w:szCs w:val="22"/>
          <w:rtl w:val="0"/>
        </w:rPr>
        <w:t xml:space="preserve">&gt;</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&lt;</w:t>
      </w:r>
      <w:r w:rsidDel="00000000" w:rsidR="00000000" w:rsidRPr="00000000">
        <w:rPr>
          <w:highlight w:val="yellow"/>
          <w:rtl w:val="0"/>
        </w:rPr>
        <w:t xml:space="preserve">Fill in below</w:t>
      </w:r>
      <w:r w:rsidDel="00000000" w:rsidR="00000000" w:rsidRPr="00000000">
        <w:rPr>
          <w:rFonts w:ascii="Calibri" w:cs="Calibri" w:eastAsia="Calibri" w:hAnsi="Calibri"/>
          <w:b w:val="0"/>
          <w:sz w:val="22"/>
          <w:szCs w:val="22"/>
          <w:rtl w:val="0"/>
        </w:rPr>
        <w:t xml:space="preserv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90"/>
        <w:tblGridChange w:id="0">
          <w:tblGrid>
            <w:gridCol w:w="174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Measurable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Acceptable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b w:val="1"/>
                <w:rtl w:val="0"/>
              </w:rPr>
              <w:t xml:space="preserve">Relevant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bound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mbria" w:cs="Cambria" w:eastAsia="Cambria" w:hAnsi="Cambria"/>
          <w:i w:val="1"/>
          <w:sz w:val="18"/>
          <w:szCs w:val="1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mbria" w:cs="Cambria" w:eastAsia="Cambria" w:hAnsi="Cambria"/>
          <w:i w:val="1"/>
          <w:sz w:val="18"/>
          <w:szCs w:val="1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mbria" w:cs="Cambria" w:eastAsia="Cambria" w:hAnsi="Cambria"/>
          <w:i w:val="1"/>
          <w:sz w:val="18"/>
          <w:szCs w:val="1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mbria" w:cs="Cambria" w:eastAsia="Cambria" w:hAnsi="Cambria"/>
          <w:i w:val="1"/>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mbria" w:cs="Cambria" w:eastAsia="Cambria" w:hAnsi="Cambria"/>
          <w:i w:val="1"/>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mbria" w:cs="Cambria" w:eastAsia="Cambria" w:hAnsi="Cambria"/>
          <w:sz w:val="18"/>
          <w:szCs w:val="18"/>
        </w:rPr>
      </w:pPr>
      <w:r w:rsidDel="00000000" w:rsidR="00000000" w:rsidRPr="00000000">
        <w:rPr>
          <w:rFonts w:ascii="Cambria" w:cs="Cambria" w:eastAsia="Cambria" w:hAnsi="Cambria"/>
          <w:i w:val="1"/>
          <w:sz w:val="18"/>
          <w:szCs w:val="18"/>
          <w:rtl w:val="0"/>
        </w:rPr>
        <w:t xml:space="preserve">These reflections and improvements take more than half a page and not more than a full page</w:t>
      </w:r>
      <w:r w:rsidDel="00000000" w:rsidR="00000000" w:rsidRPr="00000000">
        <w:rPr>
          <w:rFonts w:ascii="Cambria" w:cs="Cambria" w:eastAsia="Cambria" w:hAnsi="Cambria"/>
          <w:sz w:val="18"/>
          <w:szCs w:val="18"/>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mbria" w:cs="Cambria" w:eastAsia="Cambria" w:hAnsi="Cambri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spacing w:after="0" w:before="200" w:lineRule="auto"/>
        <w:ind w:left="720"/>
        <w:jc w:val="both"/>
        <w:rPr>
          <w:sz w:val="30"/>
          <w:szCs w:val="30"/>
        </w:rPr>
      </w:pPr>
      <w:bookmarkStart w:colFirst="0" w:colLast="0" w:name="_35nkun2" w:id="1"/>
      <w:bookmarkEnd w:id="1"/>
      <w:r w:rsidDel="00000000" w:rsidR="00000000" w:rsidRPr="00000000">
        <w:rPr>
          <w:sz w:val="30"/>
          <w:szCs w:val="30"/>
          <w:rtl w:val="0"/>
        </w:rPr>
        <w:t xml:space="preserve">Uitleg over d</w:t>
      </w:r>
      <w:r w:rsidDel="00000000" w:rsidR="00000000" w:rsidRPr="00000000">
        <w:rPr>
          <w:sz w:val="30"/>
          <w:szCs w:val="30"/>
          <w:rtl w:val="0"/>
        </w:rPr>
        <w:t xml:space="preserve">e Sandwich of Happiness</w:t>
      </w:r>
    </w:p>
    <w:p w:rsidR="00000000" w:rsidDel="00000000" w:rsidP="00000000" w:rsidRDefault="00000000" w:rsidRPr="00000000" w14:paraId="00000025">
      <w:pPr>
        <w:tabs>
          <w:tab w:val="left" w:pos="240"/>
          <w:tab w:val="right" w:pos="10400"/>
        </w:tabs>
        <w:spacing w:after="0" w:line="288" w:lineRule="auto"/>
        <w:rPr/>
      </w:pPr>
      <w:r w:rsidDel="00000000" w:rsidR="00000000" w:rsidRPr="00000000">
        <w:rPr>
          <w:rtl w:val="0"/>
        </w:rPr>
        <w:t xml:space="preserve">De wekelijkse voortgang wordt getoetst aan de hand van de sandwich of happiness en de wekelijkse </w:t>
      </w:r>
      <w:hyperlink r:id="rId9">
        <w:r w:rsidDel="00000000" w:rsidR="00000000" w:rsidRPr="00000000">
          <w:rPr>
            <w:color w:val="1155cc"/>
            <w:u w:val="single"/>
            <w:rtl w:val="0"/>
          </w:rPr>
          <w:t xml:space="preserve">result planningen</w:t>
        </w:r>
      </w:hyperlink>
      <w:r w:rsidDel="00000000" w:rsidR="00000000" w:rsidRPr="00000000">
        <w:rPr>
          <w:rtl w:val="0"/>
        </w:rPr>
        <w:t xml:space="preserve">.</w:t>
      </w:r>
    </w:p>
    <w:p w:rsidR="00000000" w:rsidDel="00000000" w:rsidP="00000000" w:rsidRDefault="00000000" w:rsidRPr="00000000" w14:paraId="00000026">
      <w:pPr>
        <w:tabs>
          <w:tab w:val="left" w:pos="240"/>
          <w:tab w:val="right" w:pos="10400"/>
        </w:tabs>
        <w:spacing w:after="0" w:line="288" w:lineRule="auto"/>
        <w:rPr/>
      </w:pPr>
      <w:r w:rsidDel="00000000" w:rsidR="00000000" w:rsidRPr="00000000">
        <w:rPr>
          <w:rtl w:val="0"/>
        </w:rPr>
        <w:t xml:space="preserve">De sandwich of happiness bestaat uit drie vragen en drie antwoorden en is een reflectie op de </w:t>
      </w:r>
      <w:r w:rsidDel="00000000" w:rsidR="00000000" w:rsidRPr="00000000">
        <w:rPr>
          <w:i w:val="1"/>
          <w:rtl w:val="0"/>
        </w:rPr>
        <w:t xml:space="preserve">afgelopen week</w:t>
      </w:r>
      <w:r w:rsidDel="00000000" w:rsidR="00000000" w:rsidRPr="00000000">
        <w:rPr>
          <w:rtl w:val="0"/>
        </w:rPr>
        <w:t xml:space="preserve">.</w:t>
      </w:r>
    </w:p>
    <w:p w:rsidR="00000000" w:rsidDel="00000000" w:rsidP="00000000" w:rsidRDefault="00000000" w:rsidRPr="00000000" w14:paraId="00000027">
      <w:pPr>
        <w:tabs>
          <w:tab w:val="left" w:pos="240"/>
          <w:tab w:val="right" w:pos="10400"/>
        </w:tabs>
        <w:spacing w:after="0" w:line="288" w:lineRule="auto"/>
        <w:rPr/>
      </w:pPr>
      <w:r w:rsidDel="00000000" w:rsidR="00000000" w:rsidRPr="00000000">
        <w:rPr>
          <w:rtl w:val="0"/>
        </w:rPr>
        <w:t xml:space="preserve">Bedenk dat je alleen aan kunt geven wat jij zelf gedaan hebt. Je kunt bijvoorbeeld niet aangeven dat jij iets niet gedaan hebt omdat een ander te laat was. Geef dan aan wat jij er aan gedaan hebt om die ander aan te spreken. De sandwich of happiness is een individueel document.</w:t>
      </w:r>
    </w:p>
    <w:p w:rsidR="00000000" w:rsidDel="00000000" w:rsidP="00000000" w:rsidRDefault="00000000" w:rsidRPr="00000000" w14:paraId="00000028">
      <w:pPr>
        <w:tabs>
          <w:tab w:val="left" w:pos="240"/>
          <w:tab w:val="right" w:pos="10400"/>
        </w:tabs>
        <w:spacing w:after="0" w:line="288" w:lineRule="auto"/>
        <w:rPr/>
      </w:pPr>
      <w:r w:rsidDel="00000000" w:rsidR="00000000" w:rsidRPr="00000000">
        <w:rPr>
          <w:rtl w:val="0"/>
        </w:rPr>
        <w:t xml:space="preserve">De Sandwich of Happiness is maximaal een heel A4 en minimaal een half A4.</w:t>
      </w:r>
    </w:p>
    <w:p w:rsidR="00000000" w:rsidDel="00000000" w:rsidP="00000000" w:rsidRDefault="00000000" w:rsidRPr="00000000" w14:paraId="00000029">
      <w:pPr>
        <w:tabs>
          <w:tab w:val="left" w:pos="240"/>
          <w:tab w:val="right" w:pos="10400"/>
        </w:tabs>
        <w:spacing w:after="0" w:line="288" w:lineRule="auto"/>
        <w:rPr/>
      </w:pPr>
      <w:r w:rsidDel="00000000" w:rsidR="00000000" w:rsidRPr="00000000">
        <w:rPr>
          <w:rtl w:val="0"/>
        </w:rPr>
        <w:t xml:space="preserve">Je stuurt je verslag wekelijks één dag voor je overleg naar de begeleider. </w:t>
      </w:r>
    </w:p>
    <w:p w:rsidR="00000000" w:rsidDel="00000000" w:rsidP="00000000" w:rsidRDefault="00000000" w:rsidRPr="00000000" w14:paraId="0000002A">
      <w:pPr>
        <w:tabs>
          <w:tab w:val="left" w:pos="240"/>
          <w:tab w:val="right" w:pos="10400"/>
        </w:tabs>
        <w:spacing w:after="0" w:line="288" w:lineRule="auto"/>
        <w:rPr/>
      </w:pPr>
      <w:r w:rsidDel="00000000" w:rsidR="00000000" w:rsidRPr="00000000">
        <w:rPr>
          <w:rtl w:val="0"/>
        </w:rPr>
        <w:t xml:space="preserve">Aan het einde van het project schrijf je een Sandwich of Happiness in drie pagina’s dat de hele projectperiode omvat. Voor elke vraag een hele pagina.</w:t>
      </w:r>
    </w:p>
    <w:p w:rsidR="00000000" w:rsidDel="00000000" w:rsidP="00000000" w:rsidRDefault="00000000" w:rsidRPr="00000000" w14:paraId="0000002B">
      <w:pPr>
        <w:tabs>
          <w:tab w:val="left" w:pos="240"/>
          <w:tab w:val="right" w:pos="10400"/>
        </w:tabs>
        <w:spacing w:after="0" w:line="288" w:lineRule="auto"/>
        <w:rPr/>
      </w:pPr>
      <w:r w:rsidDel="00000000" w:rsidR="00000000" w:rsidRPr="00000000">
        <w:rPr>
          <w:rtl w:val="0"/>
        </w:rPr>
      </w:r>
    </w:p>
    <w:p w:rsidR="00000000" w:rsidDel="00000000" w:rsidP="00000000" w:rsidRDefault="00000000" w:rsidRPr="00000000" w14:paraId="0000002C">
      <w:pPr>
        <w:numPr>
          <w:ilvl w:val="0"/>
          <w:numId w:val="1"/>
        </w:numPr>
        <w:tabs>
          <w:tab w:val="left" w:pos="240"/>
          <w:tab w:val="right" w:pos="10400"/>
        </w:tabs>
        <w:spacing w:after="0" w:line="288" w:lineRule="auto"/>
        <w:ind w:left="720" w:hanging="360"/>
        <w:rPr>
          <w:b w:val="1"/>
        </w:rPr>
      </w:pPr>
      <w:r w:rsidDel="00000000" w:rsidR="00000000" w:rsidRPr="00000000">
        <w:rPr>
          <w:b w:val="1"/>
          <w:rtl w:val="0"/>
        </w:rPr>
        <w:t xml:space="preserve">Wat heb je goed gedaan, waar heb je aan bijgedragen, ben je trots op; kortom wat was positief?</w:t>
      </w:r>
    </w:p>
    <w:p w:rsidR="00000000" w:rsidDel="00000000" w:rsidP="00000000" w:rsidRDefault="00000000" w:rsidRPr="00000000" w14:paraId="0000002D">
      <w:pPr>
        <w:tabs>
          <w:tab w:val="left" w:pos="240"/>
          <w:tab w:val="right" w:pos="10400"/>
        </w:tabs>
        <w:spacing w:after="0" w:line="288" w:lineRule="auto"/>
        <w:ind w:left="720" w:firstLine="0"/>
        <w:rPr/>
      </w:pPr>
      <w:r w:rsidDel="00000000" w:rsidR="00000000" w:rsidRPr="00000000">
        <w:rPr>
          <w:rtl w:val="0"/>
        </w:rPr>
        <w:t xml:space="preserve">Dit gaat over keuzes en aanpakken die je gehanteerd hebt, niet over dingen die toevallig goed afliepen. Je mag best trots zijn op het feit dat je de oefeningen helemaal snapt, maar dat succes zelf was geen keuze van je. Dat succes is mogelijk wel een gevolg van bijvoorbeeld je keuze om op tijd te beginnen, of om wat extra video’s te bekijken. Die twee beslissingen zijn goede antwoorden op deze vraag. </w:t>
      </w:r>
    </w:p>
    <w:p w:rsidR="00000000" w:rsidDel="00000000" w:rsidP="00000000" w:rsidRDefault="00000000" w:rsidRPr="00000000" w14:paraId="0000002E">
      <w:pPr>
        <w:numPr>
          <w:ilvl w:val="0"/>
          <w:numId w:val="1"/>
        </w:numPr>
        <w:tabs>
          <w:tab w:val="left" w:pos="240"/>
          <w:tab w:val="right" w:pos="10400"/>
        </w:tabs>
        <w:spacing w:after="0" w:line="288" w:lineRule="auto"/>
        <w:ind w:left="720" w:hanging="360"/>
        <w:rPr>
          <w:b w:val="1"/>
        </w:rPr>
      </w:pPr>
      <w:r w:rsidDel="00000000" w:rsidR="00000000" w:rsidRPr="00000000">
        <w:rPr>
          <w:b w:val="1"/>
          <w:rtl w:val="0"/>
        </w:rPr>
        <w:t xml:space="preserve">Wat is mislukt, tegengevallen, wat </w:t>
      </w:r>
      <w:r w:rsidDel="00000000" w:rsidR="00000000" w:rsidRPr="00000000">
        <w:rPr>
          <w:b w:val="1"/>
          <w:rtl w:val="0"/>
        </w:rPr>
        <w:t xml:space="preserve">waren</w:t>
      </w:r>
      <w:r w:rsidDel="00000000" w:rsidR="00000000" w:rsidRPr="00000000">
        <w:rPr>
          <w:b w:val="1"/>
          <w:rtl w:val="0"/>
        </w:rPr>
        <w:t xml:space="preserve"> irritaties en moet je vermijden in de toekomst; kortom wat was negatief?</w:t>
      </w:r>
    </w:p>
    <w:p w:rsidR="00000000" w:rsidDel="00000000" w:rsidP="00000000" w:rsidRDefault="00000000" w:rsidRPr="00000000" w14:paraId="0000002F">
      <w:pPr>
        <w:tabs>
          <w:tab w:val="left" w:pos="240"/>
          <w:tab w:val="right" w:pos="10400"/>
        </w:tabs>
        <w:spacing w:after="0" w:line="288" w:lineRule="auto"/>
        <w:ind w:left="720" w:firstLine="0"/>
        <w:rPr/>
      </w:pPr>
      <w:r w:rsidDel="00000000" w:rsidR="00000000" w:rsidRPr="00000000">
        <w:rPr>
          <w:rtl w:val="0"/>
        </w:rPr>
        <w:t xml:space="preserve">Let op dat je hier geen verbeterpunten vermeld.</w:t>
      </w:r>
    </w:p>
    <w:p w:rsidR="00000000" w:rsidDel="00000000" w:rsidP="00000000" w:rsidRDefault="00000000" w:rsidRPr="00000000" w14:paraId="00000030">
      <w:pPr>
        <w:tabs>
          <w:tab w:val="left" w:pos="240"/>
          <w:tab w:val="right" w:pos="10400"/>
        </w:tabs>
        <w:spacing w:after="0" w:line="288" w:lineRule="auto"/>
        <w:ind w:left="720" w:firstLine="0"/>
        <w:rPr/>
      </w:pPr>
      <w:r w:rsidDel="00000000" w:rsidR="00000000" w:rsidRPr="00000000">
        <w:rPr>
          <w:rtl w:val="0"/>
        </w:rPr>
        <w:t xml:space="preserve">Dit gaat niet alleen maar over keuzes, maar ook over het mogelijk </w:t>
      </w:r>
      <w:r w:rsidDel="00000000" w:rsidR="00000000" w:rsidRPr="00000000">
        <w:rPr>
          <w:i w:val="1"/>
          <w:rtl w:val="0"/>
        </w:rPr>
        <w:t xml:space="preserve">niet</w:t>
      </w:r>
      <w:r w:rsidDel="00000000" w:rsidR="00000000" w:rsidRPr="00000000">
        <w:rPr>
          <w:rtl w:val="0"/>
        </w:rPr>
        <w:t xml:space="preserve"> maken van keuzes of beslissingen: Als je, door er niet over na te denken, te laat bent begonnen, dan voelt dat wellicht niet als een beslissing. Maar vanaf nu moet je er wel over nadenken. Vermijd ook het noemen van dingen die anderen niet goed deden, of andere vormen van pech. Als die een rol spelen, focus je dan op jouw manier om ermee om te gaan. Dus niet: “Ik baal ervan dat Jantje vaak te laat komt”, maar “Het was niet verstandig dat ik Jantje niet heb aangesproken op het feit dat-ie te laat komt”.</w:t>
      </w:r>
    </w:p>
    <w:p w:rsidR="00000000" w:rsidDel="00000000" w:rsidP="00000000" w:rsidRDefault="00000000" w:rsidRPr="00000000" w14:paraId="00000031">
      <w:pPr>
        <w:numPr>
          <w:ilvl w:val="0"/>
          <w:numId w:val="1"/>
        </w:numPr>
        <w:tabs>
          <w:tab w:val="left" w:pos="240"/>
          <w:tab w:val="right" w:pos="10400"/>
        </w:tabs>
        <w:spacing w:after="0" w:line="288" w:lineRule="auto"/>
        <w:ind w:left="720" w:hanging="360"/>
        <w:rPr>
          <w:b w:val="1"/>
        </w:rPr>
      </w:pPr>
      <w:r w:rsidDel="00000000" w:rsidR="00000000" w:rsidRPr="00000000">
        <w:rPr>
          <w:b w:val="1"/>
          <w:rtl w:val="0"/>
        </w:rPr>
        <w:t xml:space="preserve">Tenslotte kijk je vooruit en geef je aan wat je de komende week anders gaat doen op basis van wat positief was en wat negatief was.</w:t>
      </w:r>
    </w:p>
    <w:p w:rsidR="00000000" w:rsidDel="00000000" w:rsidP="00000000" w:rsidRDefault="00000000" w:rsidRPr="00000000" w14:paraId="00000032">
      <w:pPr>
        <w:tabs>
          <w:tab w:val="left" w:pos="240"/>
          <w:tab w:val="right" w:pos="10400"/>
        </w:tabs>
        <w:spacing w:after="0" w:line="288" w:lineRule="auto"/>
        <w:ind w:left="720" w:firstLine="0"/>
        <w:rPr/>
      </w:pPr>
      <w:r w:rsidDel="00000000" w:rsidR="00000000" w:rsidRPr="00000000">
        <w:rPr>
          <w:rtl w:val="0"/>
        </w:rPr>
        <w:t xml:space="preserve">Van de dingen waar je blij of trots op was: kun je die vaker doen? Of nog beter? Hoe pas je het positieve uit de concrete situatie van een paar dagen geleden toe op nieuwe situaties als die een beetje anders zijn? Van de dingen die je niet tof vond: Je alleen maar voornemen om dat niet meer zo te doen is niet voldoende. Formuleer een voornemen dat kans van slagen heeft. Verzin een maatregel die helpt om bepaalde onhandigheden of onnadenkendheden te omzeilen. </w:t>
      </w:r>
    </w:p>
    <w:p w:rsidR="00000000" w:rsidDel="00000000" w:rsidP="00000000" w:rsidRDefault="00000000" w:rsidRPr="00000000" w14:paraId="00000033">
      <w:pPr>
        <w:tabs>
          <w:tab w:val="left" w:pos="240"/>
          <w:tab w:val="right" w:pos="10400"/>
        </w:tabs>
        <w:spacing w:after="0" w:line="288" w:lineRule="auto"/>
        <w:ind w:left="720" w:firstLine="0"/>
        <w:rPr/>
      </w:pPr>
      <w:r w:rsidDel="00000000" w:rsidR="00000000" w:rsidRPr="00000000">
        <w:rPr>
          <w:rtl w:val="0"/>
        </w:rPr>
        <w:t xml:space="preserve">Pas SMART criteria toe om jezelf beter te kunnen toetsen. </w:t>
      </w:r>
    </w:p>
    <w:p w:rsidR="00000000" w:rsidDel="00000000" w:rsidP="00000000" w:rsidRDefault="00000000" w:rsidRPr="00000000" w14:paraId="00000034">
      <w:pPr>
        <w:tabs>
          <w:tab w:val="left" w:pos="240"/>
          <w:tab w:val="right" w:pos="10400"/>
        </w:tabs>
        <w:spacing w:after="0" w:line="288" w:lineRule="auto"/>
        <w:ind w:left="720" w:firstLine="0"/>
        <w:rPr/>
      </w:pPr>
      <w:r w:rsidDel="00000000" w:rsidR="00000000" w:rsidRPr="00000000">
        <w:rPr>
          <w:rtl w:val="0"/>
        </w:rPr>
        <w:t xml:space="preserve">Geef aan wat kritische succesfactoren om de doelstellingen te behalen.</w:t>
      </w:r>
    </w:p>
    <w:p w:rsidR="00000000" w:rsidDel="00000000" w:rsidP="00000000" w:rsidRDefault="00000000" w:rsidRPr="00000000" w14:paraId="00000035">
      <w:pPr>
        <w:tabs>
          <w:tab w:val="left" w:pos="240"/>
          <w:tab w:val="right" w:pos="10400"/>
        </w:tabs>
        <w:spacing w:after="0" w:line="288" w:lineRule="auto"/>
        <w:ind w:left="720" w:firstLine="0"/>
        <w:rPr>
          <w:sz w:val="18"/>
          <w:szCs w:val="18"/>
        </w:rPr>
      </w:pPr>
      <w:r w:rsidDel="00000000" w:rsidR="00000000" w:rsidRPr="00000000">
        <w:rPr>
          <w:rtl w:val="0"/>
        </w:rPr>
        <w:t xml:space="preserve">Geef ook een backup-plan aan mocht niet lukken wat je van plan was.</w:t>
      </w:r>
      <w:r w:rsidDel="00000000" w:rsidR="00000000" w:rsidRPr="00000000">
        <w:rPr>
          <w:rtl w:val="0"/>
        </w:rPr>
      </w:r>
    </w:p>
    <w:sectPr>
      <w:footerReference r:id="rId10" w:type="default"/>
      <w:pgSz w:h="16838" w:w="11906"/>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ms Rm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072.0" w:type="dxa"/>
      <w:jc w:val="left"/>
      <w:tblInd w:w="108.0" w:type="dxa"/>
      <w:tblBorders>
        <w:top w:color="4f81bd" w:space="0" w:sz="8" w:val="single"/>
        <w:bottom w:color="4f81bd" w:space="0" w:sz="8" w:val="single"/>
      </w:tblBorders>
      <w:tblLayout w:type="fixed"/>
      <w:tblLook w:val="04A0"/>
    </w:tblPr>
    <w:tblGrid>
      <w:gridCol w:w="2410"/>
      <w:gridCol w:w="6662"/>
      <w:tblGridChange w:id="0">
        <w:tblGrid>
          <w:gridCol w:w="2410"/>
          <w:gridCol w:w="6662"/>
        </w:tblGrid>
      </w:tblGridChange>
    </w:tblGrid>
    <w:tr>
      <w:trPr>
        <w:trHeight w:val="360" w:hRule="atLeast"/>
      </w:trPr>
      <w:tc>
        <w:tcPr>
          <w:tcBorders>
            <w:top w:color="4f81bd" w:space="0" w:sz="8" w:val="single"/>
            <w:bottom w:color="000000" w:space="0" w:sz="0" w:val="nil"/>
            <w:right w:color="4f81bd" w:space="0" w:sz="8" w:val="single"/>
          </w:tcBorders>
          <w:shd w:fill="ffffff"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Author</w:t>
          </w:r>
        </w:p>
      </w:tc>
      <w:tc>
        <w:tcPr>
          <w:tcBorders>
            <w:top w:color="4f81bd" w:space="0" w:sz="8" w:val="single"/>
            <w:left w:color="4f81bd" w:space="0" w:sz="8" w:val="single"/>
            <w:bottom w:color="000000" w:space="0" w:sz="0" w:val="nil"/>
          </w:tcBorders>
          <w:shd w:fill="ffffff" w:val="clea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60" w:lineRule="auto"/>
            <w:ind w:left="0" w:firstLine="0"/>
            <w:rPr>
              <w:highlight w:val="yellow"/>
            </w:rPr>
          </w:pPr>
          <w:r w:rsidDel="00000000" w:rsidR="00000000" w:rsidRPr="00000000">
            <w:rPr>
              <w:highlight w:val="yellow"/>
              <w:rtl w:val="0"/>
            </w:rPr>
            <w:t xml:space="preserve">__________________________________________________________                          </w:t>
          </w:r>
        </w:p>
      </w:tc>
    </w:tr>
    <w:tr>
      <w:trPr>
        <w:trHeight w:val="60" w:hRule="atLeast"/>
      </w:trPr>
      <w:tc>
        <w:tcPr>
          <w:tcBorders>
            <w:top w:color="000000" w:space="0" w:sz="0" w:val="nil"/>
            <w:bottom w:color="000000" w:space="0" w:sz="0" w:val="nil"/>
            <w:right w:color="4f81bd" w:space="0" w:sz="8" w:val="single"/>
          </w:tcBorders>
          <w:shd w:fill="ffffff" w:val="clea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360" w:lineRule="auto"/>
            <w:ind w:left="0" w:firstLine="0"/>
            <w:rPr/>
          </w:pPr>
          <w:r w:rsidDel="00000000" w:rsidR="00000000" w:rsidRPr="00000000">
            <w:rPr>
              <w:rtl w:val="0"/>
            </w:rPr>
            <w:t xml:space="preserve">Student number</w:t>
          </w:r>
        </w:p>
      </w:tc>
      <w:tc>
        <w:tcPr>
          <w:tcBorders>
            <w:top w:color="000000" w:space="0" w:sz="0" w:val="nil"/>
            <w:left w:color="4f81bd" w:space="0" w:sz="8" w:val="single"/>
            <w:bottom w:color="000000" w:space="0" w:sz="0" w:val="nil"/>
          </w:tcBorders>
          <w:shd w:fill="ffffff" w:val="clea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rPr>
              <w:highlight w:val="yellow"/>
            </w:rPr>
          </w:pPr>
          <w:r w:rsidDel="00000000" w:rsidR="00000000" w:rsidRPr="00000000">
            <w:rPr>
              <w:highlight w:val="yellow"/>
              <w:rtl w:val="0"/>
            </w:rPr>
            <w:t xml:space="preserve">__________________________________________________________</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rPr>
        <w:rFonts w:ascii="Calibri" w:cs="Calibri" w:eastAsia="Calibri" w:hAnsi="Calibri"/>
        <w:b w:val="0"/>
        <w:sz w:val="22"/>
        <w:szCs w:val="2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shd w:fill="d3dfee" w:val="clear"/>
        <w:tcMar>
          <w:top w:w="0.0" w:type="dxa"/>
          <w:left w:w="115.0" w:type="dxa"/>
          <w:bottom w:w="0.0" w:type="dxa"/>
          <w:right w:w="115.0" w:type="dxa"/>
        </w:tcMar>
      </w:tcPr>
    </w:tblStylePr>
    <w:tblStylePr w:type="band1Vert">
      <w:pPr/>
      <w:rPr/>
      <w:tcPr>
        <w:shd w:fill="d3dfee"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rFonts w:ascii="Cambria" w:cs="Cambria" w:eastAsia="Cambria" w:hAnsi="Cambria"/>
      </w:rPr>
      <w:tcPr>
        <w:tcBorders>
          <w:top w:color="000000" w:space="0" w:sz="0" w:val="nil"/>
          <w:bottom w:color="4f81bd" w:space="0" w:sz="8" w:val="single"/>
        </w:tcBorders>
        <w:tcMar>
          <w:top w:w="0.0" w:type="dxa"/>
          <w:left w:w="115.0" w:type="dxa"/>
          <w:bottom w:w="0.0" w:type="dxa"/>
          <w:right w:w="115.0" w:type="dxa"/>
        </w:tcMar>
      </w:tcPr>
    </w:tblStylePr>
    <w:tblStylePr w:type="lastCol">
      <w:pPr/>
      <w:rPr>
        <w:b w:val="1"/>
      </w:rPr>
      <w:tcPr>
        <w:tcBorders>
          <w:top w:color="4f81bd" w:space="0" w:sz="8" w:val="single"/>
          <w:bottom w:color="4f81bd" w:space="0" w:sz="8" w:val="single"/>
        </w:tcBorders>
        <w:tcMar>
          <w:top w:w="0.0" w:type="dxa"/>
          <w:left w:w="115.0" w:type="dxa"/>
          <w:bottom w:w="0.0" w:type="dxa"/>
          <w:right w:w="115.0" w:type="dxa"/>
        </w:tcMar>
      </w:tcPr>
    </w:tblStylePr>
    <w:tblStylePr w:type="lastRow">
      <w:pPr/>
      <w:rPr>
        <w:b w:val="1"/>
      </w:rPr>
      <w:tcPr>
        <w:tcBorders>
          <w:top w:color="4f81bd" w:space="0" w:sz="8" w:val="single"/>
          <w:bottom w:color="4f81bd"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tezzt.nl/results" TargetMode="External"/><Relationship Id="rId5" Type="http://schemas.openxmlformats.org/officeDocument/2006/relationships/styles" Target="styles.xml"/><Relationship Id="rId6" Type="http://schemas.openxmlformats.org/officeDocument/2006/relationships/hyperlink" Target="http://theotheunissen.nl/happiness" TargetMode="External"/><Relationship Id="rId7" Type="http://schemas.openxmlformats.org/officeDocument/2006/relationships/hyperlink" Target="https://goo.gl/YyTYj5" TargetMode="External"/><Relationship Id="rId8" Type="http://schemas.openxmlformats.org/officeDocument/2006/relationships/hyperlink" Target="https://goo.gl/XWQF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