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left"/>
      </w:pPr>
      <w:r>
        <w:rPr>
          <w:b/>
        </w:rPr>
        <w:t>PROJECT DOSSIER</w:t>
      </w:r>
    </w:p>
    <w:p>
      <w:pPr>
        <w:pStyle w:val="Title"/>
        <w:jc w:val="left"/>
      </w:pPr>
      <w:r>
        <w:t>Aegis Alpha Lab</w:t>
      </w:r>
    </w:p>
    <w:p>
      <w:pPr>
        <w:pStyle w:val="Subtitle"/>
        <w:jc w:val="left"/>
      </w:pPr>
      <w:r>
        <w:t>A modular proposal for an agentic, Barra-aware, structural-alpha platform for long-short equities</w:t>
      </w:r>
    </w:p>
    <w:tbl>
      <w:tblPr>
        <w:tblW w:type="auto" w:w="0"/>
        <w:jc w:val="left"/>
        <w:tblLayout w:type="fixed"/>
        <w:tblLook w:firstColumn="1" w:firstRow="1" w:lastColumn="0" w:lastRow="0" w:noHBand="0" w:noVBand="1" w:val="04A0"/>
        <w:tblBorders>
          <w:top w:val="single" w:sz="6" w:space="0" w:color="B9C7D6"/>
          <w:left w:val="single" w:sz="6" w:space="0" w:color="B9C7D6"/>
          <w:bottom w:val="single" w:sz="6" w:space="0" w:color="B9C7D6"/>
          <w:right w:val="single" w:sz="6" w:space="0" w:color="B9C7D6"/>
          <w:insideH w:val="single" w:sz="6" w:space="0" w:color="B9C7D6"/>
          <w:insideV w:val="single" w:sz="6" w:space="0" w:color="B9C7D6"/>
        </w:tblBorders>
      </w:tblPr>
      <w:tblGrid>
        <w:gridCol w:w="2304"/>
        <w:gridCol w:w="6768"/>
      </w:tblGrid>
      <w:tr>
        <w:tc>
          <w:tcPr>
            <w:tcW w:type="dxa" w:w="4968"/>
            <w:tcMar>
              <w:top w:w="90" w:type="dxa"/>
              <w:start w:w="110" w:type="dxa"/>
              <w:bottom w:w="90" w:type="dxa"/>
              <w:end w:w="110" w:type="dxa"/>
            </w:tcMar>
            <w:vAlign w:val="center"/>
            <w:shd w:fill="EAF1F8"/>
          </w:tcPr>
          <w:p>
            <w:pPr/>
            <w:r>
              <w:rPr>
                <w:b/>
                <w:color w:val="1C487D"/>
              </w:rPr>
              <w:t>Version</w:t>
            </w:r>
          </w:p>
        </w:tc>
        <w:tc>
          <w:tcPr>
            <w:tcW w:type="dxa" w:w="4968"/>
            <w:tcMar>
              <w:top w:w="90" w:type="dxa"/>
              <w:start w:w="110" w:type="dxa"/>
              <w:bottom w:w="90" w:type="dxa"/>
              <w:end w:w="110" w:type="dxa"/>
            </w:tcMar>
            <w:vAlign w:val="center"/>
          </w:tcPr>
          <w:p>
            <w:pPr/>
            <w:r>
              <w:t>Version 1.0 proposal</w:t>
            </w:r>
          </w:p>
        </w:tc>
      </w:tr>
      <w:tr>
        <w:tc>
          <w:tcPr>
            <w:tcW w:type="dxa" w:w="4968"/>
            <w:tcMar>
              <w:top w:w="90" w:type="dxa"/>
              <w:start w:w="110" w:type="dxa"/>
              <w:bottom w:w="90" w:type="dxa"/>
              <w:end w:w="110" w:type="dxa"/>
            </w:tcMar>
            <w:vAlign w:val="center"/>
            <w:shd w:fill="EAF1F8"/>
          </w:tcPr>
          <w:p>
            <w:pPr/>
            <w:r>
              <w:rPr>
                <w:b/>
                <w:color w:val="1C487D"/>
              </w:rPr>
              <w:t>Audience</w:t>
            </w:r>
          </w:p>
        </w:tc>
        <w:tc>
          <w:tcPr>
            <w:tcW w:type="dxa" w:w="4968"/>
            <w:tcMar>
              <w:top w:w="90" w:type="dxa"/>
              <w:start w:w="110" w:type="dxa"/>
              <w:bottom w:w="90" w:type="dxa"/>
              <w:end w:w="110" w:type="dxa"/>
            </w:tcMar>
            <w:vAlign w:val="center"/>
          </w:tcPr>
          <w:p>
            <w:pPr/>
            <w:r>
              <w:t>Prepared for: Tim Peng</w:t>
            </w:r>
          </w:p>
        </w:tc>
      </w:tr>
    </w:tbl>
    <w:p/>
    <w:p>
      <w:pPr>
        <w:pStyle w:val="Callout"/>
        <w:jc w:val="left"/>
      </w:pPr>
      <w:r>
        <w:rPr>
          <w:b/>
        </w:rPr>
        <w:t xml:space="preserve">Buildability statement. </w:t>
      </w:r>
      <w:r>
        <w:t>This project is intentionally designed as an institutional-style platform with an individual-builder V1 scope. Each module has explicit inputs, outputs, evaluation rules, and upgrade paths so the system can be assembled step by step rather than relying on opaque black boxes or “AI magic.”</w:t>
      </w:r>
    </w:p>
    <w:p/>
    <w:p>
      <w:pPr>
        <w:pStyle w:val="Heading1"/>
      </w:pPr>
      <w:r>
        <w:t>1. Executive summary</w:t>
      </w:r>
    </w:p>
    <w:p>
      <w:pPr/>
      <w:r>
        <w:rPr>
          <w:b/>
        </w:rPr>
        <w:t xml:space="preserve">Aegis Alpha Lab </w:t>
      </w:r>
      <w:r>
        <w:t>is a buildable research-and-portfolio platform rather than a collection of disconnected tools. The system is designed to let an individual builder assemble a credible institutional-style workflow in layers: point-in-time data, deterministic feature construction, agentic signal generation, structural-alpha design search, Barra-lite risk control, regime awareness, multi-factor aggregation, and long-short portfolio construction. The core promise is not that an LLM will magically discover alpha on its own. The promise is that a well-structured workflow can make alpha research faster, more auditable, and more realistic by separating creativity from truth.</w:t>
      </w:r>
    </w:p>
    <w:p>
      <w:pPr>
        <w:ind w:left="288" w:hanging="202"/>
      </w:pPr>
      <w:r>
        <w:t xml:space="preserve">• </w:t>
      </w:r>
      <w:r>
        <w:t>Creativity is delegated to an LLM research layer that proposes candidate formulas and factor-construction recipes within a constrained design space.</w:t>
      </w:r>
    </w:p>
    <w:p>
      <w:pPr>
        <w:ind w:left="288" w:hanging="202"/>
      </w:pPr>
      <w:r>
        <w:t xml:space="preserve">• </w:t>
      </w:r>
      <w:r>
        <w:t>Truth is delegated to deterministic validators, a risk engine, and a long-short evaluation stack that measure whether a proposal survives costs, exposure leakage, and regime changes.</w:t>
      </w:r>
    </w:p>
    <w:p>
      <w:pPr>
        <w:ind w:left="288" w:hanging="202"/>
      </w:pPr>
      <w:r>
        <w:t xml:space="preserve">• </w:t>
      </w:r>
      <w:r>
        <w:t>Structural alpha is treated as a first-class research target: the system searches not only for new factors, but also for better tail concentration, contamination filters, composite measurement systems, and fresher update rules for classic factors.</w:t>
      </w:r>
    </w:p>
    <w:p>
      <w:pPr>
        <w:ind w:left="288" w:hanging="202"/>
      </w:pPr>
      <w:r>
        <w:t xml:space="preserve">• </w:t>
      </w:r>
      <w:r>
        <w:t>Every module is independently testable and replaceable so the platform can start simple, then grow into richer data, better risk models, and more sophisticated agent workflows.</w:t>
      </w:r>
    </w:p>
    <w:p>
      <w:pPr>
        <w:pStyle w:val="Heading1"/>
      </w:pPr>
      <w:r>
        <w:t>2. Project thesis and scope</w:t>
      </w:r>
    </w:p>
    <w:p>
      <w:pPr>
        <w:pStyle w:val="Heading2"/>
      </w:pPr>
      <w:r>
        <w:t>Project thesis</w:t>
      </w:r>
    </w:p>
    <w:p>
      <w:pPr/>
      <w:r>
        <w:t>Most sustainable alpha is likely to come from a combination of two things: (i) disciplined discovery of residual stock-selection signals that are not just disguised common factor exposures, and (ii) better structural packaging of familiar factor ideas through deeper tails, cleaner exclusions, fresher data, and more realistic implementation rules. The project therefore treats the LLM as a research assistant for both formula discovery and construction-logic discovery, while Barra-lite risk control is used as the map of known risks that new signals must clear.</w:t>
      </w:r>
    </w:p>
    <w:p>
      <w:pPr>
        <w:pStyle w:val="Heading2"/>
      </w:pPr>
      <w:r>
        <w:t>Version 1 boundaries</w:t>
      </w:r>
    </w:p>
    <w:p>
      <w:pPr>
        <w:ind w:left="288" w:hanging="202"/>
      </w:pPr>
      <w:r>
        <w:t xml:space="preserve">• </w:t>
      </w:r>
      <w:r>
        <w:t>Universe: daily U.S. common equities with liquidity and price filters.</w:t>
      </w:r>
    </w:p>
    <w:p>
      <w:pPr>
        <w:ind w:left="288" w:hanging="202"/>
      </w:pPr>
      <w:r>
        <w:t xml:space="preserve">• </w:t>
      </w:r>
      <w:r>
        <w:t>Infrastructure: local research platform using Parquet/DuckDB-style storage, Qlib-style workflow ideas, and batch backtests instead of low-latency live trading.</w:t>
      </w:r>
    </w:p>
    <w:p>
      <w:pPr>
        <w:ind w:left="288" w:hanging="202"/>
      </w:pPr>
      <w:r>
        <w:t xml:space="preserve">• </w:t>
      </w:r>
      <w:r>
        <w:t>Data: price, volume, market cap, industry, market-state variables, and a modest set of basic fundamentals where available.</w:t>
      </w:r>
    </w:p>
    <w:p>
      <w:pPr>
        <w:ind w:left="288" w:hanging="202"/>
      </w:pPr>
      <w:r>
        <w:t xml:space="preserve">• </w:t>
      </w:r>
      <w:r>
        <w:t>Goal: produce a reproducible promoted factor library, a structural-alpha library, a composite alpha signal, and a risk-controlled long-short portfolio backtest with attribution.</w:t>
      </w:r>
    </w:p>
    <w:p>
      <w:pPr>
        <w:pStyle w:val="Heading1"/>
      </w:pPr>
      <w:r>
        <w:t>3. Design principles</w:t>
      </w:r>
    </w:p>
    <w:p>
      <w:pPr>
        <w:pStyle w:val="Heading2"/>
      </w:pPr>
      <w:r>
        <w:t>Separation of concerns</w:t>
      </w:r>
    </w:p>
    <w:p>
      <w:pPr/>
      <w:r>
        <w:t>The LLM proposes ideas; deterministic code computes, scores, and rejects them. This keeps evaluation outside the language model and prevents narrative bias from replacing hard evidence.</w:t>
      </w:r>
    </w:p>
    <w:p>
      <w:pPr>
        <w:pStyle w:val="Heading2"/>
      </w:pPr>
      <w:r>
        <w:t>Constrained search over free-form prompting</w:t>
      </w:r>
    </w:p>
    <w:p>
      <w:pPr/>
      <w:r>
        <w:t>The research engine searches inside an explicit grammar of variables, operators, horizons, conditioning states, and structural portfolio rules. Search quality comes from good boundaries, not from asking for arbitrary new formulas.</w:t>
      </w:r>
    </w:p>
    <w:p>
      <w:pPr>
        <w:pStyle w:val="Heading2"/>
      </w:pPr>
      <w:r>
        <w:t>Residual alpha before raw alpha</w:t>
      </w:r>
    </w:p>
    <w:p>
      <w:pPr/>
      <w:r>
        <w:t>Candidates are judged not only on raw predictive power, but also on whether they still work after known Barra-style exposures are neutralized or explained away.</w:t>
      </w:r>
    </w:p>
    <w:p>
      <w:pPr>
        <w:pStyle w:val="Heading2"/>
      </w:pPr>
      <w:r>
        <w:t>Structural alpha as a parallel research target</w:t>
      </w:r>
    </w:p>
    <w:p>
      <w:pPr/>
      <w:r>
        <w:t>The system searches for factor architectures—such as composite value, momentum vetoes, junk exclusions, and tail-depth changes—not only stand-alone signal formulas.</w:t>
      </w:r>
    </w:p>
    <w:p>
      <w:pPr>
        <w:pStyle w:val="Heading2"/>
      </w:pPr>
      <w:r>
        <w:t>Auditability and replayability</w:t>
      </w:r>
    </w:p>
    <w:p>
      <w:pPr/>
      <w:r>
        <w:t>Every candidate should carry a full record: its thesis, formula, data dependencies, metrics, failure modes, repair history, and final status.</w:t>
      </w:r>
    </w:p>
    <w:p>
      <w:pPr>
        <w:pStyle w:val="Heading1"/>
      </w:pPr>
      <w:r>
        <w:t>4. System architecture</w:t>
      </w:r>
    </w:p>
    <w:p>
      <w:pPr>
        <w:pStyle w:val="Heading2"/>
      </w:pPr>
      <w:r>
        <w:t>Module map</w:t>
      </w:r>
    </w:p>
    <w:tbl>
      <w:tblPr>
        <w:tblStyle w:val="TableGrid"/>
        <w:tblW w:type="auto" w:w="0"/>
        <w:jc w:val="center"/>
        <w:tblLayout w:type="fixed"/>
        <w:tblLook w:firstColumn="1" w:firstRow="1" w:lastColumn="0" w:lastRow="0" w:noHBand="0" w:noVBand="1" w:val="04A0"/>
        <w:tblBorders>
          <w:top w:val="single" w:sz="6" w:space="0" w:color="B9C7D6"/>
          <w:left w:val="single" w:sz="6" w:space="0" w:color="B9C7D6"/>
          <w:bottom w:val="single" w:sz="6" w:space="0" w:color="B9C7D6"/>
          <w:right w:val="single" w:sz="6" w:space="0" w:color="B9C7D6"/>
          <w:insideH w:val="single" w:sz="6" w:space="0" w:color="B9C7D6"/>
          <w:insideV w:val="single" w:sz="6" w:space="0" w:color="B9C7D6"/>
        </w:tblBorders>
      </w:tblPr>
      <w:tblGrid>
        <w:gridCol w:w="1296"/>
        <w:gridCol w:w="2880"/>
        <w:gridCol w:w="3816"/>
        <w:gridCol w:w="1944"/>
      </w:tblGrid>
      <w:tr>
        <w:tc>
          <w:tcPr>
            <w:tcW w:type="dxa" w:w="2484"/>
            <w:shd w:fill="EAF1F8"/>
            <w:tcMar>
              <w:top w:w="90" w:type="dxa"/>
              <w:start w:w="100" w:type="dxa"/>
              <w:bottom w:w="90" w:type="dxa"/>
              <w:end w:w="100" w:type="dxa"/>
            </w:tcMar>
            <w:vAlign w:val="center"/>
          </w:tcPr>
          <w:p>
            <w:pPr>
              <w:jc w:val="center"/>
            </w:pPr>
            <w:r>
              <w:rPr>
                <w:rFonts w:ascii="Lato" w:hAnsi="Lato"/>
                <w:b/>
                <w:color w:val="1C487D"/>
                <w:sz w:val="19"/>
              </w:rPr>
              <w:t>Module</w:t>
            </w:r>
          </w:p>
        </w:tc>
        <w:tc>
          <w:tcPr>
            <w:tcW w:type="dxa" w:w="2484"/>
            <w:shd w:fill="EAF1F8"/>
            <w:tcMar>
              <w:top w:w="90" w:type="dxa"/>
              <w:start w:w="100" w:type="dxa"/>
              <w:bottom w:w="90" w:type="dxa"/>
              <w:end w:w="100" w:type="dxa"/>
            </w:tcMar>
            <w:vAlign w:val="center"/>
          </w:tcPr>
          <w:p>
            <w:pPr>
              <w:jc w:val="center"/>
            </w:pPr>
            <w:r>
              <w:rPr>
                <w:rFonts w:ascii="Lato" w:hAnsi="Lato"/>
                <w:b/>
                <w:color w:val="1C487D"/>
                <w:sz w:val="19"/>
              </w:rPr>
              <w:t>Role</w:t>
            </w:r>
          </w:p>
        </w:tc>
        <w:tc>
          <w:tcPr>
            <w:tcW w:type="dxa" w:w="2484"/>
            <w:shd w:fill="EAF1F8"/>
            <w:tcMar>
              <w:top w:w="90" w:type="dxa"/>
              <w:start w:w="100" w:type="dxa"/>
              <w:bottom w:w="90" w:type="dxa"/>
              <w:end w:w="100" w:type="dxa"/>
            </w:tcMar>
            <w:vAlign w:val="center"/>
          </w:tcPr>
          <w:p>
            <w:pPr>
              <w:jc w:val="center"/>
            </w:pPr>
            <w:r>
              <w:rPr>
                <w:rFonts w:ascii="Lato" w:hAnsi="Lato"/>
                <w:b/>
                <w:color w:val="1C487D"/>
                <w:sz w:val="19"/>
              </w:rPr>
              <w:t>How it works in V1</w:t>
            </w:r>
          </w:p>
        </w:tc>
        <w:tc>
          <w:tcPr>
            <w:tcW w:type="dxa" w:w="2484"/>
            <w:shd w:fill="EAF1F8"/>
            <w:tcMar>
              <w:top w:w="90" w:type="dxa"/>
              <w:start w:w="100" w:type="dxa"/>
              <w:bottom w:w="90" w:type="dxa"/>
              <w:end w:w="100" w:type="dxa"/>
            </w:tcMar>
            <w:vAlign w:val="center"/>
          </w:tcPr>
          <w:p>
            <w:pPr>
              <w:jc w:val="center"/>
            </w:pPr>
            <w:r>
              <w:rPr>
                <w:rFonts w:ascii="Lato" w:hAnsi="Lato"/>
                <w:b/>
                <w:color w:val="1C487D"/>
                <w:sz w:val="19"/>
              </w:rPr>
              <w:t>Upgrade path</w:t>
            </w:r>
          </w:p>
        </w:tc>
      </w:tr>
      <w:tr>
        <w:tc>
          <w:tcPr>
            <w:tcW w:type="dxa" w:w="1296"/>
            <w:tcMar>
              <w:top w:w="85" w:type="dxa"/>
              <w:start w:w="95" w:type="dxa"/>
              <w:bottom w:w="85" w:type="dxa"/>
              <w:end w:w="95" w:type="dxa"/>
            </w:tcMar>
            <w:vAlign w:val="center"/>
          </w:tcPr>
          <w:p>
            <w:pPr>
              <w:jc w:val="center"/>
            </w:pPr>
            <w:r>
              <w:rPr>
                <w:rFonts w:ascii="Lato" w:hAnsi="Lato"/>
                <w:b/>
                <w:color w:val="16786D"/>
                <w:sz w:val="18"/>
              </w:rPr>
              <w:t>A</w:t>
            </w:r>
          </w:p>
        </w:tc>
        <w:tc>
          <w:tcPr>
            <w:tcW w:type="dxa" w:w="2880"/>
            <w:tcMar>
              <w:top w:w="85" w:type="dxa"/>
              <w:start w:w="95" w:type="dxa"/>
              <w:bottom w:w="85" w:type="dxa"/>
              <w:end w:w="95" w:type="dxa"/>
            </w:tcMar>
            <w:vAlign w:val="center"/>
          </w:tcPr>
          <w:p>
            <w:r>
              <w:rPr>
                <w:rFonts w:ascii="Lato" w:hAnsi="Lato"/>
                <w:sz w:val="18"/>
              </w:rPr>
              <w:t>Data acquisition and point-in-time store</w:t>
            </w:r>
          </w:p>
        </w:tc>
        <w:tc>
          <w:tcPr>
            <w:tcW w:type="dxa" w:w="3816"/>
            <w:tcMar>
              <w:top w:w="85" w:type="dxa"/>
              <w:start w:w="95" w:type="dxa"/>
              <w:bottom w:w="85" w:type="dxa"/>
              <w:end w:w="95" w:type="dxa"/>
            </w:tcMar>
            <w:vAlign w:val="center"/>
          </w:tcPr>
          <w:p>
            <w:r>
              <w:rPr>
                <w:rFonts w:ascii="Lato" w:hAnsi="Lato"/>
                <w:sz w:val="18"/>
              </w:rPr>
              <w:t>Builds the stock-date panel from prices, volume, market cap, industry mappings, and basic fundamentals. Applies lagging, corporate-action adjustments, and universe filters so every downstream module sees the same point-in-time truth.</w:t>
            </w:r>
          </w:p>
        </w:tc>
        <w:tc>
          <w:tcPr>
            <w:tcW w:type="dxa" w:w="1944"/>
            <w:tcMar>
              <w:top w:w="85" w:type="dxa"/>
              <w:start w:w="95" w:type="dxa"/>
              <w:bottom w:w="85" w:type="dxa"/>
              <w:end w:w="95" w:type="dxa"/>
            </w:tcMar>
            <w:vAlign w:val="center"/>
          </w:tcPr>
          <w:p>
            <w:r>
              <w:rPr>
                <w:rFonts w:ascii="Lato" w:hAnsi="Lato"/>
                <w:sz w:val="18"/>
              </w:rPr>
              <w:t>Richer fundamentals, options, text, intraday data</w:t>
            </w:r>
          </w:p>
        </w:tc>
      </w:tr>
      <w:tr>
        <w:tc>
          <w:tcPr>
            <w:tcW w:type="dxa" w:w="1296"/>
            <w:tcMar>
              <w:top w:w="85" w:type="dxa"/>
              <w:start w:w="95" w:type="dxa"/>
              <w:bottom w:w="85" w:type="dxa"/>
              <w:end w:w="95" w:type="dxa"/>
            </w:tcMar>
            <w:vAlign w:val="center"/>
          </w:tcPr>
          <w:p>
            <w:pPr>
              <w:jc w:val="center"/>
            </w:pPr>
            <w:r>
              <w:rPr>
                <w:rFonts w:ascii="Lato" w:hAnsi="Lato"/>
                <w:b/>
                <w:color w:val="16786D"/>
                <w:sz w:val="18"/>
              </w:rPr>
              <w:t>B</w:t>
            </w:r>
          </w:p>
        </w:tc>
        <w:tc>
          <w:tcPr>
            <w:tcW w:type="dxa" w:w="2880"/>
            <w:tcMar>
              <w:top w:w="85" w:type="dxa"/>
              <w:start w:w="95" w:type="dxa"/>
              <w:bottom w:w="85" w:type="dxa"/>
              <w:end w:w="95" w:type="dxa"/>
            </w:tcMar>
            <w:vAlign w:val="center"/>
          </w:tcPr>
          <w:p>
            <w:r>
              <w:rPr>
                <w:rFonts w:ascii="Lato" w:hAnsi="Lato"/>
                <w:sz w:val="18"/>
              </w:rPr>
              <w:t>Research ledger and experiment state</w:t>
            </w:r>
          </w:p>
        </w:tc>
        <w:tc>
          <w:tcPr>
            <w:tcW w:type="dxa" w:w="3816"/>
            <w:tcMar>
              <w:top w:w="85" w:type="dxa"/>
              <w:start w:w="95" w:type="dxa"/>
              <w:bottom w:w="85" w:type="dxa"/>
              <w:end w:w="95" w:type="dxa"/>
            </w:tcMar>
            <w:vAlign w:val="center"/>
          </w:tcPr>
          <w:p>
            <w:r>
              <w:rPr>
                <w:rFonts w:ascii="Lato" w:hAnsi="Lato"/>
                <w:sz w:val="18"/>
              </w:rPr>
              <w:t>Stores candidate definitions, metrics, repair history, and promotion decisions so every result can be replayed and compared without guessing what changed between runs.</w:t>
            </w:r>
          </w:p>
        </w:tc>
        <w:tc>
          <w:tcPr>
            <w:tcW w:type="dxa" w:w="1944"/>
            <w:tcMar>
              <w:top w:w="85" w:type="dxa"/>
              <w:start w:w="95" w:type="dxa"/>
              <w:bottom w:w="85" w:type="dxa"/>
              <w:end w:w="95" w:type="dxa"/>
            </w:tcMar>
            <w:vAlign w:val="center"/>
          </w:tcPr>
          <w:p>
            <w:r>
              <w:rPr>
                <w:rFonts w:ascii="Lato" w:hAnsi="Lato"/>
                <w:sz w:val="18"/>
              </w:rPr>
              <w:t>MLflow / dashboard / lineage graph</w:t>
            </w:r>
          </w:p>
        </w:tc>
      </w:tr>
      <w:tr>
        <w:tc>
          <w:tcPr>
            <w:tcW w:type="dxa" w:w="1296"/>
            <w:tcMar>
              <w:top w:w="85" w:type="dxa"/>
              <w:start w:w="95" w:type="dxa"/>
              <w:bottom w:w="85" w:type="dxa"/>
              <w:end w:w="95" w:type="dxa"/>
            </w:tcMar>
            <w:vAlign w:val="center"/>
          </w:tcPr>
          <w:p>
            <w:pPr>
              <w:jc w:val="center"/>
            </w:pPr>
            <w:r>
              <w:rPr>
                <w:rFonts w:ascii="Lato" w:hAnsi="Lato"/>
                <w:b/>
                <w:color w:val="16786D"/>
                <w:sz w:val="18"/>
              </w:rPr>
              <w:t>C</w:t>
            </w:r>
          </w:p>
        </w:tc>
        <w:tc>
          <w:tcPr>
            <w:tcW w:type="dxa" w:w="2880"/>
            <w:tcMar>
              <w:top w:w="85" w:type="dxa"/>
              <w:start w:w="95" w:type="dxa"/>
              <w:bottom w:w="85" w:type="dxa"/>
              <w:end w:w="95" w:type="dxa"/>
            </w:tcMar>
            <w:vAlign w:val="center"/>
          </w:tcPr>
          <w:p>
            <w:r>
              <w:rPr>
                <w:rFonts w:ascii="Lato" w:hAnsi="Lato"/>
                <w:sz w:val="18"/>
              </w:rPr>
              <w:t>Primitive library and DSL</w:t>
            </w:r>
          </w:p>
        </w:tc>
        <w:tc>
          <w:tcPr>
            <w:tcW w:type="dxa" w:w="3816"/>
            <w:tcMar>
              <w:top w:w="85" w:type="dxa"/>
              <w:start w:w="95" w:type="dxa"/>
              <w:bottom w:w="85" w:type="dxa"/>
              <w:end w:w="95" w:type="dxa"/>
            </w:tcMar>
            <w:vAlign w:val="center"/>
          </w:tcPr>
          <w:p>
            <w:r>
              <w:rPr>
                <w:rFonts w:ascii="Lato" w:hAnsi="Lato"/>
                <w:sz w:val="18"/>
              </w:rPr>
              <w:t>Defines the allowed variables, operators, horizons, and structural portfolio rules. This is the sandbox that keeps the LLM from inventing non-existent fields or impossible lookbacks.</w:t>
            </w:r>
          </w:p>
        </w:tc>
        <w:tc>
          <w:tcPr>
            <w:tcW w:type="dxa" w:w="1944"/>
            <w:tcMar>
              <w:top w:w="85" w:type="dxa"/>
              <w:start w:w="95" w:type="dxa"/>
              <w:bottom w:w="85" w:type="dxa"/>
              <w:end w:w="95" w:type="dxa"/>
            </w:tcMar>
            <w:vAlign w:val="center"/>
          </w:tcPr>
          <w:p>
            <w:r>
              <w:rPr>
                <w:rFonts w:ascii="Lato" w:hAnsi="Lato"/>
                <w:sz w:val="18"/>
              </w:rPr>
              <w:t>AST grammar, regime-conditional grammar</w:t>
            </w:r>
          </w:p>
        </w:tc>
      </w:tr>
      <w:tr>
        <w:tc>
          <w:tcPr>
            <w:tcW w:type="dxa" w:w="1296"/>
            <w:tcMar>
              <w:top w:w="85" w:type="dxa"/>
              <w:start w:w="95" w:type="dxa"/>
              <w:bottom w:w="85" w:type="dxa"/>
              <w:end w:w="95" w:type="dxa"/>
            </w:tcMar>
            <w:vAlign w:val="center"/>
          </w:tcPr>
          <w:p>
            <w:pPr>
              <w:jc w:val="center"/>
            </w:pPr>
            <w:r>
              <w:rPr>
                <w:rFonts w:ascii="Lato" w:hAnsi="Lato"/>
                <w:b/>
                <w:color w:val="16786D"/>
                <w:sz w:val="18"/>
              </w:rPr>
              <w:t>D</w:t>
            </w:r>
          </w:p>
        </w:tc>
        <w:tc>
          <w:tcPr>
            <w:tcW w:type="dxa" w:w="2880"/>
            <w:tcMar>
              <w:top w:w="85" w:type="dxa"/>
              <w:start w:w="95" w:type="dxa"/>
              <w:bottom w:w="85" w:type="dxa"/>
              <w:end w:w="95" w:type="dxa"/>
            </w:tcMar>
            <w:vAlign w:val="center"/>
          </w:tcPr>
          <w:p>
            <w:r>
              <w:rPr>
                <w:rFonts w:ascii="Lato" w:hAnsi="Lato"/>
                <w:sz w:val="18"/>
              </w:rPr>
              <w:t>LLM research engine</w:t>
            </w:r>
          </w:p>
        </w:tc>
        <w:tc>
          <w:tcPr>
            <w:tcW w:type="dxa" w:w="3816"/>
            <w:tcMar>
              <w:top w:w="85" w:type="dxa"/>
              <w:start w:w="95" w:type="dxa"/>
              <w:bottom w:w="85" w:type="dxa"/>
              <w:end w:w="95" w:type="dxa"/>
            </w:tcMar>
            <w:vAlign w:val="center"/>
          </w:tcPr>
          <w:p>
            <w:r>
              <w:rPr>
                <w:rFonts w:ascii="Lato" w:hAnsi="Lato"/>
                <w:sz w:val="18"/>
              </w:rPr>
              <w:t>Includes a planner, generator, critic, and repair loop. The generator proposes factors or construction recipes, the critic challenges them, and the repair loop only makes typed, limited changes after diagnosed failures.</w:t>
            </w:r>
          </w:p>
        </w:tc>
        <w:tc>
          <w:tcPr>
            <w:tcW w:type="dxa" w:w="1944"/>
            <w:tcMar>
              <w:top w:w="85" w:type="dxa"/>
              <w:start w:w="95" w:type="dxa"/>
              <w:bottom w:w="85" w:type="dxa"/>
              <w:end w:w="95" w:type="dxa"/>
            </w:tcMar>
            <w:vAlign w:val="center"/>
          </w:tcPr>
          <w:p>
            <w:r>
              <w:rPr>
                <w:rFonts w:ascii="Lato" w:hAnsi="Lato"/>
                <w:sz w:val="18"/>
              </w:rPr>
              <w:t>Multi-agent specialization, human review layer</w:t>
            </w:r>
          </w:p>
        </w:tc>
      </w:tr>
      <w:tr>
        <w:tc>
          <w:tcPr>
            <w:tcW w:type="dxa" w:w="1296"/>
            <w:tcMar>
              <w:top w:w="85" w:type="dxa"/>
              <w:start w:w="95" w:type="dxa"/>
              <w:bottom w:w="85" w:type="dxa"/>
              <w:end w:w="95" w:type="dxa"/>
            </w:tcMar>
            <w:vAlign w:val="center"/>
          </w:tcPr>
          <w:p>
            <w:pPr>
              <w:jc w:val="center"/>
            </w:pPr>
            <w:r>
              <w:rPr>
                <w:rFonts w:ascii="Lato" w:hAnsi="Lato"/>
                <w:b/>
                <w:color w:val="16786D"/>
                <w:sz w:val="18"/>
              </w:rPr>
              <w:t>E</w:t>
            </w:r>
          </w:p>
        </w:tc>
        <w:tc>
          <w:tcPr>
            <w:tcW w:type="dxa" w:w="2880"/>
            <w:tcMar>
              <w:top w:w="85" w:type="dxa"/>
              <w:start w:w="95" w:type="dxa"/>
              <w:bottom w:w="85" w:type="dxa"/>
              <w:end w:w="95" w:type="dxa"/>
            </w:tcMar>
            <w:vAlign w:val="center"/>
          </w:tcPr>
          <w:p>
            <w:r>
              <w:rPr>
                <w:rFonts w:ascii="Lato" w:hAnsi="Lato"/>
                <w:sz w:val="18"/>
              </w:rPr>
              <w:t>RAG and deterministic validation</w:t>
            </w:r>
          </w:p>
        </w:tc>
        <w:tc>
          <w:tcPr>
            <w:tcW w:type="dxa" w:w="3816"/>
            <w:tcMar>
              <w:top w:w="85" w:type="dxa"/>
              <w:start w:w="95" w:type="dxa"/>
              <w:bottom w:w="85" w:type="dxa"/>
              <w:end w:w="95" w:type="dxa"/>
            </w:tcMar>
            <w:vAlign w:val="center"/>
          </w:tcPr>
          <w:p>
            <w:r>
              <w:rPr>
                <w:rFonts w:ascii="Lato" w:hAnsi="Lato"/>
                <w:sz w:val="18"/>
              </w:rPr>
              <w:t>Retrieves valid field/operator vocabularies and rejects bad candidates before any expensive evaluation. This is the reliability layer that turns prompting into structured research.</w:t>
            </w:r>
          </w:p>
        </w:tc>
        <w:tc>
          <w:tcPr>
            <w:tcW w:type="dxa" w:w="1944"/>
            <w:tcMar>
              <w:top w:w="85" w:type="dxa"/>
              <w:start w:w="95" w:type="dxa"/>
              <w:bottom w:w="85" w:type="dxa"/>
              <w:end w:w="95" w:type="dxa"/>
            </w:tcMar>
            <w:vAlign w:val="center"/>
          </w:tcPr>
          <w:p>
            <w:r>
              <w:rPr>
                <w:rFonts w:ascii="Lato" w:hAnsi="Lato"/>
                <w:sz w:val="18"/>
              </w:rPr>
              <w:t>Knowledge graph retrieval, semantic factor memory</w:t>
            </w:r>
          </w:p>
        </w:tc>
      </w:tr>
      <w:tr>
        <w:tc>
          <w:tcPr>
            <w:tcW w:type="dxa" w:w="1296"/>
            <w:tcMar>
              <w:top w:w="85" w:type="dxa"/>
              <w:start w:w="95" w:type="dxa"/>
              <w:bottom w:w="85" w:type="dxa"/>
              <w:end w:w="95" w:type="dxa"/>
            </w:tcMar>
            <w:vAlign w:val="center"/>
          </w:tcPr>
          <w:p>
            <w:pPr>
              <w:jc w:val="center"/>
            </w:pPr>
            <w:r>
              <w:rPr>
                <w:rFonts w:ascii="Lato" w:hAnsi="Lato"/>
                <w:b/>
                <w:color w:val="16786D"/>
                <w:sz w:val="18"/>
              </w:rPr>
              <w:t>F</w:t>
            </w:r>
          </w:p>
        </w:tc>
        <w:tc>
          <w:tcPr>
            <w:tcW w:type="dxa" w:w="2880"/>
            <w:tcMar>
              <w:top w:w="85" w:type="dxa"/>
              <w:start w:w="95" w:type="dxa"/>
              <w:bottom w:w="85" w:type="dxa"/>
              <w:end w:w="95" w:type="dxa"/>
            </w:tcMar>
            <w:vAlign w:val="center"/>
          </w:tcPr>
          <w:p>
            <w:r>
              <w:rPr>
                <w:rFonts w:ascii="Lato" w:hAnsi="Lato"/>
                <w:sz w:val="18"/>
              </w:rPr>
              <w:t>Structural alpha constructor</w:t>
            </w:r>
          </w:p>
        </w:tc>
        <w:tc>
          <w:tcPr>
            <w:tcW w:type="dxa" w:w="3816"/>
            <w:tcMar>
              <w:top w:w="85" w:type="dxa"/>
              <w:start w:w="95" w:type="dxa"/>
              <w:bottom w:w="85" w:type="dxa"/>
              <w:end w:w="95" w:type="dxa"/>
            </w:tcMar>
            <w:vAlign w:val="center"/>
          </w:tcPr>
          <w:p>
            <w:r>
              <w:rPr>
                <w:rFonts w:ascii="Lato" w:hAnsi="Lato"/>
                <w:sz w:val="18"/>
              </w:rPr>
              <w:t>Searches over deeper tails, contamination filters, composite metrics, refresh timing, and capacity-aware packaging for classic factors such as value, size, and momentum interactions.</w:t>
            </w:r>
          </w:p>
        </w:tc>
        <w:tc>
          <w:tcPr>
            <w:tcW w:type="dxa" w:w="1944"/>
            <w:tcMar>
              <w:top w:w="85" w:type="dxa"/>
              <w:start w:w="95" w:type="dxa"/>
              <w:bottom w:w="85" w:type="dxa"/>
              <w:end w:w="95" w:type="dxa"/>
            </w:tcMar>
            <w:vAlign w:val="center"/>
          </w:tcPr>
          <w:p>
            <w:r>
              <w:rPr>
                <w:rFonts w:ascii="Lato" w:hAnsi="Lato"/>
                <w:sz w:val="18"/>
              </w:rPr>
              <w:t>Dynamic tail depth, crowding-aware rules</w:t>
            </w:r>
          </w:p>
        </w:tc>
      </w:tr>
      <w:tr>
        <w:tc>
          <w:tcPr>
            <w:tcW w:type="dxa" w:w="1296"/>
            <w:tcMar>
              <w:top w:w="85" w:type="dxa"/>
              <w:start w:w="95" w:type="dxa"/>
              <w:bottom w:w="85" w:type="dxa"/>
              <w:end w:w="95" w:type="dxa"/>
            </w:tcMar>
            <w:vAlign w:val="center"/>
          </w:tcPr>
          <w:p>
            <w:pPr>
              <w:jc w:val="center"/>
            </w:pPr>
            <w:r>
              <w:rPr>
                <w:rFonts w:ascii="Lato" w:hAnsi="Lato"/>
                <w:b/>
                <w:color w:val="16786D"/>
                <w:sz w:val="18"/>
              </w:rPr>
              <w:t>G</w:t>
            </w:r>
          </w:p>
        </w:tc>
        <w:tc>
          <w:tcPr>
            <w:tcW w:type="dxa" w:w="2880"/>
            <w:tcMar>
              <w:top w:w="85" w:type="dxa"/>
              <w:start w:w="95" w:type="dxa"/>
              <w:bottom w:w="85" w:type="dxa"/>
              <w:end w:w="95" w:type="dxa"/>
            </w:tcMar>
            <w:vAlign w:val="center"/>
          </w:tcPr>
          <w:p>
            <w:r>
              <w:rPr>
                <w:rFonts w:ascii="Lato" w:hAnsi="Lato"/>
                <w:sz w:val="18"/>
              </w:rPr>
              <w:t>Barra-lite risk model</w:t>
            </w:r>
          </w:p>
        </w:tc>
        <w:tc>
          <w:tcPr>
            <w:tcW w:type="dxa" w:w="3816"/>
            <w:tcMar>
              <w:top w:w="85" w:type="dxa"/>
              <w:start w:w="95" w:type="dxa"/>
              <w:bottom w:w="85" w:type="dxa"/>
              <w:end w:w="95" w:type="dxa"/>
            </w:tcMar>
            <w:vAlign w:val="center"/>
          </w:tcPr>
          <w:p>
            <w:r>
              <w:rPr>
                <w:rFonts w:ascii="Lato" w:hAnsi="Lato"/>
                <w:sz w:val="18"/>
              </w:rPr>
              <w:t>Builds factor exposures, factor returns, covariance, and specific risk. Also diagnoses exposure leakage so a “new” factor can be tested against known style and industry risks.</w:t>
            </w:r>
          </w:p>
        </w:tc>
        <w:tc>
          <w:tcPr>
            <w:tcW w:type="dxa" w:w="1944"/>
            <w:tcMar>
              <w:top w:w="85" w:type="dxa"/>
              <w:start w:w="95" w:type="dxa"/>
              <w:bottom w:w="85" w:type="dxa"/>
              <w:end w:w="95" w:type="dxa"/>
            </w:tcMar>
            <w:vAlign w:val="center"/>
          </w:tcPr>
          <w:p>
            <w:r>
              <w:rPr>
                <w:rFonts w:ascii="Lato" w:hAnsi="Lato"/>
                <w:sz w:val="18"/>
              </w:rPr>
              <w:t>Shrinkage covariance, richer style set, region hierarchy</w:t>
            </w:r>
          </w:p>
        </w:tc>
      </w:tr>
      <w:tr>
        <w:tc>
          <w:tcPr>
            <w:tcW w:type="dxa" w:w="1296"/>
            <w:tcMar>
              <w:top w:w="85" w:type="dxa"/>
              <w:start w:w="95" w:type="dxa"/>
              <w:bottom w:w="85" w:type="dxa"/>
              <w:end w:w="95" w:type="dxa"/>
            </w:tcMar>
            <w:vAlign w:val="center"/>
          </w:tcPr>
          <w:p>
            <w:pPr>
              <w:jc w:val="center"/>
            </w:pPr>
            <w:r>
              <w:rPr>
                <w:rFonts w:ascii="Lato" w:hAnsi="Lato"/>
                <w:b/>
                <w:color w:val="16786D"/>
                <w:sz w:val="18"/>
              </w:rPr>
              <w:t>H</w:t>
            </w:r>
          </w:p>
        </w:tc>
        <w:tc>
          <w:tcPr>
            <w:tcW w:type="dxa" w:w="2880"/>
            <w:tcMar>
              <w:top w:w="85" w:type="dxa"/>
              <w:start w:w="95" w:type="dxa"/>
              <w:bottom w:w="85" w:type="dxa"/>
              <w:end w:w="95" w:type="dxa"/>
            </w:tcMar>
            <w:vAlign w:val="center"/>
          </w:tcPr>
          <w:p>
            <w:r>
              <w:rPr>
                <w:rFonts w:ascii="Lato" w:hAnsi="Lato"/>
                <w:sz w:val="18"/>
              </w:rPr>
              <w:t>Regime detection</w:t>
            </w:r>
          </w:p>
        </w:tc>
        <w:tc>
          <w:tcPr>
            <w:tcW w:type="dxa" w:w="3816"/>
            <w:tcMar>
              <w:top w:w="85" w:type="dxa"/>
              <w:start w:w="95" w:type="dxa"/>
              <w:bottom w:w="85" w:type="dxa"/>
              <w:end w:w="95" w:type="dxa"/>
            </w:tcMar>
            <w:vAlign w:val="center"/>
          </w:tcPr>
          <w:p>
            <w:r>
              <w:rPr>
                <w:rFonts w:ascii="Lato" w:hAnsi="Lato"/>
                <w:sz w:val="18"/>
              </w:rPr>
              <w:t>Classifies market state using volatility, trend, liquidity stress, and dispersion. Regime labels can then filter research cells or adjust ensemble weights and portfolio constraints.</w:t>
            </w:r>
          </w:p>
        </w:tc>
        <w:tc>
          <w:tcPr>
            <w:tcW w:type="dxa" w:w="1944"/>
            <w:tcMar>
              <w:top w:w="85" w:type="dxa"/>
              <w:start w:w="95" w:type="dxa"/>
              <w:bottom w:w="85" w:type="dxa"/>
              <w:end w:w="95" w:type="dxa"/>
            </w:tcMar>
            <w:vAlign w:val="center"/>
          </w:tcPr>
          <w:p>
            <w:r>
              <w:rPr>
                <w:rFonts w:ascii="Lato" w:hAnsi="Lato"/>
                <w:sz w:val="18"/>
              </w:rPr>
              <w:t>HMM/Markov-switching, LLM regime narratives</w:t>
            </w:r>
          </w:p>
        </w:tc>
      </w:tr>
      <w:tr>
        <w:tc>
          <w:tcPr>
            <w:tcW w:type="dxa" w:w="1296"/>
            <w:tcMar>
              <w:top w:w="85" w:type="dxa"/>
              <w:start w:w="95" w:type="dxa"/>
              <w:bottom w:w="85" w:type="dxa"/>
              <w:end w:w="95" w:type="dxa"/>
            </w:tcMar>
            <w:vAlign w:val="center"/>
          </w:tcPr>
          <w:p>
            <w:pPr>
              <w:jc w:val="center"/>
            </w:pPr>
            <w:r>
              <w:rPr>
                <w:rFonts w:ascii="Lato" w:hAnsi="Lato"/>
                <w:b/>
                <w:color w:val="16786D"/>
                <w:sz w:val="18"/>
              </w:rPr>
              <w:t>I</w:t>
            </w:r>
          </w:p>
        </w:tc>
        <w:tc>
          <w:tcPr>
            <w:tcW w:type="dxa" w:w="2880"/>
            <w:tcMar>
              <w:top w:w="85" w:type="dxa"/>
              <w:start w:w="95" w:type="dxa"/>
              <w:bottom w:w="85" w:type="dxa"/>
              <w:end w:w="95" w:type="dxa"/>
            </w:tcMar>
            <w:vAlign w:val="center"/>
          </w:tcPr>
          <w:p>
            <w:r>
              <w:rPr>
                <w:rFonts w:ascii="Lato" w:hAnsi="Lato"/>
                <w:sz w:val="18"/>
              </w:rPr>
              <w:t>Alpha ensemble</w:t>
            </w:r>
          </w:p>
        </w:tc>
        <w:tc>
          <w:tcPr>
            <w:tcW w:type="dxa" w:w="3816"/>
            <w:tcMar>
              <w:top w:w="85" w:type="dxa"/>
              <w:start w:w="95" w:type="dxa"/>
              <w:bottom w:w="85" w:type="dxa"/>
              <w:end w:w="95" w:type="dxa"/>
            </w:tcMar>
            <w:vAlign w:val="center"/>
          </w:tcPr>
          <w:p>
            <w:r>
              <w:rPr>
                <w:rFonts w:ascii="Lato" w:hAnsi="Lato"/>
                <w:sz w:val="18"/>
              </w:rPr>
              <w:t>Combines promoted signals using a transparent linear benchmark first, with optional nonlinear aggregation later. Keeps the first version interpretable while leaving room for interaction effects.</w:t>
            </w:r>
          </w:p>
        </w:tc>
        <w:tc>
          <w:tcPr>
            <w:tcW w:type="dxa" w:w="1944"/>
            <w:tcMar>
              <w:top w:w="85" w:type="dxa"/>
              <w:start w:w="95" w:type="dxa"/>
              <w:bottom w:w="85" w:type="dxa"/>
              <w:end w:w="95" w:type="dxa"/>
            </w:tcMar>
            <w:vAlign w:val="center"/>
          </w:tcPr>
          <w:p>
            <w:r>
              <w:rPr>
                <w:rFonts w:ascii="Lato" w:hAnsi="Lato"/>
                <w:sz w:val="18"/>
              </w:rPr>
              <w:t>Bayesian averaging, sparse model selection</w:t>
            </w:r>
          </w:p>
        </w:tc>
      </w:tr>
      <w:tr>
        <w:tc>
          <w:tcPr>
            <w:tcW w:type="dxa" w:w="1296"/>
            <w:tcMar>
              <w:top w:w="85" w:type="dxa"/>
              <w:start w:w="95" w:type="dxa"/>
              <w:bottom w:w="85" w:type="dxa"/>
              <w:end w:w="95" w:type="dxa"/>
            </w:tcMar>
            <w:vAlign w:val="center"/>
          </w:tcPr>
          <w:p>
            <w:pPr>
              <w:jc w:val="center"/>
            </w:pPr>
            <w:r>
              <w:rPr>
                <w:rFonts w:ascii="Lato" w:hAnsi="Lato"/>
                <w:b/>
                <w:color w:val="16786D"/>
                <w:sz w:val="18"/>
              </w:rPr>
              <w:t>J</w:t>
            </w:r>
          </w:p>
        </w:tc>
        <w:tc>
          <w:tcPr>
            <w:tcW w:type="dxa" w:w="2880"/>
            <w:tcMar>
              <w:top w:w="85" w:type="dxa"/>
              <w:start w:w="95" w:type="dxa"/>
              <w:bottom w:w="85" w:type="dxa"/>
              <w:end w:w="95" w:type="dxa"/>
            </w:tcMar>
            <w:vAlign w:val="center"/>
          </w:tcPr>
          <w:p>
            <w:r>
              <w:rPr>
                <w:rFonts w:ascii="Lato" w:hAnsi="Lato"/>
                <w:sz w:val="18"/>
              </w:rPr>
              <w:t>Portfolio and execution simulation</w:t>
            </w:r>
          </w:p>
        </w:tc>
        <w:tc>
          <w:tcPr>
            <w:tcW w:type="dxa" w:w="3816"/>
            <w:tcMar>
              <w:top w:w="85" w:type="dxa"/>
              <w:start w:w="95" w:type="dxa"/>
              <w:bottom w:w="85" w:type="dxa"/>
              <w:end w:w="95" w:type="dxa"/>
            </w:tcMar>
            <w:vAlign w:val="center"/>
          </w:tcPr>
          <w:p>
            <w:r>
              <w:rPr>
                <w:rFonts w:ascii="Lato" w:hAnsi="Lato"/>
                <w:sz w:val="18"/>
              </w:rPr>
              <w:t>Transforms forecasts into a dollar-neutral, sector-aware long-short book using turnover penalties, cost proxies, and liquidity caps. Includes attribution so performance can be explained, not just reported.</w:t>
            </w:r>
          </w:p>
        </w:tc>
        <w:tc>
          <w:tcPr>
            <w:tcW w:type="dxa" w:w="1944"/>
            <w:tcMar>
              <w:top w:w="85" w:type="dxa"/>
              <w:start w:w="95" w:type="dxa"/>
              <w:bottom w:w="85" w:type="dxa"/>
              <w:end w:w="95" w:type="dxa"/>
            </w:tcMar>
            <w:vAlign w:val="center"/>
          </w:tcPr>
          <w:p>
            <w:r>
              <w:rPr>
                <w:rFonts w:ascii="Lato" w:hAnsi="Lato"/>
                <w:sz w:val="18"/>
              </w:rPr>
              <w:t>Impact models, short-borrow costs, shadow live trading</w:t>
            </w:r>
          </w:p>
        </w:tc>
      </w:tr>
    </w:tbl>
    <w:p/>
    <w:p>
      <w:pPr>
        <w:pStyle w:val="Heading1"/>
      </w:pPr>
      <w:r>
        <w:t>5. How the system works after it is built</w:t>
      </w:r>
    </w:p>
    <w:p>
      <w:pPr>
        <w:pStyle w:val="Heading2"/>
      </w:pPr>
      <w:r>
        <w:t>Research cycle</w:t>
      </w:r>
    </w:p>
    <w:p>
      <w:pPr>
        <w:ind w:left="288" w:hanging="202"/>
      </w:pPr>
      <w:r>
        <w:t xml:space="preserve">• </w:t>
      </w:r>
      <w:r>
        <w:t>Step 1 — Data refresh: the data module updates the point-in-time panel, including derived rolling variables and universe membership.</w:t>
      </w:r>
    </w:p>
    <w:p>
      <w:pPr>
        <w:ind w:left="288" w:hanging="202"/>
      </w:pPr>
      <w:r>
        <w:t xml:space="preserve">• </w:t>
      </w:r>
      <w:r>
        <w:t>Step 2 — Risk refresh: the Barra-lite module recomputes exposures, factor returns, covariance estimates, specific risk, and residual returns.</w:t>
      </w:r>
    </w:p>
    <w:p>
      <w:pPr>
        <w:ind w:left="288" w:hanging="202"/>
      </w:pPr>
      <w:r>
        <w:t xml:space="preserve">• </w:t>
      </w:r>
      <w:r>
        <w:t>Step 3 — Research cell selection: the planner chooses where to spend the next research budget (for example: turnover-family × medium horizon × high-vol regime × structural filter search).</w:t>
      </w:r>
    </w:p>
    <w:p>
      <w:pPr>
        <w:ind w:left="288" w:hanging="202"/>
      </w:pPr>
      <w:r>
        <w:t xml:space="preserve">• </w:t>
      </w:r>
      <w:r>
        <w:t>Step 4 — Grounded generation: the RAG layer retrieves allowed vocabulary, prior successful motifs, and known failure motifs. The generator then outputs a candidate factor formula or a structural recipe with an economic rationale.</w:t>
      </w:r>
    </w:p>
    <w:p>
      <w:pPr>
        <w:ind w:left="288" w:hanging="202"/>
      </w:pPr>
      <w:r>
        <w:t xml:space="preserve">• </w:t>
      </w:r>
      <w:r>
        <w:t>Step 5 — Deterministic build: the constructor computes the candidate panel using only approved variables, legal lookbacks, and same-day cross-sectional transforms where required.</w:t>
      </w:r>
    </w:p>
    <w:p>
      <w:pPr>
        <w:ind w:left="288" w:hanging="202"/>
      </w:pPr>
      <w:r>
        <w:t xml:space="preserve">• </w:t>
      </w:r>
      <w:r>
        <w:t>Step 6 — Evaluation: the candidate is scored on rank IC, long-short monetization, turnover, drawdown, regime stability, capacity proxies, and exposure leakage relative to Barra factors.</w:t>
      </w:r>
    </w:p>
    <w:p>
      <w:pPr>
        <w:ind w:left="288" w:hanging="202"/>
      </w:pPr>
      <w:r>
        <w:t xml:space="preserve">• </w:t>
      </w:r>
      <w:r>
        <w:t>Step 7 — Critique and repair: if the candidate fails, it is classified into typed failure modes (for example: weak signal, excessive turnover, exposure leakage, or fragility). The repair loop then attempts a limited, targeted revision rather than a blind retry.</w:t>
      </w:r>
    </w:p>
    <w:p>
      <w:pPr>
        <w:ind w:left="288" w:hanging="202"/>
      </w:pPr>
      <w:r>
        <w:t xml:space="preserve">• </w:t>
      </w:r>
      <w:r>
        <w:t>Step 8 — Promotion: passing candidates are stored in the factor library, rolled into the ensemble, and eventually fed into the portfolio-construction module for full-book tests.</w:t>
      </w:r>
    </w:p>
    <w:p>
      <w:pPr>
        <w:pStyle w:val="Heading2"/>
      </w:pPr>
      <w:r>
        <w:t>Operational picture</w:t>
      </w:r>
    </w:p>
    <w:p>
      <w:pPr/>
      <w:r>
        <w:t>Nothing in the platform depends on hidden magic once the modules exist. The LLM research engine only proposes structured objects; the rest of the system is normal quantitative engineering: feature construction, cross-sectional transformations, regression-based risk decomposition, long-short backtests, and logging. The value of the platform comes from connecting these components into a disciplined loop so research throughput rises without sacrificing control.</w:t>
      </w:r>
    </w:p>
    <w:p>
      <w:pPr>
        <w:pStyle w:val="Heading1"/>
      </w:pPr>
      <w:r>
        <w:t>6. Risk model and residual-alpha logic</w:t>
      </w:r>
    </w:p>
    <w:p>
      <w:pPr/>
      <w:r>
        <w:t>The risk layer uses a Barra-lite representation of returns. At each rebalance date the system estimates a stock exposure matrix spanning industry, size, value, beta, momentum, volatility, and liquidity. Cross-sectional regression produces factor returns and stock-specific residuals. From that point forward, any candidate factor can be judged in two ways: whether it predicts raw returns and whether it predicts residual returns after known risk premia are removed. This makes the platform better suited to finding alpha that is not merely repackaged common-factor exposure.</w:t>
      </w:r>
    </w:p>
    <w:p>
      <w:pPr>
        <w:pStyle w:val="Callout"/>
      </w:pPr>
      <w:r>
        <w:rPr>
          <w:b/>
        </w:rPr>
        <w:t xml:space="preserve">Practical implication. </w:t>
      </w:r>
      <w:r>
        <w:t>A factor that looks strong before neutralization but collapses after size, industry, and momentum controls will still be valuable as a diagnostic result: it tells the research engine that the candidate belongs in the risk-tilt bucket, not the residual-alpha bucket.</w:t>
      </w:r>
    </w:p>
    <w:p>
      <w:pPr>
        <w:pStyle w:val="Heading1"/>
      </w:pPr>
      <w:r>
        <w:t>7. Structural alpha logic</w:t>
      </w:r>
    </w:p>
    <w:p>
      <w:pPr/>
      <w:r>
        <w:t>Structural alpha is treated as a dedicated search space, not a narrative afterthought. The system searches over construction choices such as tail depth, valuation composites, exclusion filters, and data freshness rules. For example, the project can compare broad value exposure against deep-tail composite value, then test whether excluding the worst momentum names or junk balance sheets improves robustness and residual alpha. This is a concrete way to operationalize the idea that factor performance may be unlocked more by better construction than by endless invention of new formulaic factors.</w:t>
      </w:r>
    </w:p>
    <w:p>
      <w:pPr>
        <w:ind w:left="288" w:hanging="202"/>
      </w:pPr>
      <w:r>
        <w:t xml:space="preserve">• </w:t>
      </w:r>
      <w:r>
        <w:t>Deep-tail exposure: top/bottom 5–10% instead of broad top/bottom 30%.</w:t>
      </w:r>
    </w:p>
    <w:p>
      <w:pPr>
        <w:ind w:left="288" w:hanging="202"/>
      </w:pPr>
      <w:r>
        <w:t xml:space="preserve">• </w:t>
      </w:r>
      <w:r>
        <w:t>Contamination filters: exclude low-momentum or junky names inside a target bucket.</w:t>
      </w:r>
    </w:p>
    <w:p>
      <w:pPr>
        <w:ind w:left="288" w:hanging="202"/>
      </w:pPr>
      <w:r>
        <w:t xml:space="preserve">• </w:t>
      </w:r>
      <w:r>
        <w:t>Composite measurement: combine book-to-price, earnings yield, sales yield, and cash-flow yield instead of relying on one ratio.</w:t>
      </w:r>
    </w:p>
    <w:p>
      <w:pPr>
        <w:ind w:left="288" w:hanging="202"/>
      </w:pPr>
      <w:r>
        <w:t xml:space="preserve">• </w:t>
      </w:r>
      <w:r>
        <w:t>Freshness rules: refresh factor membership on the earliest practical point-in-time schedule rather than with stale labels.</w:t>
      </w:r>
    </w:p>
    <w:p>
      <w:pPr>
        <w:ind w:left="288" w:hanging="202"/>
      </w:pPr>
      <w:r>
        <w:t xml:space="preserve">• </w:t>
      </w:r>
      <w:r>
        <w:t>Capacity lens: penalize structures that only work by leaning on illiquid extremes that cannot scale.</w:t>
      </w:r>
    </w:p>
    <w:p>
      <w:pPr>
        <w:pStyle w:val="Heading1"/>
      </w:pPr>
      <w:r>
        <w:t>8. Version 1 deliverables</w:t>
      </w:r>
    </w:p>
    <w:p>
      <w:pPr>
        <w:ind w:left="288" w:hanging="202"/>
      </w:pPr>
      <w:r>
        <w:t xml:space="preserve">• </w:t>
      </w:r>
      <w:r>
        <w:t>A documented point-in-time daily equity dataset and feature panel.</w:t>
      </w:r>
    </w:p>
    <w:p>
      <w:pPr>
        <w:ind w:left="288" w:hanging="202"/>
      </w:pPr>
      <w:r>
        <w:t xml:space="preserve">• </w:t>
      </w:r>
      <w:r>
        <w:t>A constrained signal/structure grammar and deterministic validation layer.</w:t>
      </w:r>
    </w:p>
    <w:p>
      <w:pPr>
        <w:ind w:left="288" w:hanging="202"/>
      </w:pPr>
      <w:r>
        <w:t xml:space="preserve">• </w:t>
      </w:r>
      <w:r>
        <w:t>An LLM generator–critic–repair workflow backed by experiment logging.</w:t>
      </w:r>
    </w:p>
    <w:p>
      <w:pPr>
        <w:ind w:left="288" w:hanging="202"/>
      </w:pPr>
      <w:r>
        <w:t xml:space="preserve">• </w:t>
      </w:r>
      <w:r>
        <w:t>A Barra-lite risk engine with exposure diagnostics and residual-return output.</w:t>
      </w:r>
    </w:p>
    <w:p>
      <w:pPr>
        <w:ind w:left="288" w:hanging="202"/>
      </w:pPr>
      <w:r>
        <w:t xml:space="preserve">• </w:t>
      </w:r>
      <w:r>
        <w:t>A regime-labeling module with at least two usable state signals.</w:t>
      </w:r>
    </w:p>
    <w:p>
      <w:pPr>
        <w:ind w:left="288" w:hanging="202"/>
      </w:pPr>
      <w:r>
        <w:t xml:space="preserve">• </w:t>
      </w:r>
      <w:r>
        <w:t>A promoted factor library and a promoted structural-alpha library.</w:t>
      </w:r>
    </w:p>
    <w:p>
      <w:pPr>
        <w:ind w:left="288" w:hanging="202"/>
      </w:pPr>
      <w:r>
        <w:t xml:space="preserve">• </w:t>
      </w:r>
      <w:r>
        <w:t>A linear composite alpha model and a long-short backtest with costs, turnover, and attribution.</w:t>
      </w:r>
    </w:p>
    <w:p>
      <w:pPr>
        <w:ind w:left="288" w:hanging="202"/>
      </w:pPr>
      <w:r>
        <w:t xml:space="preserve">• </w:t>
      </w:r>
      <w:r>
        <w:t>An upgrade-ready codebase where every module can be swapped or deepened without redesigning the entire platform.</w:t>
      </w:r>
    </w:p>
    <w:p>
      <w:pPr>
        <w:pStyle w:val="Heading1"/>
      </w:pPr>
      <w:r>
        <w:t>9. Why this is buildable for an individual builder</w:t>
      </w:r>
    </w:p>
    <w:p>
      <w:pPr/>
      <w:r>
        <w:t>The V1 platform deliberately trades industrial breadth for methodological clarity. It uses daily data, a transparent risk model, batch backtests, modest storage, and a limited number of agents. That is enough to reproduce the important scientific logic: constrained generation, grounded variables, deterministic evaluation, typed repair, risk decomposition, structural packaging tests, and long-short implementation. The project therefore scales down the infrastructure but preserves the architecture. In other words, the individual-builder version does not pretend to be a live multi-billion-dollar quant stack; it reproduces the parts that actually make the research process sound.</w:t>
      </w:r>
    </w:p>
    <w:p>
      <w:pPr>
        <w:ind w:left="288" w:hanging="202"/>
      </w:pPr>
      <w:r>
        <w:t xml:space="preserve">• </w:t>
      </w:r>
      <w:r>
        <w:t>The data problem is manageable with local columnar storage and daily frequency.</w:t>
      </w:r>
    </w:p>
    <w:p>
      <w:pPr>
        <w:ind w:left="288" w:hanging="202"/>
      </w:pPr>
      <w:r>
        <w:t xml:space="preserve">• </w:t>
      </w:r>
      <w:r>
        <w:t>The risk model is transparent enough to implement from standard cross-sectional and covariance machinery.</w:t>
      </w:r>
    </w:p>
    <w:p>
      <w:pPr>
        <w:ind w:left="288" w:hanging="202"/>
      </w:pPr>
      <w:r>
        <w:t xml:space="preserve">• </w:t>
      </w:r>
      <w:r>
        <w:t>The LLM layer becomes reliable because it is heavily constrained by retrieval and validation rather than trusted blindly.</w:t>
      </w:r>
    </w:p>
    <w:p>
      <w:pPr>
        <w:ind w:left="288" w:hanging="202"/>
      </w:pPr>
      <w:r>
        <w:t xml:space="preserve">• </w:t>
      </w:r>
      <w:r>
        <w:t>The long-short portfolio is implemented with realistic, but not institution-only, assumptions: turnover penalties, spread proxies, and liquidity caps.</w:t>
      </w:r>
    </w:p>
    <w:p>
      <w:pPr>
        <w:pStyle w:val="Heading1"/>
      </w:pPr>
      <w:r>
        <w:t>10. Success criteria and future extensions</w:t>
      </w:r>
    </w:p>
    <w:p>
      <w:pPr>
        <w:ind w:left="288" w:hanging="202"/>
      </w:pPr>
      <w:r>
        <w:t xml:space="preserve">• </w:t>
      </w:r>
      <w:r>
        <w:t>Primary success: promoted signals or structures retain meaningful predictive power after Barra-style controls and produce a coherent composite long-short book.</w:t>
      </w:r>
    </w:p>
    <w:p>
      <w:pPr>
        <w:ind w:left="288" w:hanging="202"/>
      </w:pPr>
      <w:r>
        <w:t xml:space="preserve">• </w:t>
      </w:r>
      <w:r>
        <w:t>Reliability success: invalid proposals, field hallucinations, and aimless retries fall over time because the workflow is grounded and failure-aware.</w:t>
      </w:r>
    </w:p>
    <w:p>
      <w:pPr>
        <w:ind w:left="288" w:hanging="202"/>
      </w:pPr>
      <w:r>
        <w:t xml:space="preserve">• </w:t>
      </w:r>
      <w:r>
        <w:t>Research success: the platform can explain which results come from novel formulas, which come from better structural packaging, and which disappear after known risk exposures are stripped away.</w:t>
      </w:r>
    </w:p>
    <w:p>
      <w:pPr>
        <w:ind w:left="288" w:hanging="202"/>
      </w:pPr>
      <w:r>
        <w:t xml:space="preserve">• </w:t>
      </w:r>
      <w:r>
        <w:t>Extension path: richer fundamentals, textual data, improved covariance estimation, regime-specific ensembles, better execution simulation, and periodic shadow deployment can all be added without breaking the base architecture.</w:t>
      </w:r>
    </w:p>
    <w:sectPr w:rsidR="00FC693F" w:rsidRPr="0006063C" w:rsidSect="00034616">
      <w:footerReference w:type="default" r:id="rId9"/>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
      <w:jc w:val="right"/>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Lato" w:hAnsi="Lato"/>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ato" w:hAnsi="Lato"/>
      <w:b/>
      <w:bCs/>
      <w:color w:val="1C487D"/>
      <w:sz w:val="33"/>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ato" w:hAnsi="Lato"/>
      <w:b/>
      <w:bCs/>
      <w:color w:val="16786D"/>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Lato" w:hAnsi="Lato"/>
      <w:b/>
      <w:bCs/>
      <w:color w:val="1C48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Lato" w:hAnsi="Lato"/>
      <w:b/>
      <w:color w:val="1C487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Lato" w:hAnsi="Lato"/>
      <w:i w:val="0"/>
      <w:iCs/>
      <w:color w:val="586677"/>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basedOn w:val="Normal"/>
    <w:pPr>
      <w:spacing w:after="80"/>
    </w:pPr>
    <w:rPr>
      <w:rFonts w:ascii="Lato" w:hAnsi="Lato"/>
      <w:color w:val="586677"/>
      <w:sz w:val="17"/>
    </w:rPr>
  </w:style>
  <w:style w:type="paragraph" w:customStyle="1" w:styleId="Callout">
    <w:name w:val="Callout"/>
    <w:basedOn w:val="Normal"/>
    <w:pPr>
      <w:spacing w:after="160"/>
      <w:ind w:left="216" w:right="72"/>
    </w:pPr>
    <w:rPr>
      <w:rFonts w:ascii="Lato" w:hAnsi="Lato"/>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