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1F3864"/>
          <w:sz w:val="52"/>
          <w:szCs w:val="52"/>
        </w:rPr>
        <w:t xml:space="preserve">AEGIS ALPHA LAB</w:t>
      </w:r>
    </w:p>
    <w:p>
      <w:pPr>
        <w:spacing w:after="120"/>
        <w:jc w:val="center"/>
      </w:pPr>
      <w:r>
        <w:rPr>
          <w:rFonts w:ascii="Calibri" w:cs="Calibri" w:eastAsia="Calibri" w:hAnsi="Calibri"/>
          <w:i/>
          <w:iCs/>
          <w:color w:val="404040"/>
          <w:sz w:val="28"/>
          <w:szCs w:val="28"/>
        </w:rPr>
        <w:t xml:space="preserve">A Mathematically Specified, Barra-Aware, Long-Short Equity Research Platform</w:t>
      </w:r>
    </w:p>
    <w:p>
      <w:pPr>
        <w:spacing w:after="600"/>
        <w:jc w:val="center"/>
      </w:pPr>
      <w:r>
        <w:rPr>
          <w:rFonts w:ascii="Calibri" w:cs="Calibri" w:eastAsia="Calibri" w:hAnsi="Calibri"/>
          <w:color w:val="595959"/>
          <w:sz w:val="24"/>
          <w:szCs w:val="24"/>
        </w:rPr>
        <w:t xml:space="preserve">V1 Specification with V2 / V3 Upgrade Roadmap</w:t>
      </w:r>
    </w:p>
    <w:p>
      <w:pPr>
        <w:spacing w:after="80"/>
        <w:jc w:val="center"/>
      </w:pPr>
      <w:r>
        <w:rPr>
          <w:rFonts w:ascii="Calibri" w:cs="Calibri" w:eastAsia="Calibri" w:hAnsi="Calibri"/>
          <w:b/>
          <w:bCs/>
          <w:sz w:val="22"/>
          <w:szCs w:val="22"/>
        </w:rPr>
        <w:t xml:space="preserve">Version 2.0</w:t>
      </w:r>
    </w:p>
    <w:p>
      <w:pPr>
        <w:spacing w:after="80"/>
        <w:jc w:val="center"/>
      </w:pPr>
      <w:r>
        <w:rPr>
          <w:rFonts w:ascii="Calibri" w:cs="Calibri" w:eastAsia="Calibri" w:hAnsi="Calibri"/>
          <w:sz w:val="22"/>
          <w:szCs w:val="22"/>
        </w:rPr>
        <w:t xml:space="preserve">Author: Tim Peng</w:t>
      </w:r>
    </w:p>
    <w:p>
      <w:pPr>
        <w:spacing w:after="800"/>
        <w:jc w:val="center"/>
      </w:pPr>
      <w:r>
        <w:rPr>
          <w:rFonts w:ascii="Calibri" w:cs="Calibri" w:eastAsia="Calibri" w:hAnsi="Calibri"/>
          <w:sz w:val="22"/>
          <w:szCs w:val="22"/>
        </w:rPr>
        <w:t xml:space="preserve">Date: April 2026</w:t>
      </w:r>
    </w:p>
    <w:p>
      <w:r>
        <w:br w:type="page"/>
      </w:r>
    </w:p>
    <w:p>
      <w:pPr>
        <w:pStyle w:val="Heading1"/>
        <w:spacing w:after="180" w:before="360"/>
      </w:pPr>
      <w:r>
        <w:rPr>
          <w:rFonts w:ascii="Calibri" w:cs="Calibri" w:eastAsia="Calibri" w:hAnsi="Calibri"/>
          <w:b/>
          <w:bCs/>
          <w:color w:val="1F3864"/>
          <w:sz w:val="32"/>
          <w:szCs w:val="32"/>
        </w:rPr>
        <w:t xml:space="preserve">1. Executive Summary</w:t>
      </w:r>
    </w:p>
    <w:p>
      <w:pPr>
        <w:spacing w:after="120" w:line="300"/>
      </w:pPr>
      <w:r>
        <w:rPr>
          <w:rFonts w:ascii="Calibri" w:cs="Calibri" w:eastAsia="Calibri" w:hAnsi="Calibri"/>
          <w:sz w:val="22"/>
          <w:szCs w:val="22"/>
        </w:rPr>
        <w:t xml:space="preserve">Aegis Alpha Lab is a long-short U.S. equity research platform whose central premise is that the bulk of reliably capturable alpha comes from two sources: (i) residual stock-selection signals that survive after standard style and industry risk premia are removed, and (ii) better structural packaging of known factor ideas through deeper tails, cleaner exclusions, and fresher data. The platform operationalizes both through an explicit mathematical framework with quantified promotion thresholds, multiple-testing control, and a locked out-of-sample holdout.</w:t>
      </w:r>
    </w:p>
    <w:p>
      <w:pPr>
        <w:spacing w:after="120" w:line="300"/>
      </w:pPr>
      <w:r>
        <w:rPr>
          <w:rFonts w:ascii="Calibri" w:cs="Calibri" w:eastAsia="Calibri" w:hAnsi="Calibri"/>
          <w:sz w:val="22"/>
          <w:szCs w:val="22"/>
        </w:rPr>
        <w:t xml:space="preserve">This document specifies a narrow but complete V1 that can be built by a single engineer over roughly 20 weeks, and a V2 / V3 roadmap that extends the same mathematical core with more data, more search, and agentic research automation.</w:t>
      </w:r>
    </w:p>
    <w:p>
      <w:pPr>
        <w:pStyle w:val="Heading3"/>
        <w:spacing w:after="100" w:before="220"/>
      </w:pPr>
      <w:r>
        <w:rPr>
          <w:rFonts w:ascii="Calibri" w:cs="Calibri" w:eastAsia="Calibri" w:hAnsi="Calibri"/>
          <w:b/>
          <w:bCs/>
          <w:color w:val="333333"/>
          <w:sz w:val="23"/>
          <w:szCs w:val="23"/>
        </w:rPr>
        <w:t xml:space="preserve">What V1 delivers</w:t>
      </w:r>
    </w:p>
    <w:p>
      <w:pPr>
        <w:pStyle w:val="ListParagraph"/>
        <w:numPr>
          <w:ilvl w:val="0"/>
          <w:numId w:val="2"/>
        </w:numPr>
        <w:spacing w:after="80" w:line="300"/>
      </w:pPr>
      <w:r>
        <w:rPr>
          <w:rFonts w:ascii="Calibri" w:cs="Calibri" w:eastAsia="Calibri" w:hAnsi="Calibri"/>
          <w:sz w:val="22"/>
          <w:szCs w:val="22"/>
        </w:rPr>
        <w:t xml:space="preserve">Point-in-time U.S. daily equity panel built on CRSP + Compustat Point-in-Time via WRDS, covering ~4,000 common stocks over 2000–2025.</w:t>
      </w:r>
    </w:p>
    <w:p>
      <w:pPr>
        <w:pStyle w:val="ListParagraph"/>
        <w:numPr>
          <w:ilvl w:val="0"/>
          <w:numId w:val="2"/>
        </w:numPr>
        <w:spacing w:after="80" w:line="300"/>
      </w:pPr>
      <w:r>
        <w:rPr>
          <w:rFonts w:ascii="Calibri" w:cs="Calibri" w:eastAsia="Calibri" w:hAnsi="Calibri"/>
          <w:sz w:val="22"/>
          <w:szCs w:val="22"/>
        </w:rPr>
        <w:t xml:space="preserve">A deterministic feature library of ~40 hand-specified factors, each with a closed-form construction.</w:t>
      </w:r>
    </w:p>
    <w:p>
      <w:pPr>
        <w:pStyle w:val="ListParagraph"/>
        <w:numPr>
          <w:ilvl w:val="0"/>
          <w:numId w:val="2"/>
        </w:numPr>
        <w:spacing w:after="80" w:line="300"/>
      </w:pPr>
      <w:r>
        <w:rPr>
          <w:rFonts w:ascii="Calibri" w:cs="Calibri" w:eastAsia="Calibri" w:hAnsi="Calibri"/>
          <w:sz w:val="22"/>
          <w:szCs w:val="22"/>
        </w:rPr>
        <w:t xml:space="preserve">A Barra-lite cross-sectional risk model with 9 style factors and 24 GICS industry groups, estimated via weighted least squares.</w:t>
      </w:r>
    </w:p>
    <w:p>
      <w:pPr>
        <w:pStyle w:val="ListParagraph"/>
        <w:numPr>
          <w:ilvl w:val="0"/>
          <w:numId w:val="2"/>
        </w:numPr>
        <w:spacing w:after="80" w:line="300"/>
      </w:pPr>
      <w:r>
        <w:rPr>
          <w:rFonts w:ascii="Calibri" w:cs="Calibri" w:eastAsia="Calibri" w:hAnsi="Calibri"/>
          <w:sz w:val="22"/>
          <w:szCs w:val="22"/>
        </w:rPr>
        <w:t xml:space="preserve">A statistical validation layer: purged-and-embargoed walk-forward cross-validation, Benjamini–Hochberg false discovery rate control at q = 0.10, and a deflated Sharpe ratio test.</w:t>
      </w:r>
    </w:p>
    <w:p>
      <w:pPr>
        <w:pStyle w:val="ListParagraph"/>
        <w:numPr>
          <w:ilvl w:val="0"/>
          <w:numId w:val="2"/>
        </w:numPr>
        <w:spacing w:after="80" w:line="300"/>
      </w:pPr>
      <w:r>
        <w:rPr>
          <w:rFonts w:ascii="Calibri" w:cs="Calibri" w:eastAsia="Calibri" w:hAnsi="Calibri"/>
          <w:sz w:val="22"/>
          <w:szCs w:val="22"/>
        </w:rPr>
        <w:t xml:space="preserve">A locked out-of-sample holdout spanning the final 24 months, never touched until the platform is otherwise frozen.</w:t>
      </w:r>
    </w:p>
    <w:p>
      <w:pPr>
        <w:pStyle w:val="ListParagraph"/>
        <w:numPr>
          <w:ilvl w:val="0"/>
          <w:numId w:val="2"/>
        </w:numPr>
        <w:spacing w:after="80" w:line="300"/>
      </w:pPr>
      <w:r>
        <w:rPr>
          <w:rFonts w:ascii="Calibri" w:cs="Calibri" w:eastAsia="Calibri" w:hAnsi="Calibri"/>
          <w:sz w:val="22"/>
          <w:szCs w:val="22"/>
        </w:rPr>
        <w:t xml:space="preserve">A cost-aware long-short portfolio optimizer with explicit spread, market-impact, and short-borrow terms.</w:t>
      </w:r>
    </w:p>
    <w:p>
      <w:pPr>
        <w:pStyle w:val="ListParagraph"/>
        <w:numPr>
          <w:ilvl w:val="0"/>
          <w:numId w:val="2"/>
        </w:numPr>
        <w:spacing w:after="80" w:line="300"/>
      </w:pPr>
      <w:r>
        <w:rPr>
          <w:rFonts w:ascii="Calibri" w:cs="Calibri" w:eastAsia="Calibri" w:hAnsi="Calibri"/>
          <w:sz w:val="22"/>
          <w:szCs w:val="22"/>
        </w:rPr>
        <w:t xml:space="preserve">Quantified promotion thresholds for individual factors and for the final composite book.</w:t>
      </w:r>
    </w:p>
    <w:p>
      <w:pPr>
        <w:pStyle w:val="Heading3"/>
        <w:spacing w:after="100" w:before="220"/>
      </w:pPr>
      <w:r>
        <w:rPr>
          <w:rFonts w:ascii="Calibri" w:cs="Calibri" w:eastAsia="Calibri" w:hAnsi="Calibri"/>
          <w:b/>
          <w:bCs/>
          <w:color w:val="333333"/>
          <w:sz w:val="23"/>
          <w:szCs w:val="23"/>
        </w:rPr>
        <w:t xml:space="preserve">What V2 and V3 add</w:t>
      </w:r>
    </w:p>
    <w:p>
      <w:pPr>
        <w:pStyle w:val="ListParagraph"/>
        <w:numPr>
          <w:ilvl w:val="0"/>
          <w:numId w:val="2"/>
        </w:numPr>
        <w:spacing w:after="80" w:line="300"/>
      </w:pPr>
      <w:r>
        <w:rPr>
          <w:rFonts w:ascii="Calibri" w:cs="Calibri" w:eastAsia="Calibri" w:hAnsi="Calibri"/>
          <w:sz w:val="22"/>
          <w:szCs w:val="22"/>
        </w:rPr>
        <w:t xml:space="preserve">V2 reintroduces the LLM research engine as a constrained proposer over the grammar fixed in V1, plus a structural-alpha search module, regime conditioning, and Ledoit–Wolf shrinkage for the covariance.</w:t>
      </w:r>
    </w:p>
    <w:p>
      <w:pPr>
        <w:pStyle w:val="ListParagraph"/>
        <w:numPr>
          <w:ilvl w:val="0"/>
          <w:numId w:val="2"/>
        </w:numPr>
        <w:spacing w:after="80" w:line="300"/>
      </w:pPr>
      <w:r>
        <w:rPr>
          <w:rFonts w:ascii="Calibri" w:cs="Calibri" w:eastAsia="Calibri" w:hAnsi="Calibri"/>
          <w:sz w:val="22"/>
          <w:szCs w:val="22"/>
        </w:rPr>
        <w:t xml:space="preserve">V3 extends to alternative data (SEC text, option-implied signals), multi-agent critique, intraday execution simulation, and a shadow paper-trading deployment.</w:t>
      </w:r>
    </w:p>
    <w:p>
      <w:r>
        <w:br w:type="page"/>
      </w:r>
    </w:p>
    <w:p>
      <w:pPr>
        <w:pStyle w:val="Heading1"/>
        <w:spacing w:after="180" w:before="360"/>
      </w:pPr>
      <w:r>
        <w:rPr>
          <w:rFonts w:ascii="Calibri" w:cs="Calibri" w:eastAsia="Calibri" w:hAnsi="Calibri"/>
          <w:b/>
          <w:bCs/>
          <w:color w:val="1F3864"/>
          <w:sz w:val="32"/>
          <w:szCs w:val="32"/>
        </w:rPr>
        <w:t xml:space="preserve">2. Research Thesis</w:t>
      </w:r>
    </w:p>
    <w:p>
      <w:pPr>
        <w:spacing w:after="120" w:line="300"/>
      </w:pPr>
      <w:r>
        <w:rPr>
          <w:rFonts w:ascii="Calibri" w:cs="Calibri" w:eastAsia="Calibri" w:hAnsi="Calibri"/>
          <w:sz w:val="22"/>
          <w:szCs w:val="22"/>
        </w:rPr>
        <w:t xml:space="preserve">We decompose each stock's one-period forward return into three additive sources and state explicitly which of them the platform is designed to capture.</w:t>
      </w:r>
    </w:p>
    <w:p>
      <w:pPr>
        <w:spacing w:after="120" w:line="300"/>
      </w:pPr>
      <w:r>
        <w:rPr>
          <w:rFonts w:ascii="Calibri" w:cs="Calibri" w:eastAsia="Calibri" w:hAnsi="Calibri"/>
          <w:b w:val="false"/>
          <w:bCs w:val="false"/>
          <w:i w:val="false"/>
          <w:iCs w:val="false"/>
          <w:sz w:val="22"/>
          <w:szCs w:val="22"/>
        </w:rPr>
        <w:t xml:space="preserve">For stock </w:t>
      </w:r>
      <w:r>
        <w:rPr>
          <w:rFonts w:ascii="Calibri" w:cs="Calibri" w:eastAsia="Calibri" w:hAnsi="Calibri"/>
          <w:b w:val="false"/>
          <w:bCs w:val="false"/>
          <w:i/>
          <w:iCs/>
          <w:sz w:val="22"/>
          <w:szCs w:val="22"/>
        </w:rPr>
        <w:t xml:space="preserve">i</w:t>
      </w:r>
      <w:r>
        <w:rPr>
          <w:rFonts w:ascii="Calibri" w:cs="Calibri" w:eastAsia="Calibri" w:hAnsi="Calibri"/>
          <w:b w:val="false"/>
          <w:bCs w:val="false"/>
          <w:i w:val="false"/>
          <w:iCs w:val="false"/>
          <w:sz w:val="22"/>
          <w:szCs w:val="22"/>
        </w:rPr>
        <w:t xml:space="preserve"> at rebalance date </w:t>
      </w:r>
      <w:r>
        <w:rPr>
          <w:rFonts w:ascii="Calibri" w:cs="Calibri" w:eastAsia="Calibri" w:hAnsi="Calibri"/>
          <w:b w:val="false"/>
          <w:bCs w:val="false"/>
          <w:i/>
          <w:iCs/>
          <w:sz w:val="22"/>
          <w:szCs w:val="22"/>
        </w:rPr>
        <w:t xml:space="preserve">t</w:t>
      </w:r>
      <w:r>
        <w:rPr>
          <w:rFonts w:ascii="Calibri" w:cs="Calibri" w:eastAsia="Calibri" w:hAnsi="Calibri"/>
          <w:b w:val="false"/>
          <w:bCs w:val="false"/>
          <w:i w:val="false"/>
          <w:iCs w:val="false"/>
          <w:sz w:val="22"/>
          <w:szCs w:val="22"/>
        </w:rPr>
        <w:t xml:space="preserve">, write the forward return from </w:t>
      </w:r>
      <w:r>
        <w:rPr>
          <w:rFonts w:ascii="Calibri" w:cs="Calibri" w:eastAsia="Calibri" w:hAnsi="Calibri"/>
          <w:b w:val="false"/>
          <w:bCs w:val="false"/>
          <w:i/>
          <w:iCs/>
          <w:sz w:val="22"/>
          <w:szCs w:val="22"/>
        </w:rPr>
        <w:t xml:space="preserve">t</w:t>
      </w:r>
      <w:r>
        <w:rPr>
          <w:rFonts w:ascii="Calibri" w:cs="Calibri" w:eastAsia="Calibri" w:hAnsi="Calibri"/>
          <w:b w:val="false"/>
          <w:bCs w:val="false"/>
          <w:i w:val="false"/>
          <w:iCs w:val="false"/>
          <w:sz w:val="22"/>
          <w:szCs w:val="22"/>
        </w:rPr>
        <w:t xml:space="preserve"> to </w:t>
      </w:r>
      <w:r>
        <w:rPr>
          <w:rFonts w:ascii="Calibri" w:cs="Calibri" w:eastAsia="Calibri" w:hAnsi="Calibri"/>
          <w:b w:val="false"/>
          <w:bCs w:val="false"/>
          <w:i/>
          <w:iCs/>
          <w:sz w:val="22"/>
          <w:szCs w:val="22"/>
        </w:rPr>
        <w:t xml:space="preserve">t</w:t>
      </w:r>
      <w:r>
        <w:rPr>
          <w:rFonts w:ascii="Calibri" w:cs="Calibri" w:eastAsia="Calibri" w:hAnsi="Calibri"/>
          <w:b w:val="false"/>
          <w:bCs w:val="false"/>
          <w:i w:val="false"/>
          <w:iCs w:val="false"/>
          <w:sz w:val="22"/>
          <w:szCs w:val="22"/>
        </w:rPr>
        <w:t xml:space="preserve">+1 as</w:t>
      </w:r>
    </w:p>
    <w:p>
      <w:pPr>
        <w:spacing w:after="160" w:before="160" w:line="320"/>
        <w:jc w:val="center"/>
      </w:pPr>
      <w:r>
        <w:rPr>
          <w:rFonts w:ascii="Calibri" w:cs="Calibri" w:eastAsia="Calibri" w:hAnsi="Calibri"/>
          <w:b w:val="false"/>
          <w:bCs w:val="false"/>
          <w:i/>
          <w:iCs/>
          <w:sz w:val="22"/>
          <w:szCs w:val="22"/>
        </w:rPr>
        <w:t xml:space="preserve">r</w:t>
      </w:r>
      <w:r>
        <w:rPr>
          <w:rFonts w:ascii="Calibri" w:cs="Calibri" w:eastAsia="Calibri" w:hAnsi="Calibri"/>
          <w:b w:val="false"/>
          <w:bCs w:val="false"/>
          <w:i w:val="false"/>
          <w:iCs w:val="false"/>
          <w:sz w:val="22"/>
          <w:szCs w:val="22"/>
          <w:vertAlign w:val="subscript"/>
        </w:rPr>
        <w:t xml:space="preserve">i,t+1</w:t>
      </w:r>
      <w:r>
        <w:rPr>
          <w:rFonts w:ascii="Calibri" w:cs="Calibri" w:eastAsia="Calibri" w:hAnsi="Calibri"/>
          <w:b w:val="false"/>
          <w:bCs w:val="false"/>
          <w:i w:val="false"/>
          <w:iCs w:val="false"/>
          <w:sz w:val="22"/>
          <w:szCs w:val="22"/>
        </w:rPr>
        <w:t xml:space="preserve"> = α</w:t>
      </w:r>
      <w:r>
        <w:rPr>
          <w:rFonts w:ascii="Calibri" w:cs="Calibri" w:eastAsia="Calibri" w:hAnsi="Calibri"/>
          <w:b w:val="false"/>
          <w:bCs w:val="false"/>
          <w:i w:val="false"/>
          <w:iCs w:val="false"/>
          <w:sz w:val="22"/>
          <w:szCs w:val="22"/>
          <w:vertAlign w:val="subscript"/>
        </w:rPr>
        <w:t xml:space="preserve">i,t</w:t>
      </w:r>
      <w:r>
        <w:rPr>
          <w:rFonts w:ascii="Calibri" w:cs="Calibri" w:eastAsia="Calibri" w:hAnsi="Calibri"/>
          <w:b w:val="false"/>
          <w:bCs w:val="false"/>
          <w:i w:val="false"/>
          <w:iCs w:val="false"/>
          <w:sz w:val="22"/>
          <w:szCs w:val="22"/>
        </w:rPr>
        <w:t xml:space="preserve"> + Σ</w:t>
      </w:r>
      <w:r>
        <w:rPr>
          <w:rFonts w:ascii="Calibri" w:cs="Calibri" w:eastAsia="Calibri" w:hAnsi="Calibri"/>
          <w:b w:val="false"/>
          <w:bCs w:val="false"/>
          <w:i w:val="false"/>
          <w:iCs w:val="false"/>
          <w:sz w:val="22"/>
          <w:szCs w:val="22"/>
          <w:vertAlign w:val="subscript"/>
        </w:rPr>
        <w:t xml:space="preserve">k</w:t>
      </w:r>
      <w:r>
        <w:rPr>
          <w:rFonts w:ascii="Calibri" w:cs="Calibri" w:eastAsia="Calibri" w:hAnsi="Calibri"/>
          <w:b w:val="false"/>
          <w:bCs w:val="false"/>
          <w:i w:val="false"/>
          <w:iCs w:val="false"/>
          <w:sz w:val="22"/>
          <w:szCs w:val="22"/>
        </w:rPr>
        <w:t xml:space="preserve"> β</w:t>
      </w:r>
      <w:r>
        <w:rPr>
          <w:rFonts w:ascii="Calibri" w:cs="Calibri" w:eastAsia="Calibri" w:hAnsi="Calibri"/>
          <w:b w:val="false"/>
          <w:bCs w:val="false"/>
          <w:i w:val="false"/>
          <w:iCs w:val="false"/>
          <w:sz w:val="22"/>
          <w:szCs w:val="22"/>
          <w:vertAlign w:val="subscript"/>
        </w:rPr>
        <w:t xml:space="preserve">i,k,t</w:t>
      </w:r>
      <w:r>
        <w:rPr>
          <w:rFonts w:ascii="Calibri" w:cs="Calibri" w:eastAsia="Calibri" w:hAnsi="Calibri"/>
          <w:b w:val="false"/>
          <w:bCs w:val="false"/>
          <w:i w:val="false"/>
          <w:iCs w:val="false"/>
          <w:sz w:val="22"/>
          <w:szCs w:val="22"/>
        </w:rPr>
        <w:t xml:space="preserve"> · f</w:t>
      </w:r>
      <w:r>
        <w:rPr>
          <w:rFonts w:ascii="Calibri" w:cs="Calibri" w:eastAsia="Calibri" w:hAnsi="Calibri"/>
          <w:b w:val="false"/>
          <w:bCs w:val="false"/>
          <w:i w:val="false"/>
          <w:iCs w:val="false"/>
          <w:sz w:val="22"/>
          <w:szCs w:val="22"/>
          <w:vertAlign w:val="subscript"/>
        </w:rPr>
        <w:t xml:space="preserve">k,t+1</w:t>
      </w:r>
      <w:r>
        <w:rPr>
          <w:rFonts w:ascii="Calibri" w:cs="Calibri" w:eastAsia="Calibri" w:hAnsi="Calibri"/>
          <w:b w:val="false"/>
          <w:bCs w:val="false"/>
          <w:i w:val="false"/>
          <w:iCs w:val="false"/>
          <w:sz w:val="22"/>
          <w:szCs w:val="22"/>
        </w:rPr>
        <w:t xml:space="preserve"> + ε</w:t>
      </w:r>
      <w:r>
        <w:rPr>
          <w:rFonts w:ascii="Calibri" w:cs="Calibri" w:eastAsia="Calibri" w:hAnsi="Calibri"/>
          <w:b w:val="false"/>
          <w:bCs w:val="false"/>
          <w:i w:val="false"/>
          <w:iCs w:val="false"/>
          <w:sz w:val="22"/>
          <w:szCs w:val="22"/>
          <w:vertAlign w:val="subscript"/>
        </w:rPr>
        <w:t xml:space="preserve">i,t+1</w:t>
      </w:r>
    </w:p>
    <w:p>
      <w:pPr>
        <w:spacing w:after="120" w:line="300"/>
      </w:pPr>
      <w:r>
        <w:rPr>
          <w:rFonts w:ascii="Calibri" w:cs="Calibri" w:eastAsia="Calibri" w:hAnsi="Calibri"/>
          <w:b w:val="false"/>
          <w:bCs w:val="false"/>
          <w:i w:val="false"/>
          <w:iCs w:val="false"/>
          <w:sz w:val="22"/>
          <w:szCs w:val="22"/>
        </w:rPr>
        <w:t xml:space="preserve">where β</w:t>
      </w:r>
      <w:r>
        <w:rPr>
          <w:rFonts w:ascii="Calibri" w:cs="Calibri" w:eastAsia="Calibri" w:hAnsi="Calibri"/>
          <w:b w:val="false"/>
          <w:bCs w:val="false"/>
          <w:i/>
          <w:iCs/>
          <w:sz w:val="22"/>
          <w:szCs w:val="22"/>
          <w:vertAlign w:val="subscript"/>
        </w:rPr>
        <w:t xml:space="preserve">i,k,t</w:t>
      </w:r>
      <w:r>
        <w:rPr>
          <w:rFonts w:ascii="Calibri" w:cs="Calibri" w:eastAsia="Calibri" w:hAnsi="Calibri"/>
          <w:b w:val="false"/>
          <w:bCs w:val="false"/>
          <w:i w:val="false"/>
          <w:iCs w:val="false"/>
          <w:sz w:val="22"/>
          <w:szCs w:val="22"/>
        </w:rPr>
        <w:t xml:space="preserve"> is stock </w:t>
      </w:r>
      <w:r>
        <w:rPr>
          <w:rFonts w:ascii="Calibri" w:cs="Calibri" w:eastAsia="Calibri" w:hAnsi="Calibri"/>
          <w:b w:val="false"/>
          <w:bCs w:val="false"/>
          <w:i/>
          <w:iCs/>
          <w:sz w:val="22"/>
          <w:szCs w:val="22"/>
        </w:rPr>
        <w:t xml:space="preserve">i</w:t>
      </w:r>
      <w:r>
        <w:rPr>
          <w:rFonts w:ascii="Calibri" w:cs="Calibri" w:eastAsia="Calibri" w:hAnsi="Calibri"/>
          <w:b w:val="false"/>
          <w:bCs w:val="false"/>
          <w:i w:val="false"/>
          <w:iCs w:val="false"/>
          <w:sz w:val="22"/>
          <w:szCs w:val="22"/>
        </w:rPr>
        <w:t xml:space="preserve">'s exposure to known risk factor </w:t>
      </w:r>
      <w:r>
        <w:rPr>
          <w:rFonts w:ascii="Calibri" w:cs="Calibri" w:eastAsia="Calibri" w:hAnsi="Calibri"/>
          <w:b w:val="false"/>
          <w:bCs w:val="false"/>
          <w:i/>
          <w:iCs/>
          <w:sz w:val="22"/>
          <w:szCs w:val="22"/>
        </w:rPr>
        <w:t xml:space="preserve">k</w:t>
      </w:r>
      <w:r>
        <w:rPr>
          <w:rFonts w:ascii="Calibri" w:cs="Calibri" w:eastAsia="Calibri" w:hAnsi="Calibri"/>
          <w:b w:val="false"/>
          <w:bCs w:val="false"/>
          <w:i w:val="false"/>
          <w:iCs w:val="false"/>
          <w:sz w:val="22"/>
          <w:szCs w:val="22"/>
        </w:rPr>
        <w:t xml:space="preserve"> measured using only information available at </w:t>
      </w:r>
      <w:r>
        <w:rPr>
          <w:rFonts w:ascii="Calibri" w:cs="Calibri" w:eastAsia="Calibri" w:hAnsi="Calibri"/>
          <w:b w:val="false"/>
          <w:bCs w:val="false"/>
          <w:i/>
          <w:iCs/>
          <w:sz w:val="22"/>
          <w:szCs w:val="22"/>
        </w:rPr>
        <w:t xml:space="preserve">t</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f</w:t>
      </w:r>
      <w:r>
        <w:rPr>
          <w:rFonts w:ascii="Calibri" w:cs="Calibri" w:eastAsia="Calibri" w:hAnsi="Calibri"/>
          <w:b w:val="false"/>
          <w:bCs w:val="false"/>
          <w:i/>
          <w:iCs/>
          <w:sz w:val="22"/>
          <w:szCs w:val="22"/>
          <w:vertAlign w:val="subscript"/>
        </w:rPr>
        <w:t xml:space="preserve">k,t+1</w:t>
      </w:r>
      <w:r>
        <w:rPr>
          <w:rFonts w:ascii="Calibri" w:cs="Calibri" w:eastAsia="Calibri" w:hAnsi="Calibri"/>
          <w:b w:val="false"/>
          <w:bCs w:val="false"/>
          <w:i w:val="false"/>
          <w:iCs w:val="false"/>
          <w:sz w:val="22"/>
          <w:szCs w:val="22"/>
        </w:rPr>
        <w:t xml:space="preserve"> is the realized return of factor </w:t>
      </w:r>
      <w:r>
        <w:rPr>
          <w:rFonts w:ascii="Calibri" w:cs="Calibri" w:eastAsia="Calibri" w:hAnsi="Calibri"/>
          <w:b w:val="false"/>
          <w:bCs w:val="false"/>
          <w:i/>
          <w:iCs/>
          <w:sz w:val="22"/>
          <w:szCs w:val="22"/>
        </w:rPr>
        <w:t xml:space="preserve">k</w:t>
      </w:r>
      <w:r>
        <w:rPr>
          <w:rFonts w:ascii="Calibri" w:cs="Calibri" w:eastAsia="Calibri" w:hAnsi="Calibri"/>
          <w:b w:val="false"/>
          <w:bCs w:val="false"/>
          <w:i w:val="false"/>
          <w:iCs w:val="false"/>
          <w:sz w:val="22"/>
          <w:szCs w:val="22"/>
        </w:rPr>
        <w:t xml:space="preserve"> over [ </w:t>
      </w:r>
      <w:r>
        <w:rPr>
          <w:rFonts w:ascii="Calibri" w:cs="Calibri" w:eastAsia="Calibri" w:hAnsi="Calibri"/>
          <w:b w:val="false"/>
          <w:bCs w:val="false"/>
          <w:i/>
          <w:iCs/>
          <w:sz w:val="22"/>
          <w:szCs w:val="22"/>
        </w:rPr>
        <w:t xml:space="preserve">t</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t</w:t>
      </w:r>
      <w:r>
        <w:rPr>
          <w:rFonts w:ascii="Calibri" w:cs="Calibri" w:eastAsia="Calibri" w:hAnsi="Calibri"/>
          <w:b w:val="false"/>
          <w:bCs w:val="false"/>
          <w:i w:val="false"/>
          <w:iCs w:val="false"/>
          <w:sz w:val="22"/>
          <w:szCs w:val="22"/>
        </w:rPr>
        <w:t xml:space="preserve">+1 ]; and ε</w:t>
      </w:r>
      <w:r>
        <w:rPr>
          <w:rFonts w:ascii="Calibri" w:cs="Calibri" w:eastAsia="Calibri" w:hAnsi="Calibri"/>
          <w:b w:val="false"/>
          <w:bCs w:val="false"/>
          <w:i/>
          <w:iCs/>
          <w:sz w:val="22"/>
          <w:szCs w:val="22"/>
          <w:vertAlign w:val="subscript"/>
        </w:rPr>
        <w:t xml:space="preserve">i,t+1</w:t>
      </w:r>
      <w:r>
        <w:rPr>
          <w:rFonts w:ascii="Calibri" w:cs="Calibri" w:eastAsia="Calibri" w:hAnsi="Calibri"/>
          <w:b w:val="false"/>
          <w:bCs w:val="false"/>
          <w:i w:val="false"/>
          <w:iCs w:val="false"/>
          <w:sz w:val="22"/>
          <w:szCs w:val="22"/>
        </w:rPr>
        <w:t xml:space="preserve"> is the stock-specific residual. α</w:t>
      </w:r>
      <w:r>
        <w:rPr>
          <w:rFonts w:ascii="Calibri" w:cs="Calibri" w:eastAsia="Calibri" w:hAnsi="Calibri"/>
          <w:b w:val="false"/>
          <w:bCs w:val="false"/>
          <w:i/>
          <w:iCs/>
          <w:sz w:val="22"/>
          <w:szCs w:val="22"/>
          <w:vertAlign w:val="subscript"/>
        </w:rPr>
        <w:t xml:space="preserve">i,t</w:t>
      </w:r>
      <w:r>
        <w:rPr>
          <w:rFonts w:ascii="Calibri" w:cs="Calibri" w:eastAsia="Calibri" w:hAnsi="Calibri"/>
          <w:b w:val="false"/>
          <w:bCs w:val="false"/>
          <w:i w:val="false"/>
          <w:iCs w:val="false"/>
          <w:sz w:val="22"/>
          <w:szCs w:val="22"/>
        </w:rPr>
        <w:t xml:space="preserve"> is the persistent, non-risk-premium component we call </w:t>
      </w:r>
      <w:r>
        <w:rPr>
          <w:rFonts w:ascii="Calibri" w:cs="Calibri" w:eastAsia="Calibri" w:hAnsi="Calibri"/>
          <w:b w:val="false"/>
          <w:bCs w:val="false"/>
          <w:i/>
          <w:iCs/>
          <w:sz w:val="22"/>
          <w:szCs w:val="22"/>
        </w:rPr>
        <w:t xml:space="preserve">residual alpha</w:t>
      </w:r>
      <w:r>
        <w:rPr>
          <w:rFonts w:ascii="Calibri" w:cs="Calibri" w:eastAsia="Calibri" w:hAnsi="Calibri"/>
          <w:b w:val="false"/>
          <w:bCs w:val="false"/>
          <w:i w:val="false"/>
          <w:iCs w:val="false"/>
          <w:sz w:val="22"/>
          <w:szCs w:val="22"/>
        </w:rPr>
        <w:t xml:space="preserve">.</w:t>
      </w:r>
    </w:p>
    <w:p>
      <w:pPr>
        <w:pStyle w:val="Heading3"/>
        <w:spacing w:after="100" w:before="220"/>
      </w:pPr>
      <w:r>
        <w:rPr>
          <w:rFonts w:ascii="Calibri" w:cs="Calibri" w:eastAsia="Calibri" w:hAnsi="Calibri"/>
          <w:b/>
          <w:bCs/>
          <w:color w:val="333333"/>
          <w:sz w:val="23"/>
          <w:szCs w:val="23"/>
        </w:rPr>
        <w:t xml:space="preserve">Three kinds of return and which we chase</w:t>
      </w:r>
    </w:p>
    <w:p>
      <w:pPr>
        <w:pStyle w:val="ListParagraph"/>
        <w:numPr>
          <w:ilvl w:val="0"/>
          <w:numId w:val="2"/>
        </w:numPr>
        <w:spacing w:after="80" w:line="300"/>
      </w:pPr>
      <w:r>
        <w:rPr>
          <w:rFonts w:ascii="Calibri" w:cs="Calibri" w:eastAsia="Calibri" w:hAnsi="Calibri"/>
          <w:b w:val="false"/>
          <w:bCs w:val="false"/>
          <w:i w:val="false"/>
          <w:iCs w:val="false"/>
          <w:sz w:val="22"/>
          <w:szCs w:val="22"/>
        </w:rPr>
        <w:t xml:space="preserve">Factor premia — the Σ</w:t>
      </w:r>
      <w:r>
        <w:rPr>
          <w:rFonts w:ascii="Calibri" w:cs="Calibri" w:eastAsia="Calibri" w:hAnsi="Calibri"/>
          <w:b w:val="false"/>
          <w:bCs w:val="false"/>
          <w:i/>
          <w:iCs/>
          <w:sz w:val="22"/>
          <w:szCs w:val="22"/>
          <w:vertAlign w:val="subscript"/>
        </w:rPr>
        <w:t xml:space="preserve">k</w:t>
      </w:r>
      <w:r>
        <w:rPr>
          <w:rFonts w:ascii="Calibri" w:cs="Calibri" w:eastAsia="Calibri" w:hAnsi="Calibri"/>
          <w:b w:val="false"/>
          <w:bCs w:val="false"/>
          <w:i w:val="false"/>
          <w:iCs w:val="false"/>
          <w:sz w:val="22"/>
          <w:szCs w:val="22"/>
        </w:rPr>
        <w:t xml:space="preserve">β·f term. Real, but crowded, well known, and not the differentiator we are building toward.</w:t>
      </w:r>
    </w:p>
    <w:p>
      <w:pPr>
        <w:pStyle w:val="ListParagraph"/>
        <w:numPr>
          <w:ilvl w:val="0"/>
          <w:numId w:val="2"/>
        </w:numPr>
        <w:spacing w:after="80" w:line="300"/>
      </w:pPr>
      <w:r>
        <w:rPr>
          <w:rFonts w:ascii="Calibri" w:cs="Calibri" w:eastAsia="Calibri" w:hAnsi="Calibri"/>
          <w:b w:val="false"/>
          <w:bCs w:val="false"/>
          <w:i w:val="false"/>
          <w:iCs w:val="false"/>
          <w:sz w:val="22"/>
          <w:szCs w:val="22"/>
        </w:rPr>
        <w:t xml:space="preserve">Residual alpha — the α term. Signals that still predict </w:t>
      </w:r>
      <w:r>
        <w:rPr>
          <w:rFonts w:ascii="Calibri" w:cs="Calibri" w:eastAsia="Calibri" w:hAnsi="Calibri"/>
          <w:b w:val="false"/>
          <w:bCs w:val="false"/>
          <w:i/>
          <w:iCs/>
          <w:sz w:val="22"/>
          <w:szCs w:val="22"/>
        </w:rPr>
        <w:t xml:space="preserve">ε</w:t>
      </w:r>
      <w:r>
        <w:rPr>
          <w:rFonts w:ascii="Calibri" w:cs="Calibri" w:eastAsia="Calibri" w:hAnsi="Calibri"/>
          <w:b w:val="false"/>
          <w:bCs w:val="false"/>
          <w:i/>
          <w:iCs/>
          <w:sz w:val="22"/>
          <w:szCs w:val="22"/>
          <w:vertAlign w:val="subscript"/>
        </w:rPr>
        <w:t xml:space="preserve">i,t+1</w:t>
      </w:r>
      <w:r>
        <w:rPr>
          <w:rFonts w:ascii="Calibri" w:cs="Calibri" w:eastAsia="Calibri" w:hAnsi="Calibri"/>
          <w:b w:val="false"/>
          <w:bCs w:val="false"/>
          <w:i w:val="false"/>
          <w:iCs w:val="false"/>
          <w:sz w:val="22"/>
          <w:szCs w:val="22"/>
        </w:rPr>
        <w:t xml:space="preserve"> after β exposures are accounted for. This is the primary research target of V1.</w:t>
      </w:r>
    </w:p>
    <w:p>
      <w:pPr>
        <w:pStyle w:val="ListParagraph"/>
        <w:numPr>
          <w:ilvl w:val="0"/>
          <w:numId w:val="2"/>
        </w:numPr>
        <w:spacing w:after="80" w:line="300"/>
      </w:pPr>
      <w:r>
        <w:rPr>
          <w:rFonts w:ascii="Calibri" w:cs="Calibri" w:eastAsia="Calibri" w:hAnsi="Calibri"/>
          <w:b w:val="false"/>
          <w:bCs w:val="false"/>
          <w:i w:val="false"/>
          <w:iCs w:val="false"/>
          <w:sz w:val="22"/>
          <w:szCs w:val="22"/>
        </w:rPr>
        <w:t xml:space="preserve">Structural alpha — improvements to how known factors are measured and packaged (tail depth, composite weighting, refresh timing, contamination filters) that raise their residual-alpha component. This is a V2 search module; V1 fixes simple defaults but records the hooks that V2 will vary.</w:t>
      </w:r>
    </w:p>
    <w:p>
      <w:pPr>
        <w:spacing w:after="120" w:line="300"/>
      </w:pPr>
      <w:r>
        <w:rPr>
          <w:rFonts w:ascii="Calibri" w:cs="Calibri" w:eastAsia="Calibri" w:hAnsi="Calibri"/>
          <w:sz w:val="22"/>
          <w:szCs w:val="22"/>
        </w:rPr>
        <w:t xml:space="preserve">The LLM is explicitly out of V1. V1 fixes the feature grammar by hand so that every result is reproducible from code alone. V2 reintroduces an LLM as a constrained proposer that samples from the same grammar and submits candidates to the same validation pipeline used for V1 factors.</w:t>
      </w:r>
    </w:p>
    <w:p>
      <w:pPr>
        <w:pStyle w:val="Heading1"/>
        <w:spacing w:after="180" w:before="360"/>
      </w:pPr>
      <w:r>
        <w:rPr>
          <w:rFonts w:ascii="Calibri" w:cs="Calibri" w:eastAsia="Calibri" w:hAnsi="Calibri"/>
          <w:b/>
          <w:bCs/>
          <w:color w:val="1F3864"/>
          <w:sz w:val="32"/>
          <w:szCs w:val="32"/>
        </w:rPr>
        <w:t xml:space="preserve">3.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sz w:val="22"/>
                <w:szCs w:val="22"/>
              </w:rPr>
              <w:t xml:space="preserve">Symbol</w:t>
            </w:r>
          </w:p>
        </w:tc>
        <w:tc>
          <w:tcPr>
            <w:tcW w:type="dxa" w:w="6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sz w:val="22"/>
                <w:szCs w:val="22"/>
              </w:rPr>
              <w:t xml:space="preserve">Meaning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N_t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number of stocks in the eligible universe at date t (target ≈ 3,000)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number of rebalance dates in the sample (daily, ≈ 6,300 for 2000–2025)</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r_{i,t+1}</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arithmetic forward return of stock i over (t, t+1]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X_t ∈ R^{N_t × K}</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matrix of factor exposures at t; K = 9 styles + 24 industries + 1 country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β_{i,k,t}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(i,k) entry of X_t; standardized cross-sectionally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f_{t+1} ∈ R^K</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cross-sectional WLS factor returns for period t+1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ε_{i,t+1}</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stock-specific residual return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s_{i,t}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a candidate alpha signal for stock i at 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w_t ∈ R^{N_t}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portfolio weights at t (dollar-neutral, so 1'w_t = 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Σ_t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N_t × N_t covariance of one-period returns at 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Ω_t, D_t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factor and specific-risk components of Σ_t</w:t>
            </w:r>
          </w:p>
        </w:tc>
      </w:tr>
    </w:tbl>
    <w:p>
      <w:pPr>
        <w:pStyle w:val="Heading1"/>
        <w:spacing w:after="180" w:before="360"/>
      </w:pPr>
      <w:r>
        <w:rPr>
          <w:rFonts w:ascii="Calibri" w:cs="Calibri" w:eastAsia="Calibri" w:hAnsi="Calibri"/>
          <w:b/>
          <w:bCs/>
          <w:color w:val="1F3864"/>
          <w:sz w:val="32"/>
          <w:szCs w:val="32"/>
        </w:rPr>
        <w:t xml:space="preserve">4. Mathematical Framework</w:t>
      </w:r>
    </w:p>
    <w:p>
      <w:pPr>
        <w:pStyle w:val="Heading2"/>
        <w:spacing w:after="140" w:before="280"/>
      </w:pPr>
      <w:r>
        <w:rPr>
          <w:rFonts w:ascii="Calibri" w:cs="Calibri" w:eastAsia="Calibri" w:hAnsi="Calibri"/>
          <w:b/>
          <w:bCs/>
          <w:color w:val="2E75B6"/>
          <w:sz w:val="26"/>
          <w:szCs w:val="26"/>
        </w:rPr>
        <w:t xml:space="preserve">4.1 Cross-sectional factor estimation (Barra-lite)</w:t>
      </w:r>
    </w:p>
    <w:p>
      <w:pPr>
        <w:spacing w:after="120" w:line="300"/>
      </w:pPr>
      <w:r>
        <w:rPr>
          <w:rFonts w:ascii="Calibri" w:cs="Calibri" w:eastAsia="Calibri" w:hAnsi="Calibri"/>
          <w:sz w:val="22"/>
          <w:szCs w:val="22"/>
        </w:rPr>
        <w:t xml:space="preserve">At each date t we run a weighted cross-sectional regression of realized forward returns on pre-known exposures. This is the standard Barra-style decomposition used in USE3 / USE4 and in BARE (Menchero et al.).</w:t>
      </w:r>
    </w:p>
    <w:p>
      <w:pPr>
        <w:spacing w:after="160" w:before="160" w:line="320"/>
        <w:jc w:val="center"/>
      </w:pPr>
      <w:r>
        <w:rPr>
          <w:rFonts w:ascii="Calibri" w:cs="Calibri" w:eastAsia="Calibri" w:hAnsi="Calibri"/>
          <w:b w:val="false"/>
          <w:bCs w:val="false"/>
          <w:i w:val="false"/>
          <w:iCs w:val="false"/>
          <w:sz w:val="22"/>
          <w:szCs w:val="22"/>
        </w:rPr>
        <w:t xml:space="preserve">f̂</w:t>
      </w:r>
      <w:r>
        <w:rPr>
          <w:rFonts w:ascii="Calibri" w:cs="Calibri" w:eastAsia="Calibri" w:hAnsi="Calibri"/>
          <w:b w:val="false"/>
          <w:bCs w:val="false"/>
          <w:i/>
          <w:iCs/>
          <w:sz w:val="22"/>
          <w:szCs w:val="22"/>
          <w:vertAlign w:val="subscript"/>
        </w:rPr>
        <w:t xml:space="preserve">t+1</w:t>
      </w:r>
      <w:r>
        <w:rPr>
          <w:rFonts w:ascii="Calibri" w:cs="Calibri" w:eastAsia="Calibri" w:hAnsi="Calibri"/>
          <w:b w:val="false"/>
          <w:bCs w:val="false"/>
          <w:i w:val="false"/>
          <w:iCs w:val="false"/>
          <w:sz w:val="22"/>
          <w:szCs w:val="22"/>
        </w:rPr>
        <w:t xml:space="preserve"> = ( X</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rPr>
        <w:t xml:space="preserve">ᵀ W</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rPr>
        <w:t xml:space="preserve"> X</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vertAlign w:val="superscript"/>
        </w:rPr>
        <w:t xml:space="preserve">−1</w:t>
      </w:r>
      <w:r>
        <w:rPr>
          <w:rFonts w:ascii="Calibri" w:cs="Calibri" w:eastAsia="Calibri" w:hAnsi="Calibri"/>
          <w:b w:val="false"/>
          <w:bCs w:val="false"/>
          <w:i w:val="false"/>
          <w:iCs w:val="false"/>
          <w:sz w:val="22"/>
          <w:szCs w:val="22"/>
        </w:rPr>
        <w:t xml:space="preserve"> X</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rPr>
        <w:t xml:space="preserve">ᵀ W</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rPr>
        <w:t xml:space="preserve"> r</w:t>
      </w:r>
      <w:r>
        <w:rPr>
          <w:rFonts w:ascii="Calibri" w:cs="Calibri" w:eastAsia="Calibri" w:hAnsi="Calibri"/>
          <w:b w:val="false"/>
          <w:bCs w:val="false"/>
          <w:i/>
          <w:iCs/>
          <w:sz w:val="22"/>
          <w:szCs w:val="22"/>
          <w:vertAlign w:val="subscript"/>
        </w:rPr>
        <w:t xml:space="preserve">t+1</w:t>
      </w:r>
    </w:p>
    <w:p>
      <w:pPr>
        <w:spacing w:after="120" w:line="300"/>
      </w:pPr>
      <w:r>
        <w:rPr>
          <w:rFonts w:ascii="Calibri" w:cs="Calibri" w:eastAsia="Calibri" w:hAnsi="Calibri"/>
          <w:b w:val="false"/>
          <w:bCs w:val="false"/>
          <w:i w:val="false"/>
          <w:iCs w:val="false"/>
          <w:sz w:val="22"/>
          <w:szCs w:val="22"/>
        </w:rPr>
        <w:t xml:space="preserve">with diagonal weight matrix W</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rPr>
        <w:t xml:space="preserve"> = diag( √mcap</w:t>
      </w:r>
      <w:r>
        <w:rPr>
          <w:rFonts w:ascii="Calibri" w:cs="Calibri" w:eastAsia="Calibri" w:hAnsi="Calibri"/>
          <w:b w:val="false"/>
          <w:bCs w:val="false"/>
          <w:i/>
          <w:iCs/>
          <w:sz w:val="22"/>
          <w:szCs w:val="22"/>
          <w:vertAlign w:val="subscript"/>
        </w:rPr>
        <w:t xml:space="preserve">i,t</w:t>
      </w:r>
      <w:r>
        <w:rPr>
          <w:rFonts w:ascii="Calibri" w:cs="Calibri" w:eastAsia="Calibri" w:hAnsi="Calibri"/>
          <w:b w:val="false"/>
          <w:bCs w:val="false"/>
          <w:i w:val="false"/>
          <w:iCs w:val="false"/>
          <w:sz w:val="22"/>
          <w:szCs w:val="22"/>
        </w:rPr>
        <w:t xml:space="preserve"> ), which matches Barra's square-root-market-cap WLS scheme. Exposures are winsorized at ±3 cross-sectional standard deviations and then z-scored, industries are kept as 0/1 indicators, and a country factor column of ones is included. Specific residuals follow as</w:t>
      </w:r>
    </w:p>
    <w:p>
      <w:pPr>
        <w:spacing w:after="160" w:before="160" w:line="320"/>
        <w:jc w:val="center"/>
      </w:pPr>
      <w:r>
        <w:rPr>
          <w:rFonts w:ascii="Calibri" w:cs="Calibri" w:eastAsia="Calibri" w:hAnsi="Calibri"/>
          <w:b w:val="false"/>
          <w:bCs w:val="false"/>
          <w:i w:val="false"/>
          <w:iCs w:val="false"/>
          <w:sz w:val="22"/>
          <w:szCs w:val="22"/>
        </w:rPr>
        <w:t xml:space="preserve">ε̂</w:t>
      </w:r>
      <w:r>
        <w:rPr>
          <w:rFonts w:ascii="Calibri" w:cs="Calibri" w:eastAsia="Calibri" w:hAnsi="Calibri"/>
          <w:b w:val="false"/>
          <w:bCs w:val="false"/>
          <w:i/>
          <w:iCs/>
          <w:sz w:val="22"/>
          <w:szCs w:val="22"/>
          <w:vertAlign w:val="subscript"/>
        </w:rPr>
        <w:t xml:space="preserve">i,t+1</w:t>
      </w:r>
      <w:r>
        <w:rPr>
          <w:rFonts w:ascii="Calibri" w:cs="Calibri" w:eastAsia="Calibri" w:hAnsi="Calibri"/>
          <w:b w:val="false"/>
          <w:bCs w:val="false"/>
          <w:i w:val="false"/>
          <w:iCs w:val="false"/>
          <w:sz w:val="22"/>
          <w:szCs w:val="22"/>
        </w:rPr>
        <w:t xml:space="preserve"> = r</w:t>
      </w:r>
      <w:r>
        <w:rPr>
          <w:rFonts w:ascii="Calibri" w:cs="Calibri" w:eastAsia="Calibri" w:hAnsi="Calibri"/>
          <w:b w:val="false"/>
          <w:bCs w:val="false"/>
          <w:i/>
          <w:iCs/>
          <w:sz w:val="22"/>
          <w:szCs w:val="22"/>
          <w:vertAlign w:val="subscript"/>
        </w:rPr>
        <w:t xml:space="preserve">i,t+1</w:t>
      </w:r>
      <w:r>
        <w:rPr>
          <w:rFonts w:ascii="Calibri" w:cs="Calibri" w:eastAsia="Calibri" w:hAnsi="Calibri"/>
          <w:b w:val="false"/>
          <w:bCs w:val="false"/>
          <w:i w:val="false"/>
          <w:iCs w:val="false"/>
          <w:sz w:val="22"/>
          <w:szCs w:val="22"/>
        </w:rPr>
        <w:t xml:space="preserve"> − β</w:t>
      </w:r>
      <w:r>
        <w:rPr>
          <w:rFonts w:ascii="Calibri" w:cs="Calibri" w:eastAsia="Calibri" w:hAnsi="Calibri"/>
          <w:b w:val="false"/>
          <w:bCs w:val="false"/>
          <w:i/>
          <w:iCs/>
          <w:sz w:val="22"/>
          <w:szCs w:val="22"/>
          <w:vertAlign w:val="subscript"/>
        </w:rPr>
        <w:t xml:space="preserve">i,t</w:t>
      </w:r>
      <w:r>
        <w:rPr>
          <w:rFonts w:ascii="Calibri" w:cs="Calibri" w:eastAsia="Calibri" w:hAnsi="Calibri"/>
          <w:b w:val="false"/>
          <w:bCs w:val="false"/>
          <w:i w:val="false"/>
          <w:iCs w:val="false"/>
          <w:sz w:val="22"/>
          <w:szCs w:val="22"/>
        </w:rPr>
        <w:t xml:space="preserve">ᵀ f̂</w:t>
      </w:r>
      <w:r>
        <w:rPr>
          <w:rFonts w:ascii="Calibri" w:cs="Calibri" w:eastAsia="Calibri" w:hAnsi="Calibri"/>
          <w:b w:val="false"/>
          <w:bCs w:val="false"/>
          <w:i/>
          <w:iCs/>
          <w:sz w:val="22"/>
          <w:szCs w:val="22"/>
          <w:vertAlign w:val="subscript"/>
        </w:rPr>
        <w:t xml:space="preserve">t+1</w:t>
      </w:r>
    </w:p>
    <w:p>
      <w:pPr>
        <w:pStyle w:val="Heading2"/>
        <w:spacing w:after="140" w:before="280"/>
      </w:pPr>
      <w:r>
        <w:rPr>
          <w:rFonts w:ascii="Calibri" w:cs="Calibri" w:eastAsia="Calibri" w:hAnsi="Calibri"/>
          <w:b/>
          <w:bCs/>
          <w:color w:val="2E75B6"/>
          <w:sz w:val="26"/>
          <w:szCs w:val="26"/>
        </w:rPr>
        <w:t xml:space="preserve">4.2 Factor covariance and specific risk</w:t>
      </w:r>
    </w:p>
    <w:p>
      <w:pPr>
        <w:spacing w:after="120" w:line="300"/>
      </w:pPr>
      <w:r>
        <w:rPr>
          <w:rFonts w:ascii="Calibri" w:cs="Calibri" w:eastAsia="Calibri" w:hAnsi="Calibri"/>
          <w:sz w:val="22"/>
          <w:szCs w:val="22"/>
        </w:rPr>
        <w:t xml:space="preserve">The per-stock one-period covariance splits cleanly by construction:</w:t>
      </w:r>
    </w:p>
    <w:p>
      <w:pPr>
        <w:spacing w:after="160" w:before="160" w:line="320"/>
        <w:jc w:val="center"/>
      </w:pPr>
      <w:r>
        <w:rPr>
          <w:rFonts w:ascii="Calibri" w:cs="Calibri" w:eastAsia="Calibri" w:hAnsi="Calibri"/>
          <w:b w:val="false"/>
          <w:bCs w:val="false"/>
          <w:i w:val="false"/>
          <w:iCs w:val="false"/>
          <w:sz w:val="22"/>
          <w:szCs w:val="22"/>
        </w:rPr>
        <w:t xml:space="preserve">Σ</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rPr>
        <w:t xml:space="preserve"> = X</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rPr>
        <w:t xml:space="preserve"> Ω</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rPr>
        <w:t xml:space="preserve"> X</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rPr>
        <w:t xml:space="preserve">ᵀ + D</w:t>
      </w:r>
      <w:r>
        <w:rPr>
          <w:rFonts w:ascii="Calibri" w:cs="Calibri" w:eastAsia="Calibri" w:hAnsi="Calibri"/>
          <w:b w:val="false"/>
          <w:bCs w:val="false"/>
          <w:i/>
          <w:iCs/>
          <w:sz w:val="22"/>
          <w:szCs w:val="22"/>
          <w:vertAlign w:val="subscript"/>
        </w:rPr>
        <w:t xml:space="preserve">t</w:t>
      </w:r>
    </w:p>
    <w:p>
      <w:pPr>
        <w:spacing w:after="120" w:line="300"/>
      </w:pPr>
      <w:r>
        <w:rPr>
          <w:rFonts w:ascii="Calibri" w:cs="Calibri" w:eastAsia="Calibri" w:hAnsi="Calibri"/>
          <w:b w:val="false"/>
          <w:bCs w:val="false"/>
          <w:i w:val="false"/>
          <w:iCs w:val="false"/>
          <w:sz w:val="22"/>
          <w:szCs w:val="22"/>
        </w:rPr>
        <w:t xml:space="preserve">Ω</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rPr>
        <w:t xml:space="preserve"> is the K×K factor-return covariance, estimated via an exponentially weighted sample covariance of {f̂</w:t>
      </w:r>
      <w:r>
        <w:rPr>
          <w:rFonts w:ascii="Calibri" w:cs="Calibri" w:eastAsia="Calibri" w:hAnsi="Calibri"/>
          <w:b w:val="false"/>
          <w:bCs w:val="false"/>
          <w:i/>
          <w:iCs/>
          <w:sz w:val="22"/>
          <w:szCs w:val="22"/>
          <w:vertAlign w:val="subscript"/>
        </w:rPr>
        <w:t xml:space="preserve">s</w:t>
      </w:r>
      <w:r>
        <w:rPr>
          <w:rFonts w:ascii="Calibri" w:cs="Calibri" w:eastAsia="Calibri" w:hAnsi="Calibri"/>
          <w:b w:val="false"/>
          <w:bCs w:val="false"/>
          <w:i w:val="false"/>
          <w:iCs w:val="false"/>
          <w:sz w:val="22"/>
          <w:szCs w:val="22"/>
        </w:rPr>
        <w:t xml:space="preserve">}</w:t>
      </w:r>
      <w:r>
        <w:rPr>
          <w:rFonts w:ascii="Calibri" w:cs="Calibri" w:eastAsia="Calibri" w:hAnsi="Calibri"/>
          <w:b w:val="false"/>
          <w:bCs w:val="false"/>
          <w:i/>
          <w:iCs/>
          <w:sz w:val="22"/>
          <w:szCs w:val="22"/>
          <w:vertAlign w:val="subscript"/>
        </w:rPr>
        <w:t xml:space="preserve">s ≤ t</w:t>
      </w:r>
      <w:r>
        <w:rPr>
          <w:rFonts w:ascii="Calibri" w:cs="Calibri" w:eastAsia="Calibri" w:hAnsi="Calibri"/>
          <w:b w:val="false"/>
          <w:bCs w:val="false"/>
          <w:i w:val="false"/>
          <w:iCs w:val="false"/>
          <w:sz w:val="22"/>
          <w:szCs w:val="22"/>
        </w:rPr>
        <w:t xml:space="preserve"> with half-life τ</w:t>
      </w:r>
      <w:r>
        <w:rPr>
          <w:rFonts w:ascii="Calibri" w:cs="Calibri" w:eastAsia="Calibri" w:hAnsi="Calibri"/>
          <w:b w:val="false"/>
          <w:bCs w:val="false"/>
          <w:i/>
          <w:iCs/>
          <w:sz w:val="22"/>
          <w:szCs w:val="22"/>
          <w:vertAlign w:val="subscript"/>
        </w:rPr>
        <w:t xml:space="preserve">Ω</w:t>
      </w:r>
      <w:r>
        <w:rPr>
          <w:rFonts w:ascii="Calibri" w:cs="Calibri" w:eastAsia="Calibri" w:hAnsi="Calibri"/>
          <w:b w:val="false"/>
          <w:bCs w:val="false"/>
          <w:i w:val="false"/>
          <w:iCs w:val="false"/>
          <w:sz w:val="22"/>
          <w:szCs w:val="22"/>
        </w:rPr>
        <w:t xml:space="preserve"> = 90 trading days. D</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rPr>
        <w:t xml:space="preserve"> is the diagonal of specific-return variances, estimated stock-by-stock as an EWMA of ε̂</w:t>
      </w:r>
      <w:r>
        <w:rPr>
          <w:rFonts w:ascii="Calibri" w:cs="Calibri" w:eastAsia="Calibri" w:hAnsi="Calibri"/>
          <w:b w:val="false"/>
          <w:bCs w:val="false"/>
          <w:i/>
          <w:iCs/>
          <w:sz w:val="22"/>
          <w:szCs w:val="22"/>
          <w:vertAlign w:val="subscript"/>
        </w:rPr>
        <w:t xml:space="preserve">i,s</w:t>
      </w:r>
      <w:r>
        <w:rPr>
          <w:rFonts w:ascii="Calibri" w:cs="Calibri" w:eastAsia="Calibri" w:hAnsi="Calibri"/>
          <w:b w:val="false"/>
          <w:bCs w:val="false"/>
          <w:i w:val="false"/>
          <w:iCs w:val="false"/>
          <w:sz w:val="22"/>
          <w:szCs w:val="22"/>
          <w:vertAlign w:val="superscript"/>
        </w:rPr>
        <w:t xml:space="preserve">2</w:t>
      </w:r>
      <w:r>
        <w:rPr>
          <w:rFonts w:ascii="Calibri" w:cs="Calibri" w:eastAsia="Calibri" w:hAnsi="Calibri"/>
          <w:b w:val="false"/>
          <w:bCs w:val="false"/>
          <w:i w:val="false"/>
          <w:iCs w:val="false"/>
          <w:sz w:val="22"/>
          <w:szCs w:val="22"/>
        </w:rPr>
        <w:t xml:space="preserve"> with half-life τ</w:t>
      </w:r>
      <w:r>
        <w:rPr>
          <w:rFonts w:ascii="Calibri" w:cs="Calibri" w:eastAsia="Calibri" w:hAnsi="Calibri"/>
          <w:b w:val="false"/>
          <w:bCs w:val="false"/>
          <w:i/>
          <w:iCs/>
          <w:sz w:val="22"/>
          <w:szCs w:val="22"/>
          <w:vertAlign w:val="subscript"/>
        </w:rPr>
        <w:t xml:space="preserve">D</w:t>
      </w:r>
      <w:r>
        <w:rPr>
          <w:rFonts w:ascii="Calibri" w:cs="Calibri" w:eastAsia="Calibri" w:hAnsi="Calibri"/>
          <w:b w:val="false"/>
          <w:bCs w:val="false"/>
          <w:i w:val="false"/>
          <w:iCs w:val="false"/>
          <w:sz w:val="22"/>
          <w:szCs w:val="22"/>
        </w:rPr>
        <w:t xml:space="preserve"> = 60. V1 uses the sample EWMA estimator. V2 replaces Ω with a Ledoit–Wolf shrinkage estimator to reduce estimation error at realistic K/T ratios.</w:t>
      </w:r>
    </w:p>
    <w:p>
      <w:pPr>
        <w:pStyle w:val="Heading2"/>
        <w:spacing w:after="140" w:before="280"/>
      </w:pPr>
      <w:r>
        <w:rPr>
          <w:rFonts w:ascii="Calibri" w:cs="Calibri" w:eastAsia="Calibri" w:hAnsi="Calibri"/>
          <w:b/>
          <w:bCs/>
          <w:color w:val="2E75B6"/>
          <w:sz w:val="26"/>
          <w:szCs w:val="26"/>
        </w:rPr>
        <w:t xml:space="preserve">4.3 Residualized signal evaluation</w:t>
      </w:r>
    </w:p>
    <w:p>
      <w:pPr>
        <w:spacing w:after="120" w:line="300"/>
      </w:pPr>
      <w:r>
        <w:rPr>
          <w:rFonts w:ascii="Calibri" w:cs="Calibri" w:eastAsia="Calibri" w:hAnsi="Calibri"/>
          <w:sz w:val="22"/>
          <w:szCs w:val="22"/>
        </w:rPr>
        <w:t xml:space="preserve">A candidate signal s is first neutralized cross-sectionally against known exposures. At each t, regress s on X_t:</w:t>
      </w:r>
    </w:p>
    <w:p>
      <w:pPr>
        <w:spacing w:after="160" w:before="160" w:line="320"/>
        <w:jc w:val="center"/>
      </w:pPr>
      <w:r>
        <w:rPr>
          <w:rFonts w:ascii="Calibri" w:cs="Calibri" w:eastAsia="Calibri" w:hAnsi="Calibri"/>
          <w:b w:val="false"/>
          <w:bCs w:val="false"/>
          <w:i w:val="false"/>
          <w:iCs w:val="false"/>
          <w:sz w:val="22"/>
          <w:szCs w:val="22"/>
        </w:rPr>
        <w:t xml:space="preserve">s</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vertAlign w:val="superscript"/>
        </w:rPr>
        <w:t xml:space="preserve">⊥</w:t>
      </w:r>
      <w:r>
        <w:rPr>
          <w:rFonts w:ascii="Calibri" w:cs="Calibri" w:eastAsia="Calibri" w:hAnsi="Calibri"/>
          <w:b w:val="false"/>
          <w:bCs w:val="false"/>
          <w:i w:val="false"/>
          <w:iCs w:val="false"/>
          <w:sz w:val="22"/>
          <w:szCs w:val="22"/>
        </w:rPr>
        <w:t xml:space="preserve"> = s</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rPr>
        <w:t xml:space="preserve"> − X</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rPr>
        <w:t xml:space="preserve"> ( X</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rPr>
        <w:t xml:space="preserve">ᵀ X</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vertAlign w:val="superscript"/>
        </w:rPr>
        <w:t xml:space="preserve">−1</w:t>
      </w:r>
      <w:r>
        <w:rPr>
          <w:rFonts w:ascii="Calibri" w:cs="Calibri" w:eastAsia="Calibri" w:hAnsi="Calibri"/>
          <w:b w:val="false"/>
          <w:bCs w:val="false"/>
          <w:i w:val="false"/>
          <w:iCs w:val="false"/>
          <w:sz w:val="22"/>
          <w:szCs w:val="22"/>
        </w:rPr>
        <w:t xml:space="preserve"> X</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rPr>
        <w:t xml:space="preserve">ᵀ s</w:t>
      </w:r>
      <w:r>
        <w:rPr>
          <w:rFonts w:ascii="Calibri" w:cs="Calibri" w:eastAsia="Calibri" w:hAnsi="Calibri"/>
          <w:b w:val="false"/>
          <w:bCs w:val="false"/>
          <w:i/>
          <w:iCs/>
          <w:sz w:val="22"/>
          <w:szCs w:val="22"/>
          <w:vertAlign w:val="subscript"/>
        </w:rPr>
        <w:t xml:space="preserve">t</w:t>
      </w:r>
    </w:p>
    <w:p>
      <w:pPr>
        <w:spacing w:after="120" w:line="300"/>
      </w:pPr>
      <w:r>
        <w:rPr>
          <w:rFonts w:ascii="Calibri" w:cs="Calibri" w:eastAsia="Calibri" w:hAnsi="Calibri"/>
          <w:sz w:val="22"/>
          <w:szCs w:val="22"/>
        </w:rPr>
        <w:t xml:space="preserve">All IC-based evaluation is done on the residualized signal against specific returns, so it cannot be rewarded for being a disguised style bet.</w:t>
      </w:r>
    </w:p>
    <w:p>
      <w:pPr>
        <w:pStyle w:val="Heading2"/>
        <w:spacing w:after="140" w:before="280"/>
      </w:pPr>
      <w:r>
        <w:rPr>
          <w:rFonts w:ascii="Calibri" w:cs="Calibri" w:eastAsia="Calibri" w:hAnsi="Calibri"/>
          <w:b/>
          <w:bCs/>
          <w:color w:val="2E75B6"/>
          <w:sz w:val="26"/>
          <w:szCs w:val="26"/>
        </w:rPr>
        <w:t xml:space="preserve">4.4 Information coefficient, information ratio, Sharpe</w:t>
      </w:r>
    </w:p>
    <w:p>
      <w:pPr>
        <w:spacing w:after="120" w:line="300"/>
      </w:pPr>
      <w:r>
        <w:rPr>
          <w:rFonts w:ascii="Calibri" w:cs="Calibri" w:eastAsia="Calibri" w:hAnsi="Calibri"/>
          <w:b w:val="false"/>
          <w:bCs w:val="false"/>
          <w:i w:val="false"/>
          <w:iCs w:val="false"/>
          <w:sz w:val="22"/>
          <w:szCs w:val="22"/>
        </w:rPr>
        <w:t xml:space="preserve">Daily rank information coefficient on residuals:</w:t>
      </w:r>
    </w:p>
    <w:p>
      <w:pPr>
        <w:spacing w:after="160" w:before="160" w:line="320"/>
        <w:jc w:val="center"/>
      </w:pPr>
      <w:r>
        <w:rPr>
          <w:rFonts w:ascii="Calibri" w:cs="Calibri" w:eastAsia="Calibri" w:hAnsi="Calibri"/>
          <w:b w:val="false"/>
          <w:bCs w:val="false"/>
          <w:i w:val="false"/>
          <w:iCs w:val="false"/>
          <w:sz w:val="22"/>
          <w:szCs w:val="22"/>
        </w:rPr>
        <w:t xml:space="preserve">IC</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vertAlign w:val="superscript"/>
        </w:rPr>
        <w:t xml:space="preserve">⊥</w:t>
      </w:r>
      <w:r>
        <w:rPr>
          <w:rFonts w:ascii="Calibri" w:cs="Calibri" w:eastAsia="Calibri" w:hAnsi="Calibri"/>
          <w:b w:val="false"/>
          <w:bCs w:val="false"/>
          <w:i w:val="false"/>
          <w:iCs w:val="false"/>
          <w:sz w:val="22"/>
          <w:szCs w:val="22"/>
        </w:rPr>
        <w:t xml:space="preserve"> = ρ</w:t>
      </w:r>
      <w:r>
        <w:rPr>
          <w:rFonts w:ascii="Calibri" w:cs="Calibri" w:eastAsia="Calibri" w:hAnsi="Calibri"/>
          <w:b w:val="false"/>
          <w:bCs w:val="false"/>
          <w:i/>
          <w:iCs/>
          <w:sz w:val="22"/>
          <w:szCs w:val="22"/>
          <w:vertAlign w:val="subscript"/>
        </w:rPr>
        <w:t xml:space="preserve">Spearman</w:t>
      </w:r>
      <w:r>
        <w:rPr>
          <w:rFonts w:ascii="Calibri" w:cs="Calibri" w:eastAsia="Calibri" w:hAnsi="Calibri"/>
          <w:b w:val="false"/>
          <w:bCs w:val="false"/>
          <w:i w:val="false"/>
          <w:iCs w:val="false"/>
          <w:sz w:val="22"/>
          <w:szCs w:val="22"/>
        </w:rPr>
        <w:t xml:space="preserve">( s</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vertAlign w:val="superscript"/>
        </w:rPr>
        <w:t xml:space="preserve">⊥</w:t>
      </w:r>
      <w:r>
        <w:rPr>
          <w:rFonts w:ascii="Calibri" w:cs="Calibri" w:eastAsia="Calibri" w:hAnsi="Calibri"/>
          <w:b w:val="false"/>
          <w:bCs w:val="false"/>
          <w:i w:val="false"/>
          <w:iCs w:val="false"/>
          <w:sz w:val="22"/>
          <w:szCs w:val="22"/>
        </w:rPr>
        <w:t xml:space="preserve"> , ε̂</w:t>
      </w:r>
      <w:r>
        <w:rPr>
          <w:rFonts w:ascii="Calibri" w:cs="Calibri" w:eastAsia="Calibri" w:hAnsi="Calibri"/>
          <w:b w:val="false"/>
          <w:bCs w:val="false"/>
          <w:i/>
          <w:iCs/>
          <w:sz w:val="22"/>
          <w:szCs w:val="22"/>
          <w:vertAlign w:val="subscript"/>
        </w:rPr>
        <w:t xml:space="preserve">t+1</w:t>
      </w:r>
      <w:r>
        <w:rPr>
          <w:rFonts w:ascii="Calibri" w:cs="Calibri" w:eastAsia="Calibri" w:hAnsi="Calibri"/>
          <w:b w:val="false"/>
          <w:bCs w:val="false"/>
          <w:i w:val="false"/>
          <w:iCs w:val="false"/>
          <w:sz w:val="22"/>
          <w:szCs w:val="22"/>
        </w:rPr>
        <w:t xml:space="preserve"> )</w:t>
      </w:r>
    </w:p>
    <w:p>
      <w:pPr>
        <w:spacing w:after="120" w:line="300"/>
      </w:pPr>
      <w:r>
        <w:rPr>
          <w:rFonts w:ascii="Calibri" w:cs="Calibri" w:eastAsia="Calibri" w:hAnsi="Calibri"/>
          <w:sz w:val="22"/>
          <w:szCs w:val="22"/>
        </w:rPr>
        <w:t xml:space="preserve">Daily IC time series yields a t-test and an annualized information ratio:</w:t>
      </w:r>
    </w:p>
    <w:p>
      <w:pPr>
        <w:spacing w:after="160" w:before="160" w:line="320"/>
        <w:jc w:val="center"/>
      </w:pPr>
      <w:r>
        <w:rPr>
          <w:rFonts w:ascii="Calibri" w:cs="Calibri" w:eastAsia="Calibri" w:hAnsi="Calibri"/>
          <w:b w:val="false"/>
          <w:bCs w:val="false"/>
          <w:i w:val="false"/>
          <w:iCs w:val="false"/>
          <w:sz w:val="22"/>
          <w:szCs w:val="22"/>
        </w:rPr>
        <w:t xml:space="preserve">IR</w:t>
      </w:r>
      <w:r>
        <w:rPr>
          <w:rFonts w:ascii="Calibri" w:cs="Calibri" w:eastAsia="Calibri" w:hAnsi="Calibri"/>
          <w:b w:val="false"/>
          <w:bCs w:val="false"/>
          <w:i/>
          <w:iCs/>
          <w:sz w:val="22"/>
          <w:szCs w:val="22"/>
          <w:vertAlign w:val="subscript"/>
        </w:rPr>
        <w:t xml:space="preserve">IC</w:t>
      </w:r>
      <w:r>
        <w:rPr>
          <w:rFonts w:ascii="Calibri" w:cs="Calibri" w:eastAsia="Calibri" w:hAnsi="Calibri"/>
          <w:b w:val="false"/>
          <w:bCs w:val="false"/>
          <w:i w:val="false"/>
          <w:iCs w:val="false"/>
          <w:sz w:val="22"/>
          <w:szCs w:val="22"/>
        </w:rPr>
        <w:t xml:space="preserve"> = mean(IC</w:t>
      </w:r>
      <w:r>
        <w:rPr>
          <w:rFonts w:ascii="Calibri" w:cs="Calibri" w:eastAsia="Calibri" w:hAnsi="Calibri"/>
          <w:b w:val="false"/>
          <w:bCs w:val="false"/>
          <w:i w:val="false"/>
          <w:iCs w:val="false"/>
          <w:sz w:val="22"/>
          <w:szCs w:val="22"/>
          <w:vertAlign w:val="superscript"/>
        </w:rPr>
        <w:t xml:space="preserve">⊥</w:t>
      </w:r>
      <w:r>
        <w:rPr>
          <w:rFonts w:ascii="Calibri" w:cs="Calibri" w:eastAsia="Calibri" w:hAnsi="Calibri"/>
          <w:b w:val="false"/>
          <w:bCs w:val="false"/>
          <w:i w:val="false"/>
          <w:iCs w:val="false"/>
          <w:sz w:val="22"/>
          <w:szCs w:val="22"/>
        </w:rPr>
        <w:t xml:space="preserve">) / std(IC</w:t>
      </w:r>
      <w:r>
        <w:rPr>
          <w:rFonts w:ascii="Calibri" w:cs="Calibri" w:eastAsia="Calibri" w:hAnsi="Calibri"/>
          <w:b w:val="false"/>
          <w:bCs w:val="false"/>
          <w:i w:val="false"/>
          <w:iCs w:val="false"/>
          <w:sz w:val="22"/>
          <w:szCs w:val="22"/>
          <w:vertAlign w:val="superscript"/>
        </w:rPr>
        <w:t xml:space="preserve">⊥</w:t>
      </w:r>
      <w:r>
        <w:rPr>
          <w:rFonts w:ascii="Calibri" w:cs="Calibri" w:eastAsia="Calibri" w:hAnsi="Calibri"/>
          <w:b w:val="false"/>
          <w:bCs w:val="false"/>
          <w:i w:val="false"/>
          <w:iCs w:val="false"/>
          <w:sz w:val="22"/>
          <w:szCs w:val="22"/>
        </w:rPr>
        <w:t xml:space="preserve">) · √252</w:t>
      </w:r>
    </w:p>
    <w:p>
      <w:pPr>
        <w:spacing w:after="120" w:line="300"/>
      </w:pPr>
      <w:r>
        <w:rPr>
          <w:rFonts w:ascii="Calibri" w:cs="Calibri" w:eastAsia="Calibri" w:hAnsi="Calibri"/>
          <w:sz w:val="22"/>
          <w:szCs w:val="22"/>
        </w:rPr>
        <w:t xml:space="preserve">For a long-short portfolio we also track the realized annualized Sharpe:</w:t>
      </w:r>
    </w:p>
    <w:p>
      <w:pPr>
        <w:spacing w:after="160" w:before="160" w:line="320"/>
        <w:jc w:val="center"/>
      </w:pPr>
      <w:r>
        <w:rPr>
          <w:rFonts w:ascii="Calibri" w:cs="Calibri" w:eastAsia="Calibri" w:hAnsi="Calibri"/>
          <w:b w:val="false"/>
          <w:bCs w:val="false"/>
          <w:i w:val="false"/>
          <w:iCs w:val="false"/>
          <w:sz w:val="22"/>
          <w:szCs w:val="22"/>
        </w:rPr>
        <w:t xml:space="preserve">SR = mean(r</w:t>
      </w:r>
      <w:r>
        <w:rPr>
          <w:rFonts w:ascii="Calibri" w:cs="Calibri" w:eastAsia="Calibri" w:hAnsi="Calibri"/>
          <w:b w:val="false"/>
          <w:bCs w:val="false"/>
          <w:i/>
          <w:iCs/>
          <w:sz w:val="22"/>
          <w:szCs w:val="22"/>
          <w:vertAlign w:val="subscript"/>
        </w:rPr>
        <w:t xml:space="preserve">p</w:t>
      </w:r>
      <w:r>
        <w:rPr>
          <w:rFonts w:ascii="Calibri" w:cs="Calibri" w:eastAsia="Calibri" w:hAnsi="Calibri"/>
          <w:b w:val="false"/>
          <w:bCs w:val="false"/>
          <w:i w:val="false"/>
          <w:iCs w:val="false"/>
          <w:sz w:val="22"/>
          <w:szCs w:val="22"/>
        </w:rPr>
        <w:t xml:space="preserve">) / std(r</w:t>
      </w:r>
      <w:r>
        <w:rPr>
          <w:rFonts w:ascii="Calibri" w:cs="Calibri" w:eastAsia="Calibri" w:hAnsi="Calibri"/>
          <w:b w:val="false"/>
          <w:bCs w:val="false"/>
          <w:i/>
          <w:iCs/>
          <w:sz w:val="22"/>
          <w:szCs w:val="22"/>
          <w:vertAlign w:val="subscript"/>
        </w:rPr>
        <w:t xml:space="preserve">p</w:t>
      </w:r>
      <w:r>
        <w:rPr>
          <w:rFonts w:ascii="Calibri" w:cs="Calibri" w:eastAsia="Calibri" w:hAnsi="Calibri"/>
          <w:b w:val="false"/>
          <w:bCs w:val="false"/>
          <w:i w:val="false"/>
          <w:iCs w:val="false"/>
          <w:sz w:val="22"/>
          <w:szCs w:val="22"/>
        </w:rPr>
        <w:t xml:space="preserve">) · √252</w:t>
      </w:r>
    </w:p>
    <w:p>
      <w:pPr>
        <w:pStyle w:val="Heading2"/>
        <w:spacing w:after="140" w:before="280"/>
      </w:pPr>
      <w:r>
        <w:rPr>
          <w:rFonts w:ascii="Calibri" w:cs="Calibri" w:eastAsia="Calibri" w:hAnsi="Calibri"/>
          <w:b/>
          <w:bCs/>
          <w:color w:val="2E75B6"/>
          <w:sz w:val="26"/>
          <w:szCs w:val="26"/>
        </w:rPr>
        <w:t xml:space="preserve">4.5 Deflated Sharpe ratio</w:t>
      </w:r>
    </w:p>
    <w:p>
      <w:pPr>
        <w:spacing w:after="120" w:line="300"/>
      </w:pPr>
      <w:r>
        <w:rPr>
          <w:rFonts w:ascii="Calibri" w:cs="Calibri" w:eastAsia="Calibri" w:hAnsi="Calibri"/>
          <w:sz w:val="22"/>
          <w:szCs w:val="22"/>
        </w:rPr>
        <w:t xml:space="preserve">Because V1 evaluates many candidates, the maximum Sharpe across N independent trials is biased upward. We apply the Bailey–López de Prado Deflated Sharpe Ratio as the final test:</w:t>
      </w:r>
    </w:p>
    <w:p>
      <w:pPr>
        <w:spacing w:after="160" w:before="160" w:line="320"/>
        <w:jc w:val="center"/>
      </w:pPr>
      <w:r>
        <w:rPr>
          <w:rFonts w:ascii="Calibri" w:cs="Calibri" w:eastAsia="Calibri" w:hAnsi="Calibri"/>
          <w:b w:val="false"/>
          <w:bCs w:val="false"/>
          <w:i w:val="false"/>
          <w:iCs w:val="false"/>
          <w:sz w:val="22"/>
          <w:szCs w:val="22"/>
        </w:rPr>
        <w:t xml:space="preserve">DSR = Φ(  [ ( SR − SR</w:t>
      </w:r>
      <w:r>
        <w:rPr>
          <w:rFonts w:ascii="Calibri" w:cs="Calibri" w:eastAsia="Calibri" w:hAnsi="Calibri"/>
          <w:b w:val="false"/>
          <w:bCs w:val="false"/>
          <w:i/>
          <w:iCs/>
          <w:sz w:val="22"/>
          <w:szCs w:val="22"/>
          <w:vertAlign w:val="subscript"/>
        </w:rPr>
        <w:t xml:space="preserve">0</w:t>
      </w:r>
      <w:r>
        <w:rPr>
          <w:rFonts w:ascii="Calibri" w:cs="Calibri" w:eastAsia="Calibri" w:hAnsi="Calibri"/>
          <w:b w:val="false"/>
          <w:bCs w:val="false"/>
          <w:i w:val="false"/>
          <w:iCs w:val="false"/>
          <w:sz w:val="22"/>
          <w:szCs w:val="22"/>
        </w:rPr>
        <w:t xml:space="preserve"> ) · √(T−1) ] / √( 1 − γ</w:t>
      </w:r>
      <w:r>
        <w:rPr>
          <w:rFonts w:ascii="Calibri" w:cs="Calibri" w:eastAsia="Calibri" w:hAnsi="Calibri"/>
          <w:b w:val="false"/>
          <w:bCs w:val="false"/>
          <w:i/>
          <w:iCs/>
          <w:sz w:val="22"/>
          <w:szCs w:val="22"/>
          <w:vertAlign w:val="subscript"/>
        </w:rPr>
        <w:t xml:space="preserve">3</w:t>
      </w:r>
      <w:r>
        <w:rPr>
          <w:rFonts w:ascii="Calibri" w:cs="Calibri" w:eastAsia="Calibri" w:hAnsi="Calibri"/>
          <w:b w:val="false"/>
          <w:bCs w:val="false"/>
          <w:i w:val="false"/>
          <w:iCs w:val="false"/>
          <w:sz w:val="22"/>
          <w:szCs w:val="22"/>
        </w:rPr>
        <w:t xml:space="preserve">·SR + (γ</w:t>
      </w:r>
      <w:r>
        <w:rPr>
          <w:rFonts w:ascii="Calibri" w:cs="Calibri" w:eastAsia="Calibri" w:hAnsi="Calibri"/>
          <w:b w:val="false"/>
          <w:bCs w:val="false"/>
          <w:i/>
          <w:iCs/>
          <w:sz w:val="22"/>
          <w:szCs w:val="22"/>
          <w:vertAlign w:val="subscript"/>
        </w:rPr>
        <w:t xml:space="preserve">4</w:t>
      </w:r>
      <w:r>
        <w:rPr>
          <w:rFonts w:ascii="Calibri" w:cs="Calibri" w:eastAsia="Calibri" w:hAnsi="Calibri"/>
          <w:b w:val="false"/>
          <w:bCs w:val="false"/>
          <w:i w:val="false"/>
          <w:iCs w:val="false"/>
          <w:sz w:val="22"/>
          <w:szCs w:val="22"/>
        </w:rPr>
        <w:t xml:space="preserve">−1)/4 · SR</w:t>
      </w:r>
      <w:r>
        <w:rPr>
          <w:rFonts w:ascii="Calibri" w:cs="Calibri" w:eastAsia="Calibri" w:hAnsi="Calibri"/>
          <w:b w:val="false"/>
          <w:bCs w:val="false"/>
          <w:i w:val="false"/>
          <w:iCs w:val="false"/>
          <w:sz w:val="22"/>
          <w:szCs w:val="22"/>
          <w:vertAlign w:val="superscript"/>
        </w:rPr>
        <w:t xml:space="preserve">2</w:t>
      </w:r>
      <w:r>
        <w:rPr>
          <w:rFonts w:ascii="Calibri" w:cs="Calibri" w:eastAsia="Calibri" w:hAnsi="Calibri"/>
          <w:b w:val="false"/>
          <w:bCs w:val="false"/>
          <w:i w:val="false"/>
          <w:iCs w:val="false"/>
          <w:sz w:val="22"/>
          <w:szCs w:val="22"/>
        </w:rPr>
        <w:t xml:space="preserve"> )  )</w:t>
      </w:r>
    </w:p>
    <w:p>
      <w:pPr>
        <w:spacing w:after="120" w:line="300"/>
      </w:pPr>
      <w:r>
        <w:rPr>
          <w:rFonts w:ascii="Calibri" w:cs="Calibri" w:eastAsia="Calibri" w:hAnsi="Calibri"/>
          <w:b w:val="false"/>
          <w:bCs w:val="false"/>
          <w:i w:val="false"/>
          <w:iCs w:val="false"/>
          <w:sz w:val="22"/>
          <w:szCs w:val="22"/>
        </w:rPr>
        <w:t xml:space="preserve">with the expected maximum null Sharpe under N trials given by</w:t>
      </w:r>
    </w:p>
    <w:p>
      <w:pPr>
        <w:spacing w:after="160" w:before="160" w:line="320"/>
        <w:jc w:val="center"/>
      </w:pPr>
      <w:r>
        <w:rPr>
          <w:rFonts w:ascii="Calibri" w:cs="Calibri" w:eastAsia="Calibri" w:hAnsi="Calibri"/>
          <w:b w:val="false"/>
          <w:bCs w:val="false"/>
          <w:i w:val="false"/>
          <w:iCs w:val="false"/>
          <w:sz w:val="22"/>
          <w:szCs w:val="22"/>
        </w:rPr>
        <w:t xml:space="preserve">SR</w:t>
      </w:r>
      <w:r>
        <w:rPr>
          <w:rFonts w:ascii="Calibri" w:cs="Calibri" w:eastAsia="Calibri" w:hAnsi="Calibri"/>
          <w:b w:val="false"/>
          <w:bCs w:val="false"/>
          <w:i/>
          <w:iCs/>
          <w:sz w:val="22"/>
          <w:szCs w:val="22"/>
          <w:vertAlign w:val="subscript"/>
        </w:rPr>
        <w:t xml:space="preserve">0</w:t>
      </w:r>
      <w:r>
        <w:rPr>
          <w:rFonts w:ascii="Calibri" w:cs="Calibri" w:eastAsia="Calibri" w:hAnsi="Calibri"/>
          <w:b w:val="false"/>
          <w:bCs w:val="false"/>
          <w:i w:val="false"/>
          <w:iCs w:val="false"/>
          <w:sz w:val="22"/>
          <w:szCs w:val="22"/>
        </w:rPr>
        <w:t xml:space="preserve"> = √V[SR̂] · [ (1−γ)·Φ</w:t>
      </w:r>
      <w:r>
        <w:rPr>
          <w:rFonts w:ascii="Calibri" w:cs="Calibri" w:eastAsia="Calibri" w:hAnsi="Calibri"/>
          <w:b w:val="false"/>
          <w:bCs w:val="false"/>
          <w:i w:val="false"/>
          <w:iCs w:val="false"/>
          <w:sz w:val="22"/>
          <w:szCs w:val="22"/>
          <w:vertAlign w:val="superscript"/>
        </w:rPr>
        <w:t xml:space="preserve">−1</w:t>
      </w:r>
      <w:r>
        <w:rPr>
          <w:rFonts w:ascii="Calibri" w:cs="Calibri" w:eastAsia="Calibri" w:hAnsi="Calibri"/>
          <w:b w:val="false"/>
          <w:bCs w:val="false"/>
          <w:i w:val="false"/>
          <w:iCs w:val="false"/>
          <w:sz w:val="22"/>
          <w:szCs w:val="22"/>
        </w:rPr>
        <w:t xml:space="preserve">(1 − 1/N) + γ·Φ</w:t>
      </w:r>
      <w:r>
        <w:rPr>
          <w:rFonts w:ascii="Calibri" w:cs="Calibri" w:eastAsia="Calibri" w:hAnsi="Calibri"/>
          <w:b w:val="false"/>
          <w:bCs w:val="false"/>
          <w:i w:val="false"/>
          <w:iCs w:val="false"/>
          <w:sz w:val="22"/>
          <w:szCs w:val="22"/>
          <w:vertAlign w:val="superscript"/>
        </w:rPr>
        <w:t xml:space="preserve">−1</w:t>
      </w:r>
      <w:r>
        <w:rPr>
          <w:rFonts w:ascii="Calibri" w:cs="Calibri" w:eastAsia="Calibri" w:hAnsi="Calibri"/>
          <w:b w:val="false"/>
          <w:bCs w:val="false"/>
          <w:i w:val="false"/>
          <w:iCs w:val="false"/>
          <w:sz w:val="22"/>
          <w:szCs w:val="22"/>
        </w:rPr>
        <w:t xml:space="preserve">(1 − 1/(N·e)) ]</w:t>
      </w:r>
    </w:p>
    <w:p>
      <w:pPr>
        <w:spacing w:after="120" w:line="300"/>
      </w:pPr>
      <w:r>
        <w:rPr>
          <w:rFonts w:ascii="Calibri" w:cs="Calibri" w:eastAsia="Calibri" w:hAnsi="Calibri"/>
          <w:b w:val="false"/>
          <w:bCs w:val="false"/>
          <w:i w:val="false"/>
          <w:iCs w:val="false"/>
          <w:sz w:val="22"/>
          <w:szCs w:val="22"/>
        </w:rPr>
        <w:t xml:space="preserve">γ</w:t>
      </w:r>
      <w:r>
        <w:rPr>
          <w:rFonts w:ascii="Calibri" w:cs="Calibri" w:eastAsia="Calibri" w:hAnsi="Calibri"/>
          <w:b w:val="false"/>
          <w:bCs w:val="false"/>
          <w:i/>
          <w:iCs/>
          <w:sz w:val="22"/>
          <w:szCs w:val="22"/>
          <w:vertAlign w:val="subscript"/>
        </w:rPr>
        <w:t xml:space="preserve">3</w:t>
      </w:r>
      <w:r>
        <w:rPr>
          <w:rFonts w:ascii="Calibri" w:cs="Calibri" w:eastAsia="Calibri" w:hAnsi="Calibri"/>
          <w:b w:val="false"/>
          <w:bCs w:val="false"/>
          <w:i w:val="false"/>
          <w:iCs w:val="false"/>
          <w:sz w:val="22"/>
          <w:szCs w:val="22"/>
        </w:rPr>
        <w:t xml:space="preserve"> and γ</w:t>
      </w:r>
      <w:r>
        <w:rPr>
          <w:rFonts w:ascii="Calibri" w:cs="Calibri" w:eastAsia="Calibri" w:hAnsi="Calibri"/>
          <w:b w:val="false"/>
          <w:bCs w:val="false"/>
          <w:i/>
          <w:iCs/>
          <w:sz w:val="22"/>
          <w:szCs w:val="22"/>
          <w:vertAlign w:val="subscript"/>
        </w:rPr>
        <w:t xml:space="preserve">4</w:t>
      </w:r>
      <w:r>
        <w:rPr>
          <w:rFonts w:ascii="Calibri" w:cs="Calibri" w:eastAsia="Calibri" w:hAnsi="Calibri"/>
          <w:b w:val="false"/>
          <w:bCs w:val="false"/>
          <w:i w:val="false"/>
          <w:iCs w:val="false"/>
          <w:sz w:val="22"/>
          <w:szCs w:val="22"/>
        </w:rPr>
        <w:t xml:space="preserve"> are the sample skew and kurtosis of the portfolio return series, γ ≈ 0.5772 is the Euler–Mascheroni constant, and N is the effective number of trials run during V1 research. A candidate passes only if DSR &gt; 0.95.</w:t>
      </w:r>
    </w:p>
    <w:p>
      <w:pPr>
        <w:pStyle w:val="Heading2"/>
        <w:spacing w:after="140" w:before="280"/>
      </w:pPr>
      <w:r>
        <w:rPr>
          <w:rFonts w:ascii="Calibri" w:cs="Calibri" w:eastAsia="Calibri" w:hAnsi="Calibri"/>
          <w:b/>
          <w:bCs/>
          <w:color w:val="2E75B6"/>
          <w:sz w:val="26"/>
          <w:szCs w:val="26"/>
        </w:rPr>
        <w:t xml:space="preserve">4.6 Multiple testing control</w:t>
      </w:r>
    </w:p>
    <w:p>
      <w:pPr>
        <w:spacing w:after="120" w:line="300"/>
      </w:pPr>
      <w:r>
        <w:rPr>
          <w:rFonts w:ascii="Calibri" w:cs="Calibri" w:eastAsia="Calibri" w:hAnsi="Calibri"/>
          <w:b w:val="false"/>
          <w:bCs w:val="false"/>
          <w:i w:val="false"/>
          <w:iCs w:val="false"/>
          <w:sz w:val="22"/>
          <w:szCs w:val="22"/>
        </w:rPr>
        <w:t xml:space="preserve">For factor promotion we compute the two-sided p-value of IR</w:t>
      </w:r>
      <w:r>
        <w:rPr>
          <w:rFonts w:ascii="Calibri" w:cs="Calibri" w:eastAsia="Calibri" w:hAnsi="Calibri"/>
          <w:b w:val="false"/>
          <w:bCs w:val="false"/>
          <w:i/>
          <w:iCs/>
          <w:sz w:val="22"/>
          <w:szCs w:val="22"/>
          <w:vertAlign w:val="subscript"/>
        </w:rPr>
        <w:t xml:space="preserve">IC</w:t>
      </w:r>
      <w:r>
        <w:rPr>
          <w:rFonts w:ascii="Calibri" w:cs="Calibri" w:eastAsia="Calibri" w:hAnsi="Calibri"/>
          <w:b w:val="false"/>
          <w:bCs w:val="false"/>
          <w:i w:val="false"/>
          <w:iCs w:val="false"/>
          <w:sz w:val="22"/>
          <w:szCs w:val="22"/>
        </w:rPr>
        <w:t xml:space="preserve"> under the null of zero mean IC, for every candidate in a batch. Benjamini–Hochberg FDR control at q = 0.10 is applied across the batch. Sorting p-values as p</w:t>
      </w:r>
      <w:r>
        <w:rPr>
          <w:rFonts w:ascii="Calibri" w:cs="Calibri" w:eastAsia="Calibri" w:hAnsi="Calibri"/>
          <w:b w:val="false"/>
          <w:bCs w:val="false"/>
          <w:i/>
          <w:iCs/>
          <w:sz w:val="22"/>
          <w:szCs w:val="22"/>
          <w:vertAlign w:val="subscript"/>
        </w:rPr>
        <w:t xml:space="preserve">(1)</w:t>
      </w:r>
      <w:r>
        <w:rPr>
          <w:rFonts w:ascii="Calibri" w:cs="Calibri" w:eastAsia="Calibri" w:hAnsi="Calibri"/>
          <w:b w:val="false"/>
          <w:bCs w:val="false"/>
          <w:i w:val="false"/>
          <w:iCs w:val="false"/>
          <w:sz w:val="22"/>
          <w:szCs w:val="22"/>
        </w:rPr>
        <w:t xml:space="preserve"> ≤ … ≤ p</w:t>
      </w:r>
      <w:r>
        <w:rPr>
          <w:rFonts w:ascii="Calibri" w:cs="Calibri" w:eastAsia="Calibri" w:hAnsi="Calibri"/>
          <w:b w:val="false"/>
          <w:bCs w:val="false"/>
          <w:i/>
          <w:iCs/>
          <w:sz w:val="22"/>
          <w:szCs w:val="22"/>
          <w:vertAlign w:val="subscript"/>
        </w:rPr>
        <w:t xml:space="preserve">(m)</w:t>
      </w:r>
      <w:r>
        <w:rPr>
          <w:rFonts w:ascii="Calibri" w:cs="Calibri" w:eastAsia="Calibri" w:hAnsi="Calibri"/>
          <w:b w:val="false"/>
          <w:bCs w:val="false"/>
          <w:i w:val="false"/>
          <w:iCs w:val="false"/>
          <w:sz w:val="22"/>
          <w:szCs w:val="22"/>
        </w:rPr>
        <w:t xml:space="preserve">, we reject every hypothesis with index at most</w:t>
      </w:r>
    </w:p>
    <w:p>
      <w:pPr>
        <w:spacing w:after="160" w:before="160" w:line="320"/>
        <w:jc w:val="center"/>
      </w:pPr>
      <w:r>
        <w:rPr>
          <w:rFonts w:ascii="Calibri" w:cs="Calibri" w:eastAsia="Calibri" w:hAnsi="Calibri"/>
          <w:b w:val="false"/>
          <w:bCs w:val="false"/>
          <w:i w:val="false"/>
          <w:iCs w:val="false"/>
          <w:sz w:val="22"/>
          <w:szCs w:val="22"/>
        </w:rPr>
        <w:t xml:space="preserve">k* = max { i : p</w:t>
      </w:r>
      <w:r>
        <w:rPr>
          <w:rFonts w:ascii="Calibri" w:cs="Calibri" w:eastAsia="Calibri" w:hAnsi="Calibri"/>
          <w:b w:val="false"/>
          <w:bCs w:val="false"/>
          <w:i/>
          <w:iCs/>
          <w:sz w:val="22"/>
          <w:szCs w:val="22"/>
          <w:vertAlign w:val="subscript"/>
        </w:rPr>
        <w:t xml:space="preserve">(i)</w:t>
      </w:r>
      <w:r>
        <w:rPr>
          <w:rFonts w:ascii="Calibri" w:cs="Calibri" w:eastAsia="Calibri" w:hAnsi="Calibri"/>
          <w:b w:val="false"/>
          <w:bCs w:val="false"/>
          <w:i w:val="false"/>
          <w:iCs w:val="false"/>
          <w:sz w:val="22"/>
          <w:szCs w:val="22"/>
        </w:rPr>
        <w:t xml:space="preserve"> ≤ (i / m) · q }</w:t>
      </w:r>
    </w:p>
    <w:p>
      <w:pPr>
        <w:spacing w:after="120" w:line="300"/>
      </w:pPr>
      <w:r>
        <w:rPr>
          <w:rFonts w:ascii="Calibri" w:cs="Calibri" w:eastAsia="Calibri" w:hAnsi="Calibri"/>
          <w:sz w:val="22"/>
          <w:szCs w:val="22"/>
        </w:rPr>
        <w:t xml:space="preserve">Only passing candidates become eligible for the second-stage deflated Sharpe test in portfolio space.</w:t>
      </w:r>
    </w:p>
    <w:p>
      <w:pPr>
        <w:pStyle w:val="Heading2"/>
        <w:spacing w:after="140" w:before="280"/>
      </w:pPr>
      <w:r>
        <w:rPr>
          <w:rFonts w:ascii="Calibri" w:cs="Calibri" w:eastAsia="Calibri" w:hAnsi="Calibri"/>
          <w:b/>
          <w:bCs/>
          <w:color w:val="2E75B6"/>
          <w:sz w:val="26"/>
          <w:szCs w:val="26"/>
        </w:rPr>
        <w:t xml:space="preserve">4.7 Purged and embargoed walk-forward CV</w:t>
      </w:r>
    </w:p>
    <w:p>
      <w:pPr>
        <w:spacing w:after="120" w:line="300"/>
      </w:pPr>
      <w:r>
        <w:rPr>
          <w:rFonts w:ascii="Calibri" w:cs="Calibri" w:eastAsia="Calibri" w:hAnsi="Calibri"/>
          <w:b w:val="false"/>
          <w:bCs w:val="false"/>
          <w:i w:val="false"/>
          <w:iCs w:val="false"/>
          <w:sz w:val="22"/>
          <w:szCs w:val="22"/>
        </w:rPr>
        <w:t xml:space="preserve">The label is the h-day forward return, so consecutive observations overlap. We therefore use López de Prado's purged k-fold (Advances in Financial Machine Learning, ch. 7). Given a train window [t</w:t>
      </w:r>
      <w:r>
        <w:rPr>
          <w:rFonts w:ascii="Calibri" w:cs="Calibri" w:eastAsia="Calibri" w:hAnsi="Calibri"/>
          <w:b w:val="false"/>
          <w:bCs w:val="false"/>
          <w:i/>
          <w:iCs/>
          <w:sz w:val="22"/>
          <w:szCs w:val="22"/>
          <w:vertAlign w:val="subscript"/>
        </w:rPr>
        <w:t xml:space="preserve">0</w:t>
      </w:r>
      <w:r>
        <w:rPr>
          <w:rFonts w:ascii="Calibri" w:cs="Calibri" w:eastAsia="Calibri" w:hAnsi="Calibri"/>
          <w:b w:val="false"/>
          <w:bCs w:val="false"/>
          <w:i w:val="false"/>
          <w:iCs w:val="false"/>
          <w:sz w:val="22"/>
          <w:szCs w:val="22"/>
        </w:rPr>
        <w:t xml:space="preserve">, t</w:t>
      </w:r>
      <w:r>
        <w:rPr>
          <w:rFonts w:ascii="Calibri" w:cs="Calibri" w:eastAsia="Calibri" w:hAnsi="Calibri"/>
          <w:b w:val="false"/>
          <w:bCs w:val="false"/>
          <w:i/>
          <w:iCs/>
          <w:sz w:val="22"/>
          <w:szCs w:val="22"/>
          <w:vertAlign w:val="subscript"/>
        </w:rPr>
        <w:t xml:space="preserve">1</w:t>
      </w:r>
      <w:r>
        <w:rPr>
          <w:rFonts w:ascii="Calibri" w:cs="Calibri" w:eastAsia="Calibri" w:hAnsi="Calibri"/>
          <w:b w:val="false"/>
          <w:bCs w:val="false"/>
          <w:i w:val="false"/>
          <w:iCs w:val="false"/>
          <w:sz w:val="22"/>
          <w:szCs w:val="22"/>
        </w:rPr>
        <w:t xml:space="preserve">], we purge any training observation whose label ends after t</w:t>
      </w:r>
      <w:r>
        <w:rPr>
          <w:rFonts w:ascii="Calibri" w:cs="Calibri" w:eastAsia="Calibri" w:hAnsi="Calibri"/>
          <w:b w:val="false"/>
          <w:bCs w:val="false"/>
          <w:i/>
          <w:iCs/>
          <w:sz w:val="22"/>
          <w:szCs w:val="22"/>
          <w:vertAlign w:val="subscript"/>
        </w:rPr>
        <w:t xml:space="preserve">1</w:t>
      </w:r>
      <w:r>
        <w:rPr>
          <w:rFonts w:ascii="Calibri" w:cs="Calibri" w:eastAsia="Calibri" w:hAnsi="Calibri"/>
          <w:b w:val="false"/>
          <w:bCs w:val="false"/>
          <w:i w:val="false"/>
          <w:iCs w:val="false"/>
          <w:sz w:val="22"/>
          <w:szCs w:val="22"/>
        </w:rPr>
        <w:t xml:space="preserve"> and embargo the first e trading days of the test window, where h = 21 days and e = 5 days. V1 uses expanding windows with year-long test folds.</w:t>
      </w:r>
    </w:p>
    <w:p>
      <w:r>
        <w:br w:type="page"/>
      </w:r>
    </w:p>
    <w:p>
      <w:pPr>
        <w:pStyle w:val="Heading1"/>
        <w:spacing w:after="180" w:before="360"/>
      </w:pPr>
      <w:r>
        <w:rPr>
          <w:rFonts w:ascii="Calibri" w:cs="Calibri" w:eastAsia="Calibri" w:hAnsi="Calibri"/>
          <w:b/>
          <w:bCs/>
          <w:color w:val="1F3864"/>
          <w:sz w:val="32"/>
          <w:szCs w:val="32"/>
        </w:rPr>
        <w:t xml:space="preserve">5. V1 System Architecture</w:t>
      </w:r>
    </w:p>
    <w:p>
      <w:pPr>
        <w:spacing w:after="120" w:line="300"/>
      </w:pPr>
      <w:r>
        <w:rPr>
          <w:rFonts w:ascii="Calibri" w:cs="Calibri" w:eastAsia="Calibri" w:hAnsi="Calibri"/>
          <w:sz w:val="22"/>
          <w:szCs w:val="22"/>
        </w:rPr>
        <w:t xml:space="preserve">V1 deliberately compresses the original ten-module sketch into six modules. Each is described by its mathematical core, inputs, outputs, and acceptance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900"/>
        <w:gridCol w:w="1700"/>
        <w:gridCol w:w="1960"/>
      </w:tblGrid>
      <w:t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Module</w:t>
            </w:r>
          </w:p>
        </w:tc>
        <w:tc>
          <w:tcPr>
            <w:tcW w:type="dxa" w:w="23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Core</w:t>
            </w:r>
          </w:p>
        </w:tc>
        <w:tc>
          <w:tcPr>
            <w:tcW w:type="dxa" w:w="1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Inputs</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Outputs</w:t>
            </w:r>
          </w:p>
        </w:tc>
        <w:tc>
          <w:tcPr>
            <w:tcW w:type="dxa" w:w="1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Acceptance test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 Data &amp; PIT panel</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corporate-action adjustment; point-in-time joins of CRSP + Compustat PIT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CRSP daily, Compustat PIT fundamentals, GICS PIT, SEC CIK map</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stock-date Parquet panel (≈ 15 M rows)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reconstructing S&amp;P 500 membership on any past date matches the published index within 1 name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 Research ledger</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append-only SQLite of candidate_id, git SHA, config hash, metrics, status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candidate configs + metric dicts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queryable ledger</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every promoted factor can be replayed bit-identical from ledger</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 Feature library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~40 deterministic factor formulas (see §7)</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PIT panel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daily factor panel</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unit tests reproduce published IC for two reference factors (12-1 momentum, book-to-price) within 0.005</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 Barra-lite risk engine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cross-sectional WLS per §4.1; EWMA covariance per §4.2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PIT panel, exposure definitions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X_t, f̂_t, ε̂_t, Ω_t, D_t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sum of factor R² across style factors ≥ 0.25 on average; residual autocorrelation (lag 1) |ρ| ≤ 0.05</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 Statistical validation</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purged CV + Benjamini–Hochberg + Deflated Sharpe (see §4.4–4.7)</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candidate signal, risk panel, label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pass/fail + full metrics row</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false-positive rate on 1,000 synthetic null signals ≤ q = 0.10</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 Portfolio &amp; cost model</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QP in §10 with cost model in §9</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promoted signals, Σ_t, cost parameters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daily weights w_t, P&amp;L, attribution</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turnover matches QP dual; attribution residual ≤ 1 bp/day</w:t>
            </w:r>
          </w:p>
        </w:tc>
      </w:tr>
    </w:tbl>
    <w:p>
      <w:pPr>
        <w:pStyle w:val="Heading1"/>
        <w:spacing w:after="180" w:before="360"/>
      </w:pPr>
      <w:r>
        <w:rPr>
          <w:rFonts w:ascii="Calibri" w:cs="Calibri" w:eastAsia="Calibri" w:hAnsi="Calibri"/>
          <w:b/>
          <w:bCs/>
          <w:color w:val="1F3864"/>
          <w:sz w:val="32"/>
          <w:szCs w:val="32"/>
        </w:rPr>
        <w:t xml:space="preserve">6. Data Stack Recommendation</w:t>
      </w:r>
    </w:p>
    <w:p>
      <w:pPr>
        <w:spacing w:after="120" w:line="300"/>
      </w:pPr>
      <w:r>
        <w:rPr>
          <w:rFonts w:ascii="Calibri" w:cs="Calibri" w:eastAsia="Calibri" w:hAnsi="Calibri"/>
          <w:sz w:val="22"/>
          <w:szCs w:val="22"/>
        </w:rPr>
        <w:t xml:space="preserve">For a long-short equity research platform where data integrity is the non-negotiable priority, the recommended stack is CRSP + Compustat Point-in-Time, accessed through WRDS (Wharton Research Data Services). Rice's Jones Graduate School of Business maintains a WRDS subscription that is available to Rice affiliates on request.</w:t>
      </w:r>
    </w:p>
    <w:p>
      <w:pPr>
        <w:pStyle w:val="Heading3"/>
        <w:spacing w:after="100" w:before="220"/>
      </w:pPr>
      <w:r>
        <w:rPr>
          <w:rFonts w:ascii="Calibri" w:cs="Calibri" w:eastAsia="Calibri" w:hAnsi="Calibri"/>
          <w:b/>
          <w:bCs/>
          <w:color w:val="333333"/>
          <w:sz w:val="23"/>
          <w:szCs w:val="23"/>
        </w:rPr>
        <w:t xml:space="preserve">Why this stack</w:t>
      </w:r>
    </w:p>
    <w:p>
      <w:pPr>
        <w:pStyle w:val="ListParagraph"/>
        <w:numPr>
          <w:ilvl w:val="0"/>
          <w:numId w:val="2"/>
        </w:numPr>
        <w:spacing w:after="80" w:line="300"/>
      </w:pPr>
      <w:r>
        <w:rPr>
          <w:rFonts w:ascii="Calibri" w:cs="Calibri" w:eastAsia="Calibri" w:hAnsi="Calibri"/>
          <w:sz w:val="22"/>
          <w:szCs w:val="22"/>
        </w:rPr>
        <w:t xml:space="preserve">CRSP is survivorship-bias free with delisting returns, the largest single source of free-data bias.</w:t>
      </w:r>
    </w:p>
    <w:p>
      <w:pPr>
        <w:pStyle w:val="ListParagraph"/>
        <w:numPr>
          <w:ilvl w:val="0"/>
          <w:numId w:val="2"/>
        </w:numPr>
        <w:spacing w:after="80" w:line="300"/>
      </w:pPr>
      <w:r>
        <w:rPr>
          <w:rFonts w:ascii="Calibri" w:cs="Calibri" w:eastAsia="Calibri" w:hAnsi="Calibri"/>
          <w:sz w:val="22"/>
          <w:szCs w:val="22"/>
        </w:rPr>
        <w:t xml:space="preserve">Compustat PIT preserves as-reported values and publication dates, blocking restatement lookahead.</w:t>
      </w:r>
    </w:p>
    <w:p>
      <w:pPr>
        <w:pStyle w:val="ListParagraph"/>
        <w:numPr>
          <w:ilvl w:val="0"/>
          <w:numId w:val="2"/>
        </w:numPr>
        <w:spacing w:after="80" w:line="300"/>
      </w:pPr>
      <w:r>
        <w:rPr>
          <w:rFonts w:ascii="Calibri" w:cs="Calibri" w:eastAsia="Calibri" w:hAnsi="Calibri"/>
          <w:sz w:val="22"/>
          <w:szCs w:val="22"/>
        </w:rPr>
        <w:t xml:space="preserve">GICS classifications arrive as-of-date, preventing reclassification lookahead.</w:t>
      </w:r>
    </w:p>
    <w:p>
      <w:pPr>
        <w:pStyle w:val="ListParagraph"/>
        <w:numPr>
          <w:ilvl w:val="0"/>
          <w:numId w:val="2"/>
        </w:numPr>
        <w:spacing w:after="80" w:line="300"/>
      </w:pPr>
      <w:r>
        <w:rPr>
          <w:rFonts w:ascii="Calibri" w:cs="Calibri" w:eastAsia="Calibri" w:hAnsi="Calibri"/>
          <w:sz w:val="22"/>
          <w:szCs w:val="22"/>
        </w:rPr>
        <w:t xml:space="preserve">CRSP–Compustat Merged (CCM) gives the PERMNO ↔ GVKEY link with proper effective dates.</w:t>
      </w:r>
    </w:p>
    <w:p>
      <w:pPr>
        <w:pStyle w:val="Heading3"/>
        <w:spacing w:after="100" w:before="220"/>
      </w:pPr>
      <w:r>
        <w:rPr>
          <w:rFonts w:ascii="Calibri" w:cs="Calibri" w:eastAsia="Calibri" w:hAnsi="Calibri"/>
          <w:b/>
          <w:bCs/>
          <w:color w:val="333333"/>
          <w:sz w:val="23"/>
          <w:szCs w:val="23"/>
        </w:rPr>
        <w:t xml:space="preserve">Backup plan if WRDS is unavailable</w:t>
      </w:r>
    </w:p>
    <w:p>
      <w:pPr>
        <w:spacing w:after="120" w:line="300"/>
      </w:pPr>
      <w:r>
        <w:rPr>
          <w:rFonts w:ascii="Calibri" w:cs="Calibri" w:eastAsia="Calibri" w:hAnsi="Calibri"/>
          <w:sz w:val="22"/>
          <w:szCs w:val="22"/>
        </w:rPr>
        <w:t xml:space="preserve">Sharadar SF1 / SEP (Nasdaq Data Link) is the best paid substitute: it offers survivorship-bias-free daily prices and PIT fundamentals for roughly $300/month on an individual plan. For no-cost V1 we would fall back to Yahoo Finance plus SEC EDGAR XBRL parsing, but V1 would then need to publish an explicit data-integrity caveat in every metric because delisting returns would be missing and fundamentals would be as-reported-today.</w:t>
      </w:r>
    </w:p>
    <w:p>
      <w:pPr>
        <w:pStyle w:val="Heading1"/>
        <w:spacing w:after="180" w:before="360"/>
      </w:pPr>
      <w:r>
        <w:rPr>
          <w:rFonts w:ascii="Calibri" w:cs="Calibri" w:eastAsia="Calibri" w:hAnsi="Calibri"/>
          <w:b/>
          <w:bCs/>
          <w:color w:val="1F3864"/>
          <w:sz w:val="32"/>
          <w:szCs w:val="32"/>
        </w:rPr>
        <w:t xml:space="preserve">7. V1 Feature Catalog</w:t>
      </w:r>
    </w:p>
    <w:p>
      <w:pPr>
        <w:spacing w:after="120" w:line="300"/>
      </w:pPr>
      <w:r>
        <w:rPr>
          <w:rFonts w:ascii="Calibri" w:cs="Calibri" w:eastAsia="Calibri" w:hAnsi="Calibri"/>
          <w:sz w:val="22"/>
          <w:szCs w:val="22"/>
        </w:rPr>
        <w:t xml:space="preserve">V1 uses a fixed, hand-specified set of ~40 factors so that every result is reproducible from code alone. Each factor is specified by a closed-form expression over the approved variable vocabulary.</w:t>
      </w:r>
    </w:p>
    <w:p>
      <w:pPr>
        <w:pStyle w:val="Heading2"/>
        <w:spacing w:after="140" w:before="280"/>
      </w:pPr>
      <w:r>
        <w:rPr>
          <w:rFonts w:ascii="Calibri" w:cs="Calibri" w:eastAsia="Calibri" w:hAnsi="Calibri"/>
          <w:b/>
          <w:bCs/>
          <w:color w:val="2E75B6"/>
          <w:sz w:val="26"/>
          <w:szCs w:val="26"/>
        </w:rPr>
        <w:t xml:space="preserve">7.1 Value (composite, equal-weighted z)</w:t>
      </w:r>
    </w:p>
    <w:p>
      <w:pPr>
        <w:spacing w:after="160" w:before="160" w:line="320"/>
        <w:jc w:val="center"/>
      </w:pPr>
      <w:r>
        <w:rPr>
          <w:rFonts w:ascii="Calibri" w:cs="Calibri" w:eastAsia="Calibri" w:hAnsi="Calibri"/>
          <w:b w:val="false"/>
          <w:bCs w:val="false"/>
          <w:i w:val="false"/>
          <w:iCs w:val="false"/>
          <w:sz w:val="22"/>
          <w:szCs w:val="22"/>
        </w:rPr>
        <w:t xml:space="preserve">V</w:t>
      </w:r>
      <w:r>
        <w:rPr>
          <w:rFonts w:ascii="Calibri" w:cs="Calibri" w:eastAsia="Calibri" w:hAnsi="Calibri"/>
          <w:b w:val="false"/>
          <w:bCs w:val="false"/>
          <w:i/>
          <w:iCs/>
          <w:sz w:val="22"/>
          <w:szCs w:val="22"/>
          <w:vertAlign w:val="subscript"/>
        </w:rPr>
        <w:t xml:space="preserve">i,t</w:t>
      </w:r>
      <w:r>
        <w:rPr>
          <w:rFonts w:ascii="Calibri" w:cs="Calibri" w:eastAsia="Calibri" w:hAnsi="Calibri"/>
          <w:b w:val="false"/>
          <w:bCs w:val="false"/>
          <w:i w:val="false"/>
          <w:iCs w:val="false"/>
          <w:sz w:val="22"/>
          <w:szCs w:val="22"/>
        </w:rPr>
        <w:t xml:space="preserve"> = ¼ [ z</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rPr>
        <w:t xml:space="preserve">(B/P) + z</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rPr>
        <w:t xml:space="preserve">(E/P) + z</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rPr>
        <w:t xml:space="preserve">(S/P) + z</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rPr>
        <w:t xml:space="preserve">(CF/P) ]</w:t>
      </w:r>
    </w:p>
    <w:p>
      <w:pPr>
        <w:spacing w:after="120" w:line="300"/>
      </w:pPr>
      <w:r>
        <w:rPr>
          <w:rFonts w:ascii="Calibri" w:cs="Calibri" w:eastAsia="Calibri" w:hAnsi="Calibri"/>
          <w:sz w:val="22"/>
          <w:szCs w:val="22"/>
        </w:rPr>
        <w:t xml:space="preserve">where each ratio uses the most recently reported PIT figure over trailing price, and z_t denotes cross-sectional winsorized standardization at date t.</w:t>
      </w:r>
    </w:p>
    <w:p>
      <w:pPr>
        <w:pStyle w:val="Heading2"/>
        <w:spacing w:after="140" w:before="280"/>
      </w:pPr>
      <w:r>
        <w:rPr>
          <w:rFonts w:ascii="Calibri" w:cs="Calibri" w:eastAsia="Calibri" w:hAnsi="Calibri"/>
          <w:b/>
          <w:bCs/>
          <w:color w:val="2E75B6"/>
          <w:sz w:val="26"/>
          <w:szCs w:val="26"/>
        </w:rPr>
        <w:t xml:space="preserve">7.2 Momentum (12–1)</w:t>
      </w:r>
    </w:p>
    <w:p>
      <w:pPr>
        <w:spacing w:after="160" w:before="160" w:line="320"/>
        <w:jc w:val="center"/>
      </w:pPr>
      <w:r>
        <w:rPr>
          <w:rFonts w:ascii="Calibri" w:cs="Calibri" w:eastAsia="Calibri" w:hAnsi="Calibri"/>
          <w:b w:val="false"/>
          <w:bCs w:val="false"/>
          <w:i w:val="false"/>
          <w:iCs w:val="false"/>
          <w:sz w:val="22"/>
          <w:szCs w:val="22"/>
        </w:rPr>
        <w:t xml:space="preserve">MOM</w:t>
      </w:r>
      <w:r>
        <w:rPr>
          <w:rFonts w:ascii="Calibri" w:cs="Calibri" w:eastAsia="Calibri" w:hAnsi="Calibri"/>
          <w:b w:val="false"/>
          <w:bCs w:val="false"/>
          <w:i/>
          <w:iCs/>
          <w:sz w:val="22"/>
          <w:szCs w:val="22"/>
          <w:vertAlign w:val="subscript"/>
        </w:rPr>
        <w:t xml:space="preserve">i,t</w:t>
      </w:r>
      <w:r>
        <w:rPr>
          <w:rFonts w:ascii="Calibri" w:cs="Calibri" w:eastAsia="Calibri" w:hAnsi="Calibri"/>
          <w:b w:val="false"/>
          <w:bCs w:val="false"/>
          <w:i w:val="false"/>
          <w:iCs w:val="false"/>
          <w:sz w:val="22"/>
          <w:szCs w:val="22"/>
        </w:rPr>
        <w:t xml:space="preserve"> = log( P</w:t>
      </w:r>
      <w:r>
        <w:rPr>
          <w:rFonts w:ascii="Calibri" w:cs="Calibri" w:eastAsia="Calibri" w:hAnsi="Calibri"/>
          <w:b w:val="false"/>
          <w:bCs w:val="false"/>
          <w:i/>
          <w:iCs/>
          <w:sz w:val="22"/>
          <w:szCs w:val="22"/>
          <w:vertAlign w:val="subscript"/>
        </w:rPr>
        <w:t xml:space="preserve">i,t−21</w:t>
      </w:r>
      <w:r>
        <w:rPr>
          <w:rFonts w:ascii="Calibri" w:cs="Calibri" w:eastAsia="Calibri" w:hAnsi="Calibri"/>
          <w:b w:val="false"/>
          <w:bCs w:val="false"/>
          <w:i w:val="false"/>
          <w:iCs w:val="false"/>
          <w:sz w:val="22"/>
          <w:szCs w:val="22"/>
        </w:rPr>
        <w:t xml:space="preserve"> / P</w:t>
      </w:r>
      <w:r>
        <w:rPr>
          <w:rFonts w:ascii="Calibri" w:cs="Calibri" w:eastAsia="Calibri" w:hAnsi="Calibri"/>
          <w:b w:val="false"/>
          <w:bCs w:val="false"/>
          <w:i/>
          <w:iCs/>
          <w:sz w:val="22"/>
          <w:szCs w:val="22"/>
          <w:vertAlign w:val="subscript"/>
        </w:rPr>
        <w:t xml:space="preserve">i,t−252</w:t>
      </w:r>
      <w:r>
        <w:rPr>
          <w:rFonts w:ascii="Calibri" w:cs="Calibri" w:eastAsia="Calibri" w:hAnsi="Calibri"/>
          <w:b w:val="false"/>
          <w:bCs w:val="false"/>
          <w:i w:val="false"/>
          <w:iCs w:val="false"/>
          <w:sz w:val="22"/>
          <w:szCs w:val="22"/>
        </w:rPr>
        <w:t xml:space="preserve"> )</w:t>
      </w:r>
    </w:p>
    <w:p>
      <w:pPr>
        <w:pStyle w:val="Heading2"/>
        <w:spacing w:after="140" w:before="280"/>
      </w:pPr>
      <w:r>
        <w:rPr>
          <w:rFonts w:ascii="Calibri" w:cs="Calibri" w:eastAsia="Calibri" w:hAnsi="Calibri"/>
          <w:b/>
          <w:bCs/>
          <w:color w:val="2E75B6"/>
          <w:sz w:val="26"/>
          <w:szCs w:val="26"/>
        </w:rPr>
        <w:t xml:space="preserve">7.3 Short-term reversal</w:t>
      </w:r>
    </w:p>
    <w:p>
      <w:pPr>
        <w:spacing w:after="160" w:before="160" w:line="320"/>
        <w:jc w:val="center"/>
      </w:pPr>
      <w:r>
        <w:rPr>
          <w:rFonts w:ascii="Calibri" w:cs="Calibri" w:eastAsia="Calibri" w:hAnsi="Calibri"/>
          <w:b w:val="false"/>
          <w:bCs w:val="false"/>
          <w:i w:val="false"/>
          <w:iCs w:val="false"/>
          <w:sz w:val="22"/>
          <w:szCs w:val="22"/>
        </w:rPr>
        <w:t xml:space="preserve">STR</w:t>
      </w:r>
      <w:r>
        <w:rPr>
          <w:rFonts w:ascii="Calibri" w:cs="Calibri" w:eastAsia="Calibri" w:hAnsi="Calibri"/>
          <w:b w:val="false"/>
          <w:bCs w:val="false"/>
          <w:i/>
          <w:iCs/>
          <w:sz w:val="22"/>
          <w:szCs w:val="22"/>
          <w:vertAlign w:val="subscript"/>
        </w:rPr>
        <w:t xml:space="preserve">i,t</w:t>
      </w:r>
      <w:r>
        <w:rPr>
          <w:rFonts w:ascii="Calibri" w:cs="Calibri" w:eastAsia="Calibri" w:hAnsi="Calibri"/>
          <w:b w:val="false"/>
          <w:bCs w:val="false"/>
          <w:i w:val="false"/>
          <w:iCs w:val="false"/>
          <w:sz w:val="22"/>
          <w:szCs w:val="22"/>
        </w:rPr>
        <w:t xml:space="preserve"> = − log( P</w:t>
      </w:r>
      <w:r>
        <w:rPr>
          <w:rFonts w:ascii="Calibri" w:cs="Calibri" w:eastAsia="Calibri" w:hAnsi="Calibri"/>
          <w:b w:val="false"/>
          <w:bCs w:val="false"/>
          <w:i/>
          <w:iCs/>
          <w:sz w:val="22"/>
          <w:szCs w:val="22"/>
          <w:vertAlign w:val="subscript"/>
        </w:rPr>
        <w:t xml:space="preserve">i,t</w:t>
      </w:r>
      <w:r>
        <w:rPr>
          <w:rFonts w:ascii="Calibri" w:cs="Calibri" w:eastAsia="Calibri" w:hAnsi="Calibri"/>
          <w:b w:val="false"/>
          <w:bCs w:val="false"/>
          <w:i w:val="false"/>
          <w:iCs w:val="false"/>
          <w:sz w:val="22"/>
          <w:szCs w:val="22"/>
        </w:rPr>
        <w:t xml:space="preserve"> / P</w:t>
      </w:r>
      <w:r>
        <w:rPr>
          <w:rFonts w:ascii="Calibri" w:cs="Calibri" w:eastAsia="Calibri" w:hAnsi="Calibri"/>
          <w:b w:val="false"/>
          <w:bCs w:val="false"/>
          <w:i/>
          <w:iCs/>
          <w:sz w:val="22"/>
          <w:szCs w:val="22"/>
          <w:vertAlign w:val="subscript"/>
        </w:rPr>
        <w:t xml:space="preserve">i,t−21</w:t>
      </w:r>
      <w:r>
        <w:rPr>
          <w:rFonts w:ascii="Calibri" w:cs="Calibri" w:eastAsia="Calibri" w:hAnsi="Calibri"/>
          <w:b w:val="false"/>
          <w:bCs w:val="false"/>
          <w:i w:val="false"/>
          <w:iCs w:val="false"/>
          <w:sz w:val="22"/>
          <w:szCs w:val="22"/>
        </w:rPr>
        <w:t xml:space="preserve"> )</w:t>
      </w:r>
    </w:p>
    <w:p>
      <w:pPr>
        <w:pStyle w:val="Heading2"/>
        <w:spacing w:after="140" w:before="280"/>
      </w:pPr>
      <w:r>
        <w:rPr>
          <w:rFonts w:ascii="Calibri" w:cs="Calibri" w:eastAsia="Calibri" w:hAnsi="Calibri"/>
          <w:b/>
          <w:bCs/>
          <w:color w:val="2E75B6"/>
          <w:sz w:val="26"/>
          <w:szCs w:val="26"/>
        </w:rPr>
        <w:t xml:space="preserve">7.4 Quality (gross-profitability, Novy-Marx)</w:t>
      </w:r>
    </w:p>
    <w:p>
      <w:pPr>
        <w:spacing w:after="160" w:before="160" w:line="320"/>
        <w:jc w:val="center"/>
      </w:pPr>
      <w:r>
        <w:rPr>
          <w:rFonts w:ascii="Calibri" w:cs="Calibri" w:eastAsia="Calibri" w:hAnsi="Calibri"/>
          <w:b w:val="false"/>
          <w:bCs w:val="false"/>
          <w:i w:val="false"/>
          <w:iCs w:val="false"/>
          <w:sz w:val="22"/>
          <w:szCs w:val="22"/>
        </w:rPr>
        <w:t xml:space="preserve">Q</w:t>
      </w:r>
      <w:r>
        <w:rPr>
          <w:rFonts w:ascii="Calibri" w:cs="Calibri" w:eastAsia="Calibri" w:hAnsi="Calibri"/>
          <w:b w:val="false"/>
          <w:bCs w:val="false"/>
          <w:i/>
          <w:iCs/>
          <w:sz w:val="22"/>
          <w:szCs w:val="22"/>
          <w:vertAlign w:val="subscript"/>
        </w:rPr>
        <w:t xml:space="preserve">i,t</w:t>
      </w:r>
      <w:r>
        <w:rPr>
          <w:rFonts w:ascii="Calibri" w:cs="Calibri" w:eastAsia="Calibri" w:hAnsi="Calibri"/>
          <w:b w:val="false"/>
          <w:bCs w:val="false"/>
          <w:i w:val="false"/>
          <w:iCs w:val="false"/>
          <w:sz w:val="22"/>
          <w:szCs w:val="22"/>
        </w:rPr>
        <w:t xml:space="preserve"> = (Revenue − COGS)</w:t>
      </w:r>
      <w:r>
        <w:rPr>
          <w:rFonts w:ascii="Calibri" w:cs="Calibri" w:eastAsia="Calibri" w:hAnsi="Calibri"/>
          <w:b w:val="false"/>
          <w:bCs w:val="false"/>
          <w:i/>
          <w:iCs/>
          <w:sz w:val="22"/>
          <w:szCs w:val="22"/>
          <w:vertAlign w:val="subscript"/>
        </w:rPr>
        <w:t xml:space="preserve">i,t</w:t>
      </w:r>
      <w:r>
        <w:rPr>
          <w:rFonts w:ascii="Calibri" w:cs="Calibri" w:eastAsia="Calibri" w:hAnsi="Calibri"/>
          <w:b w:val="false"/>
          <w:bCs w:val="false"/>
          <w:i w:val="false"/>
          <w:iCs w:val="false"/>
          <w:sz w:val="22"/>
          <w:szCs w:val="22"/>
        </w:rPr>
        <w:t xml:space="preserve"> / Assets</w:t>
      </w:r>
      <w:r>
        <w:rPr>
          <w:rFonts w:ascii="Calibri" w:cs="Calibri" w:eastAsia="Calibri" w:hAnsi="Calibri"/>
          <w:b w:val="false"/>
          <w:bCs w:val="false"/>
          <w:i/>
          <w:iCs/>
          <w:sz w:val="22"/>
          <w:szCs w:val="22"/>
          <w:vertAlign w:val="subscript"/>
        </w:rPr>
        <w:t xml:space="preserve">i,t</w:t>
      </w:r>
    </w:p>
    <w:p>
      <w:pPr>
        <w:pStyle w:val="Heading2"/>
        <w:spacing w:after="140" w:before="280"/>
      </w:pPr>
      <w:r>
        <w:rPr>
          <w:rFonts w:ascii="Calibri" w:cs="Calibri" w:eastAsia="Calibri" w:hAnsi="Calibri"/>
          <w:b/>
          <w:bCs/>
          <w:color w:val="2E75B6"/>
          <w:sz w:val="26"/>
          <w:szCs w:val="26"/>
        </w:rPr>
        <w:t xml:space="preserve">7.5 Low volatility</w:t>
      </w:r>
    </w:p>
    <w:p>
      <w:pPr>
        <w:spacing w:after="160" w:before="160" w:line="320"/>
        <w:jc w:val="center"/>
      </w:pPr>
      <w:r>
        <w:rPr>
          <w:rFonts w:ascii="Calibri" w:cs="Calibri" w:eastAsia="Calibri" w:hAnsi="Calibri"/>
          <w:b w:val="false"/>
          <w:bCs w:val="false"/>
          <w:i w:val="false"/>
          <w:iCs w:val="false"/>
          <w:sz w:val="22"/>
          <w:szCs w:val="22"/>
        </w:rPr>
        <w:t xml:space="preserve">LV</w:t>
      </w:r>
      <w:r>
        <w:rPr>
          <w:rFonts w:ascii="Calibri" w:cs="Calibri" w:eastAsia="Calibri" w:hAnsi="Calibri"/>
          <w:b w:val="false"/>
          <w:bCs w:val="false"/>
          <w:i/>
          <w:iCs/>
          <w:sz w:val="22"/>
          <w:szCs w:val="22"/>
          <w:vertAlign w:val="subscript"/>
        </w:rPr>
        <w:t xml:space="preserve">i,t</w:t>
      </w:r>
      <w:r>
        <w:rPr>
          <w:rFonts w:ascii="Calibri" w:cs="Calibri" w:eastAsia="Calibri" w:hAnsi="Calibri"/>
          <w:b w:val="false"/>
          <w:bCs w:val="false"/>
          <w:i w:val="false"/>
          <w:iCs w:val="false"/>
          <w:sz w:val="22"/>
          <w:szCs w:val="22"/>
        </w:rPr>
        <w:t xml:space="preserve"> = − std</w:t>
      </w:r>
      <w:r>
        <w:rPr>
          <w:rFonts w:ascii="Calibri" w:cs="Calibri" w:eastAsia="Calibri" w:hAnsi="Calibri"/>
          <w:b w:val="false"/>
          <w:bCs w:val="false"/>
          <w:i/>
          <w:iCs/>
          <w:sz w:val="22"/>
          <w:szCs w:val="22"/>
          <w:vertAlign w:val="subscript"/>
        </w:rPr>
        <w:t xml:space="preserve">60d</w:t>
      </w:r>
      <w:r>
        <w:rPr>
          <w:rFonts w:ascii="Calibri" w:cs="Calibri" w:eastAsia="Calibri" w:hAnsi="Calibri"/>
          <w:b w:val="false"/>
          <w:bCs w:val="false"/>
          <w:i w:val="false"/>
          <w:iCs w:val="false"/>
          <w:sz w:val="22"/>
          <w:szCs w:val="22"/>
        </w:rPr>
        <w:t xml:space="preserve">(r</w:t>
      </w:r>
      <w:r>
        <w:rPr>
          <w:rFonts w:ascii="Calibri" w:cs="Calibri" w:eastAsia="Calibri" w:hAnsi="Calibri"/>
          <w:b w:val="false"/>
          <w:bCs w:val="false"/>
          <w:i/>
          <w:iCs/>
          <w:sz w:val="22"/>
          <w:szCs w:val="22"/>
          <w:vertAlign w:val="subscript"/>
        </w:rPr>
        <w:t xml:space="preserve">i</w:t>
      </w:r>
      <w:r>
        <w:rPr>
          <w:rFonts w:ascii="Calibri" w:cs="Calibri" w:eastAsia="Calibri" w:hAnsi="Calibri"/>
          <w:b w:val="false"/>
          <w:bCs w:val="false"/>
          <w:i w:val="false"/>
          <w:iCs w:val="false"/>
          <w:sz w:val="22"/>
          <w:szCs w:val="22"/>
        </w:rPr>
        <w:t xml:space="preserve">)</w:t>
      </w:r>
    </w:p>
    <w:p>
      <w:pPr>
        <w:pStyle w:val="Heading2"/>
        <w:spacing w:after="140" w:before="280"/>
      </w:pPr>
      <w:r>
        <w:rPr>
          <w:rFonts w:ascii="Calibri" w:cs="Calibri" w:eastAsia="Calibri" w:hAnsi="Calibri"/>
          <w:b/>
          <w:bCs/>
          <w:color w:val="2E75B6"/>
          <w:sz w:val="26"/>
          <w:szCs w:val="26"/>
        </w:rPr>
        <w:t xml:space="preserve">7.6 Liquidity (Amihud illiquidity, negative)</w:t>
      </w:r>
    </w:p>
    <w:p>
      <w:pPr>
        <w:spacing w:after="160" w:before="160" w:line="320"/>
        <w:jc w:val="center"/>
      </w:pPr>
      <w:r>
        <w:rPr>
          <w:rFonts w:ascii="Calibri" w:cs="Calibri" w:eastAsia="Calibri" w:hAnsi="Calibri"/>
          <w:b w:val="false"/>
          <w:bCs w:val="false"/>
          <w:i w:val="false"/>
          <w:iCs w:val="false"/>
          <w:sz w:val="22"/>
          <w:szCs w:val="22"/>
        </w:rPr>
        <w:t xml:space="preserve">ILQ</w:t>
      </w:r>
      <w:r>
        <w:rPr>
          <w:rFonts w:ascii="Calibri" w:cs="Calibri" w:eastAsia="Calibri" w:hAnsi="Calibri"/>
          <w:b w:val="false"/>
          <w:bCs w:val="false"/>
          <w:i/>
          <w:iCs/>
          <w:sz w:val="22"/>
          <w:szCs w:val="22"/>
          <w:vertAlign w:val="subscript"/>
        </w:rPr>
        <w:t xml:space="preserve">i,t</w:t>
      </w:r>
      <w:r>
        <w:rPr>
          <w:rFonts w:ascii="Calibri" w:cs="Calibri" w:eastAsia="Calibri" w:hAnsi="Calibri"/>
          <w:b w:val="false"/>
          <w:bCs w:val="false"/>
          <w:i w:val="false"/>
          <w:iCs w:val="false"/>
          <w:sz w:val="22"/>
          <w:szCs w:val="22"/>
        </w:rPr>
        <w:t xml:space="preserve"> = − (1/21) Σ</w:t>
      </w:r>
      <w:r>
        <w:rPr>
          <w:rFonts w:ascii="Calibri" w:cs="Calibri" w:eastAsia="Calibri" w:hAnsi="Calibri"/>
          <w:b w:val="false"/>
          <w:bCs w:val="false"/>
          <w:i/>
          <w:iCs/>
          <w:sz w:val="22"/>
          <w:szCs w:val="22"/>
          <w:vertAlign w:val="subscript"/>
        </w:rPr>
        <w:t xml:space="preserve">s=t−20</w:t>
      </w:r>
      <w:r>
        <w:rPr>
          <w:rFonts w:ascii="Calibri" w:cs="Calibri" w:eastAsia="Calibri" w:hAnsi="Calibri"/>
          <w:b w:val="false"/>
          <w:bCs w:val="false"/>
          <w:i w:val="false"/>
          <w:iCs w:val="false"/>
          <w:sz w:val="22"/>
          <w:szCs w:val="22"/>
          <w:vertAlign w:val="superscript"/>
        </w:rPr>
        <w:t xml:space="preserve">t</w:t>
      </w:r>
      <w:r>
        <w:rPr>
          <w:rFonts w:ascii="Calibri" w:cs="Calibri" w:eastAsia="Calibri" w:hAnsi="Calibri"/>
          <w:b w:val="false"/>
          <w:bCs w:val="false"/>
          <w:i w:val="false"/>
          <w:iCs w:val="false"/>
          <w:sz w:val="22"/>
          <w:szCs w:val="22"/>
        </w:rPr>
        <w:t xml:space="preserve"> |r</w:t>
      </w:r>
      <w:r>
        <w:rPr>
          <w:rFonts w:ascii="Calibri" w:cs="Calibri" w:eastAsia="Calibri" w:hAnsi="Calibri"/>
          <w:b w:val="false"/>
          <w:bCs w:val="false"/>
          <w:i/>
          <w:iCs/>
          <w:sz w:val="22"/>
          <w:szCs w:val="22"/>
          <w:vertAlign w:val="subscript"/>
        </w:rPr>
        <w:t xml:space="preserve">i,s</w:t>
      </w:r>
      <w:r>
        <w:rPr>
          <w:rFonts w:ascii="Calibri" w:cs="Calibri" w:eastAsia="Calibri" w:hAnsi="Calibri"/>
          <w:b w:val="false"/>
          <w:bCs w:val="false"/>
          <w:i w:val="false"/>
          <w:iCs w:val="false"/>
          <w:sz w:val="22"/>
          <w:szCs w:val="22"/>
        </w:rPr>
        <w:t xml:space="preserve">| / (P</w:t>
      </w:r>
      <w:r>
        <w:rPr>
          <w:rFonts w:ascii="Calibri" w:cs="Calibri" w:eastAsia="Calibri" w:hAnsi="Calibri"/>
          <w:b w:val="false"/>
          <w:bCs w:val="false"/>
          <w:i/>
          <w:iCs/>
          <w:sz w:val="22"/>
          <w:szCs w:val="22"/>
          <w:vertAlign w:val="subscript"/>
        </w:rPr>
        <w:t xml:space="preserve">i,s</w:t>
      </w:r>
      <w:r>
        <w:rPr>
          <w:rFonts w:ascii="Calibri" w:cs="Calibri" w:eastAsia="Calibri" w:hAnsi="Calibri"/>
          <w:b w:val="false"/>
          <w:bCs w:val="false"/>
          <w:i w:val="false"/>
          <w:iCs w:val="false"/>
          <w:sz w:val="22"/>
          <w:szCs w:val="22"/>
        </w:rPr>
        <w:t xml:space="preserve"> · Vol</w:t>
      </w:r>
      <w:r>
        <w:rPr>
          <w:rFonts w:ascii="Calibri" w:cs="Calibri" w:eastAsia="Calibri" w:hAnsi="Calibri"/>
          <w:b w:val="false"/>
          <w:bCs w:val="false"/>
          <w:i/>
          <w:iCs/>
          <w:sz w:val="22"/>
          <w:szCs w:val="22"/>
          <w:vertAlign w:val="subscript"/>
        </w:rPr>
        <w:t xml:space="preserve">i,s</w:t>
      </w:r>
      <w:r>
        <w:rPr>
          <w:rFonts w:ascii="Calibri" w:cs="Calibri" w:eastAsia="Calibri" w:hAnsi="Calibri"/>
          <w:b w:val="false"/>
          <w:bCs w:val="false"/>
          <w:i w:val="false"/>
          <w:iCs w:val="false"/>
          <w:sz w:val="22"/>
          <w:szCs w:val="22"/>
        </w:rPr>
        <w:t xml:space="preserve">)</w:t>
      </w:r>
    </w:p>
    <w:p>
      <w:pPr>
        <w:spacing w:after="120" w:line="300"/>
      </w:pPr>
      <w:r>
        <w:rPr>
          <w:rFonts w:ascii="Calibri" w:cs="Calibri" w:eastAsia="Calibri" w:hAnsi="Calibri"/>
          <w:sz w:val="22"/>
          <w:szCs w:val="22"/>
        </w:rPr>
        <w:t xml:space="preserve">V1 enumerates approximately 40 such factors spanning value, momentum, quality, profitability, investment, volatility, liquidity, reversal, earnings quality, and accruals. The full list, with exact formulas, is maintained as a versioned YAML file in the repository.</w:t>
      </w:r>
    </w:p>
    <w:p>
      <w:pPr>
        <w:pStyle w:val="Heading1"/>
        <w:spacing w:after="180" w:before="360"/>
      </w:pPr>
      <w:r>
        <w:rPr>
          <w:rFonts w:ascii="Calibri" w:cs="Calibri" w:eastAsia="Calibri" w:hAnsi="Calibri"/>
          <w:b/>
          <w:bCs/>
          <w:color w:val="1F3864"/>
          <w:sz w:val="32"/>
          <w:szCs w:val="32"/>
        </w:rPr>
        <w:t xml:space="preserve">8. Barra-lite Risk Model</w:t>
      </w:r>
    </w:p>
    <w:p>
      <w:pPr>
        <w:pStyle w:val="Heading2"/>
        <w:spacing w:after="140" w:before="280"/>
      </w:pPr>
      <w:r>
        <w:rPr>
          <w:rFonts w:ascii="Calibri" w:cs="Calibri" w:eastAsia="Calibri" w:hAnsi="Calibri"/>
          <w:b/>
          <w:bCs/>
          <w:color w:val="2E75B6"/>
          <w:sz w:val="26"/>
          <w:szCs w:val="26"/>
        </w:rPr>
        <w:t xml:space="preserve">8.1 Factor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w:t>
            </w:r>
          </w:p>
        </w:tc>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Factor</w:t>
            </w:r>
          </w:p>
        </w:tc>
        <w:tc>
          <w:tcPr>
            <w:tcW w:type="dxa" w:w="6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Exposure definition (pre-standardization)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Country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constant 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Size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log(mcap)</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Beta</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252-day OLS β vs CRSP value-weighted market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Momentum</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log(P_{t−21}/P_{t−252})</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Residual volatility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std of market-residuals over 60 days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Liquidity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log(20-day dollar ADV)</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7</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Earnings yield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trailing-12-month E/P</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8</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Value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B/P</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Growth</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5-year sales growth</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Leverage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debt / (debt + equity)</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11–34</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Industry (24 GICS groups)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0/1 indicator</w:t>
            </w:r>
          </w:p>
        </w:tc>
      </w:tr>
    </w:tbl>
    <w:p>
      <w:pPr>
        <w:pStyle w:val="Heading2"/>
        <w:spacing w:after="140" w:before="280"/>
      </w:pPr>
      <w:r>
        <w:rPr>
          <w:rFonts w:ascii="Calibri" w:cs="Calibri" w:eastAsia="Calibri" w:hAnsi="Calibri"/>
          <w:b/>
          <w:bCs/>
          <w:color w:val="2E75B6"/>
          <w:sz w:val="26"/>
          <w:szCs w:val="26"/>
        </w:rPr>
        <w:t xml:space="preserve">8.2 Exposure processing</w:t>
      </w:r>
    </w:p>
    <w:p>
      <w:pPr>
        <w:spacing w:after="120" w:line="300"/>
      </w:pPr>
      <w:r>
        <w:rPr>
          <w:rFonts w:ascii="Calibri" w:cs="Calibri" w:eastAsia="Calibri" w:hAnsi="Calibri"/>
          <w:sz w:val="22"/>
          <w:szCs w:val="22"/>
        </w:rPr>
        <w:t xml:space="preserve">At each date: (1) compute raw exposure; (2) winsorize at ±3 cross-sectional σ; (3) cross-sectionally standardize to zero mean, unit σ using square-root-market-cap weights; (4) orthogonalize Beta against Size (as in USE4) to reduce collinearity.</w:t>
      </w:r>
    </w:p>
    <w:p>
      <w:pPr>
        <w:pStyle w:val="Heading2"/>
        <w:spacing w:after="140" w:before="280"/>
      </w:pPr>
      <w:r>
        <w:rPr>
          <w:rFonts w:ascii="Calibri" w:cs="Calibri" w:eastAsia="Calibri" w:hAnsi="Calibri"/>
          <w:b/>
          <w:bCs/>
          <w:color w:val="2E75B6"/>
          <w:sz w:val="26"/>
          <w:szCs w:val="26"/>
        </w:rPr>
        <w:t xml:space="preserve">8.3 Estimation diagnostics</w:t>
      </w:r>
    </w:p>
    <w:p>
      <w:pPr>
        <w:spacing w:after="120" w:line="300"/>
      </w:pPr>
      <w:r>
        <w:rPr>
          <w:rFonts w:ascii="Calibri" w:cs="Calibri" w:eastAsia="Calibri" w:hAnsi="Calibri"/>
          <w:sz w:val="22"/>
          <w:szCs w:val="22"/>
        </w:rPr>
        <w:t xml:space="preserve">Each cross-sectional regression reports R², factor-return t-statistics, and the distribution of specific residuals. V1 requires mean R² ≥ 0.25 and lag-1 residual autocorrelation |ρ| ≤ 0.05 to accept the model on any given sub-sample.</w:t>
      </w:r>
    </w:p>
    <w:p>
      <w:pPr>
        <w:pStyle w:val="Heading1"/>
        <w:spacing w:after="180" w:before="360"/>
      </w:pPr>
      <w:r>
        <w:rPr>
          <w:rFonts w:ascii="Calibri" w:cs="Calibri" w:eastAsia="Calibri" w:hAnsi="Calibri"/>
          <w:b/>
          <w:bCs/>
          <w:color w:val="1F3864"/>
          <w:sz w:val="32"/>
          <w:szCs w:val="32"/>
        </w:rPr>
        <w:t xml:space="preserve">9. Cost, Borrow, and Capacity Model</w:t>
      </w:r>
    </w:p>
    <w:p>
      <w:pPr>
        <w:spacing w:after="120" w:line="300"/>
      </w:pPr>
      <w:r>
        <w:rPr>
          <w:rFonts w:ascii="Calibri" w:cs="Calibri" w:eastAsia="Calibri" w:hAnsi="Calibri"/>
          <w:sz w:val="22"/>
          <w:szCs w:val="22"/>
        </w:rPr>
        <w:t xml:space="preserve">Total trading cost for a rebalance from w_{t−1} to w_t is the sum of three components applied to the dollar-notional trade in each name:</w:t>
      </w:r>
    </w:p>
    <w:p>
      <w:pPr>
        <w:spacing w:after="160" w:before="160" w:line="320"/>
        <w:jc w:val="center"/>
      </w:pPr>
      <w:r>
        <w:rPr>
          <w:rFonts w:ascii="Calibri" w:cs="Calibri" w:eastAsia="Calibri" w:hAnsi="Calibri"/>
          <w:b w:val="false"/>
          <w:bCs w:val="false"/>
          <w:i w:val="false"/>
          <w:iCs w:val="false"/>
          <w:sz w:val="22"/>
          <w:szCs w:val="22"/>
        </w:rPr>
        <w:t xml:space="preserve">TC</w:t>
      </w:r>
      <w:r>
        <w:rPr>
          <w:rFonts w:ascii="Calibri" w:cs="Calibri" w:eastAsia="Calibri" w:hAnsi="Calibri"/>
          <w:b w:val="false"/>
          <w:bCs w:val="false"/>
          <w:i/>
          <w:iCs/>
          <w:sz w:val="22"/>
          <w:szCs w:val="22"/>
          <w:vertAlign w:val="subscript"/>
        </w:rPr>
        <w:t xml:space="preserve">i,t</w:t>
      </w:r>
      <w:r>
        <w:rPr>
          <w:rFonts w:ascii="Calibri" w:cs="Calibri" w:eastAsia="Calibri" w:hAnsi="Calibri"/>
          <w:b w:val="false"/>
          <w:bCs w:val="false"/>
          <w:i w:val="false"/>
          <w:iCs w:val="false"/>
          <w:sz w:val="22"/>
          <w:szCs w:val="22"/>
        </w:rPr>
        <w:t xml:space="preserve"> = s</w:t>
      </w:r>
      <w:r>
        <w:rPr>
          <w:rFonts w:ascii="Calibri" w:cs="Calibri" w:eastAsia="Calibri" w:hAnsi="Calibri"/>
          <w:b w:val="false"/>
          <w:bCs w:val="false"/>
          <w:i/>
          <w:iCs/>
          <w:sz w:val="22"/>
          <w:szCs w:val="22"/>
          <w:vertAlign w:val="subscript"/>
        </w:rPr>
        <w:t xml:space="preserve">i,t</w:t>
      </w:r>
      <w:r>
        <w:rPr>
          <w:rFonts w:ascii="Calibri" w:cs="Calibri" w:eastAsia="Calibri" w:hAnsi="Calibri"/>
          <w:b w:val="false"/>
          <w:bCs w:val="false"/>
          <w:i w:val="false"/>
          <w:iCs w:val="false"/>
          <w:sz w:val="22"/>
          <w:szCs w:val="22"/>
        </w:rPr>
        <w:t xml:space="preserve"> · |Δw</w:t>
      </w:r>
      <w:r>
        <w:rPr>
          <w:rFonts w:ascii="Calibri" w:cs="Calibri" w:eastAsia="Calibri" w:hAnsi="Calibri"/>
          <w:b w:val="false"/>
          <w:bCs w:val="false"/>
          <w:i/>
          <w:iCs/>
          <w:sz w:val="22"/>
          <w:szCs w:val="22"/>
          <w:vertAlign w:val="subscript"/>
        </w:rPr>
        <w:t xml:space="preserve">i,t</w:t>
      </w:r>
      <w:r>
        <w:rPr>
          <w:rFonts w:ascii="Calibri" w:cs="Calibri" w:eastAsia="Calibri" w:hAnsi="Calibri"/>
          <w:b w:val="false"/>
          <w:bCs w:val="false"/>
          <w:i w:val="false"/>
          <w:iCs w:val="false"/>
          <w:sz w:val="22"/>
          <w:szCs w:val="22"/>
        </w:rPr>
        <w:t xml:space="preserve">| + η · ( |Δw</w:t>
      </w:r>
      <w:r>
        <w:rPr>
          <w:rFonts w:ascii="Calibri" w:cs="Calibri" w:eastAsia="Calibri" w:hAnsi="Calibri"/>
          <w:b w:val="false"/>
          <w:bCs w:val="false"/>
          <w:i/>
          <w:iCs/>
          <w:sz w:val="22"/>
          <w:szCs w:val="22"/>
          <w:vertAlign w:val="subscript"/>
        </w:rPr>
        <w:t xml:space="preserve">i,t</w:t>
      </w:r>
      <w:r>
        <w:rPr>
          <w:rFonts w:ascii="Calibri" w:cs="Calibri" w:eastAsia="Calibri" w:hAnsi="Calibri"/>
          <w:b w:val="false"/>
          <w:bCs w:val="false"/>
          <w:i w:val="false"/>
          <w:iCs w:val="false"/>
          <w:sz w:val="22"/>
          <w:szCs w:val="22"/>
        </w:rPr>
        <w:t xml:space="preserve">| · GMV / ADV</w:t>
      </w:r>
      <w:r>
        <w:rPr>
          <w:rFonts w:ascii="Calibri" w:cs="Calibri" w:eastAsia="Calibri" w:hAnsi="Calibri"/>
          <w:b w:val="false"/>
          <w:bCs w:val="false"/>
          <w:i/>
          <w:iCs/>
          <w:sz w:val="22"/>
          <w:szCs w:val="22"/>
          <w:vertAlign w:val="subscript"/>
        </w:rPr>
        <w:t xml:space="preserve">i,t</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vertAlign w:val="superscript"/>
        </w:rPr>
        <w:t xml:space="preserve">3/2</w:t>
      </w:r>
      <w:r>
        <w:rPr>
          <w:rFonts w:ascii="Calibri" w:cs="Calibri" w:eastAsia="Calibri" w:hAnsi="Calibri"/>
          <w:b w:val="false"/>
          <w:bCs w:val="false"/>
          <w:i w:val="false"/>
          <w:iCs w:val="false"/>
          <w:sz w:val="22"/>
          <w:szCs w:val="22"/>
        </w:rPr>
        <w:t xml:space="preserve"> + b</w:t>
      </w:r>
      <w:r>
        <w:rPr>
          <w:rFonts w:ascii="Calibri" w:cs="Calibri" w:eastAsia="Calibri" w:hAnsi="Calibri"/>
          <w:b w:val="false"/>
          <w:bCs w:val="false"/>
          <w:i/>
          <w:iCs/>
          <w:sz w:val="22"/>
          <w:szCs w:val="22"/>
          <w:vertAlign w:val="subscript"/>
        </w:rPr>
        <w:t xml:space="preserve">i,t</w:t>
      </w:r>
      <w:r>
        <w:rPr>
          <w:rFonts w:ascii="Calibri" w:cs="Calibri" w:eastAsia="Calibri" w:hAnsi="Calibri"/>
          <w:b w:val="false"/>
          <w:bCs w:val="false"/>
          <w:i w:val="false"/>
          <w:iCs w:val="false"/>
          <w:sz w:val="22"/>
          <w:szCs w:val="22"/>
        </w:rPr>
        <w:t xml:space="preserve"> · max( −w</w:t>
      </w:r>
      <w:r>
        <w:rPr>
          <w:rFonts w:ascii="Calibri" w:cs="Calibri" w:eastAsia="Calibri" w:hAnsi="Calibri"/>
          <w:b w:val="false"/>
          <w:bCs w:val="false"/>
          <w:i/>
          <w:iCs/>
          <w:sz w:val="22"/>
          <w:szCs w:val="22"/>
          <w:vertAlign w:val="subscript"/>
        </w:rPr>
        <w:t xml:space="preserve">i,t</w:t>
      </w:r>
      <w:r>
        <w:rPr>
          <w:rFonts w:ascii="Calibri" w:cs="Calibri" w:eastAsia="Calibri" w:hAnsi="Calibri"/>
          <w:b w:val="false"/>
          <w:bCs w:val="false"/>
          <w:i w:val="false"/>
          <w:iCs w:val="false"/>
          <w:sz w:val="22"/>
          <w:szCs w:val="22"/>
        </w:rPr>
        <w:t xml:space="preserve"> , 0 ) · Δt</w:t>
      </w:r>
    </w:p>
    <w:p>
      <w:pPr>
        <w:pStyle w:val="Heading3"/>
        <w:spacing w:after="100" w:before="220"/>
      </w:pPr>
      <w:r>
        <w:rPr>
          <w:rFonts w:ascii="Calibri" w:cs="Calibri" w:eastAsia="Calibri" w:hAnsi="Calibri"/>
          <w:b/>
          <w:bCs/>
          <w:color w:val="333333"/>
          <w:sz w:val="23"/>
          <w:szCs w:val="23"/>
        </w:rPr>
        <w:t xml:space="preserve">Component parameters used in V1</w:t>
      </w:r>
    </w:p>
    <w:p>
      <w:pPr>
        <w:pStyle w:val="ListParagraph"/>
        <w:numPr>
          <w:ilvl w:val="0"/>
          <w:numId w:val="2"/>
        </w:numPr>
        <w:spacing w:after="80" w:line="300"/>
      </w:pPr>
      <w:r>
        <w:rPr>
          <w:rFonts w:ascii="Calibri" w:cs="Calibri" w:eastAsia="Calibri" w:hAnsi="Calibri"/>
          <w:b w:val="false"/>
          <w:bCs w:val="false"/>
          <w:i w:val="false"/>
          <w:iCs w:val="false"/>
          <w:sz w:val="22"/>
          <w:szCs w:val="22"/>
        </w:rPr>
        <w:t xml:space="preserve">Half-spread s</w:t>
      </w:r>
      <w:r>
        <w:rPr>
          <w:rFonts w:ascii="Calibri" w:cs="Calibri" w:eastAsia="Calibri" w:hAnsi="Calibri"/>
          <w:b w:val="false"/>
          <w:bCs w:val="false"/>
          <w:i/>
          <w:iCs/>
          <w:sz w:val="22"/>
          <w:szCs w:val="22"/>
          <w:vertAlign w:val="subscript"/>
        </w:rPr>
        <w:t xml:space="preserve">i,t</w:t>
      </w:r>
      <w:r>
        <w:rPr>
          <w:rFonts w:ascii="Calibri" w:cs="Calibri" w:eastAsia="Calibri" w:hAnsi="Calibri"/>
          <w:b w:val="false"/>
          <w:bCs w:val="false"/>
          <w:i w:val="false"/>
          <w:iCs w:val="false"/>
          <w:sz w:val="22"/>
          <w:szCs w:val="22"/>
        </w:rPr>
        <w:t xml:space="preserve">: daily estimate from Corwin–Schultz high/low spread estimator; floor at 2 bp for large caps, 5 bp for mid caps.</w:t>
      </w:r>
    </w:p>
    <w:p>
      <w:pPr>
        <w:pStyle w:val="ListParagraph"/>
        <w:numPr>
          <w:ilvl w:val="0"/>
          <w:numId w:val="2"/>
        </w:numPr>
        <w:spacing w:after="80" w:line="300"/>
      </w:pPr>
      <w:r>
        <w:rPr>
          <w:rFonts w:ascii="Calibri" w:cs="Calibri" w:eastAsia="Calibri" w:hAnsi="Calibri"/>
          <w:b w:val="false"/>
          <w:bCs w:val="false"/>
          <w:i w:val="false"/>
          <w:iCs w:val="false"/>
          <w:sz w:val="22"/>
          <w:szCs w:val="22"/>
        </w:rPr>
        <w:t xml:space="preserve">Impact coefficient η: 0.10, calibrated to Almgren et al. (2005) for US equities; the exponent 3/2 follows the square-root-law literature.</w:t>
      </w:r>
    </w:p>
    <w:p>
      <w:pPr>
        <w:pStyle w:val="ListParagraph"/>
        <w:numPr>
          <w:ilvl w:val="0"/>
          <w:numId w:val="2"/>
        </w:numPr>
        <w:spacing w:after="80" w:line="300"/>
      </w:pPr>
      <w:r>
        <w:rPr>
          <w:rFonts w:ascii="Calibri" w:cs="Calibri" w:eastAsia="Calibri" w:hAnsi="Calibri"/>
          <w:b w:val="false"/>
          <w:bCs w:val="false"/>
          <w:i w:val="false"/>
          <w:iCs w:val="false"/>
          <w:sz w:val="22"/>
          <w:szCs w:val="22"/>
        </w:rPr>
        <w:t xml:space="preserve">Borrow fee b</w:t>
      </w:r>
      <w:r>
        <w:rPr>
          <w:rFonts w:ascii="Calibri" w:cs="Calibri" w:eastAsia="Calibri" w:hAnsi="Calibri"/>
          <w:b w:val="false"/>
          <w:bCs w:val="false"/>
          <w:i/>
          <w:iCs/>
          <w:sz w:val="22"/>
          <w:szCs w:val="22"/>
          <w:vertAlign w:val="subscript"/>
        </w:rPr>
        <w:t xml:space="preserve">i,t</w:t>
      </w:r>
      <w:r>
        <w:rPr>
          <w:rFonts w:ascii="Calibri" w:cs="Calibri" w:eastAsia="Calibri" w:hAnsi="Calibri"/>
          <w:b w:val="false"/>
          <w:bCs w:val="false"/>
          <w:i w:val="false"/>
          <w:iCs w:val="false"/>
          <w:sz w:val="22"/>
          <w:szCs w:val="22"/>
        </w:rPr>
        <w:t xml:space="preserve">: tiered by hard-to-borrow class — 25 bp/yr general collateral, 150 bp/yr for small caps, 500 bp/yr for HTB flagged names. Absent a live stock-loan feed, V1 applies classification by mcap decile.</w:t>
      </w:r>
    </w:p>
    <w:p>
      <w:pPr>
        <w:pStyle w:val="Heading3"/>
        <w:spacing w:after="100" w:before="220"/>
      </w:pPr>
      <w:r>
        <w:rPr>
          <w:rFonts w:ascii="Calibri" w:cs="Calibri" w:eastAsia="Calibri" w:hAnsi="Calibri"/>
          <w:b/>
          <w:bCs/>
          <w:color w:val="333333"/>
          <w:sz w:val="23"/>
          <w:szCs w:val="23"/>
        </w:rPr>
        <w:t xml:space="preserve">Capacity cap</w:t>
      </w:r>
    </w:p>
    <w:p>
      <w:pPr>
        <w:spacing w:after="120" w:line="300"/>
      </w:pPr>
      <w:r>
        <w:rPr>
          <w:rFonts w:ascii="Calibri" w:cs="Calibri" w:eastAsia="Calibri" w:hAnsi="Calibri"/>
          <w:b w:val="false"/>
          <w:bCs w:val="false"/>
          <w:i w:val="false"/>
          <w:iCs w:val="false"/>
          <w:sz w:val="22"/>
          <w:szCs w:val="22"/>
        </w:rPr>
        <w:t xml:space="preserve">Position sizes must satisfy |w</w:t>
      </w:r>
      <w:r>
        <w:rPr>
          <w:rFonts w:ascii="Calibri" w:cs="Calibri" w:eastAsia="Calibri" w:hAnsi="Calibri"/>
          <w:b w:val="false"/>
          <w:bCs w:val="false"/>
          <w:i/>
          <w:iCs/>
          <w:sz w:val="22"/>
          <w:szCs w:val="22"/>
          <w:vertAlign w:val="subscript"/>
        </w:rPr>
        <w:t xml:space="preserve">i,t</w:t>
      </w:r>
      <w:r>
        <w:rPr>
          <w:rFonts w:ascii="Calibri" w:cs="Calibri" w:eastAsia="Calibri" w:hAnsi="Calibri"/>
          <w:b w:val="false"/>
          <w:bCs w:val="false"/>
          <w:i w:val="false"/>
          <w:iCs w:val="false"/>
          <w:sz w:val="22"/>
          <w:szCs w:val="22"/>
        </w:rPr>
        <w:t xml:space="preserve">| ≤ min( w</w:t>
      </w:r>
      <w:r>
        <w:rPr>
          <w:rFonts w:ascii="Calibri" w:cs="Calibri" w:eastAsia="Calibri" w:hAnsi="Calibri"/>
          <w:b w:val="false"/>
          <w:bCs w:val="false"/>
          <w:i/>
          <w:iCs/>
          <w:sz w:val="22"/>
          <w:szCs w:val="22"/>
          <w:vertAlign w:val="subscript"/>
        </w:rPr>
        <w:t xml:space="preserve">max</w:t>
      </w:r>
      <w:r>
        <w:rPr>
          <w:rFonts w:ascii="Calibri" w:cs="Calibri" w:eastAsia="Calibri" w:hAnsi="Calibri"/>
          <w:b w:val="false"/>
          <w:bCs w:val="false"/>
          <w:i w:val="false"/>
          <w:iCs w:val="false"/>
          <w:sz w:val="22"/>
          <w:szCs w:val="22"/>
        </w:rPr>
        <w:t xml:space="preserve"> , p</w:t>
      </w:r>
      <w:r>
        <w:rPr>
          <w:rFonts w:ascii="Calibri" w:cs="Calibri" w:eastAsia="Calibri" w:hAnsi="Calibri"/>
          <w:b w:val="false"/>
          <w:bCs w:val="false"/>
          <w:i/>
          <w:iCs/>
          <w:sz w:val="22"/>
          <w:szCs w:val="22"/>
          <w:vertAlign w:val="subscript"/>
        </w:rPr>
        <w:t xml:space="preserve">ADV</w:t>
      </w:r>
      <w:r>
        <w:rPr>
          <w:rFonts w:ascii="Calibri" w:cs="Calibri" w:eastAsia="Calibri" w:hAnsi="Calibri"/>
          <w:b w:val="false"/>
          <w:bCs w:val="false"/>
          <w:i w:val="false"/>
          <w:iCs w:val="false"/>
          <w:sz w:val="22"/>
          <w:szCs w:val="22"/>
        </w:rPr>
        <w:t xml:space="preserve"> · ADV</w:t>
      </w:r>
      <w:r>
        <w:rPr>
          <w:rFonts w:ascii="Calibri" w:cs="Calibri" w:eastAsia="Calibri" w:hAnsi="Calibri"/>
          <w:b w:val="false"/>
          <w:bCs w:val="false"/>
          <w:i/>
          <w:iCs/>
          <w:sz w:val="22"/>
          <w:szCs w:val="22"/>
          <w:vertAlign w:val="subscript"/>
        </w:rPr>
        <w:t xml:space="preserve">i,t</w:t>
      </w:r>
      <w:r>
        <w:rPr>
          <w:rFonts w:ascii="Calibri" w:cs="Calibri" w:eastAsia="Calibri" w:hAnsi="Calibri"/>
          <w:b w:val="false"/>
          <w:bCs w:val="false"/>
          <w:i w:val="false"/>
          <w:iCs w:val="false"/>
          <w:sz w:val="22"/>
          <w:szCs w:val="22"/>
        </w:rPr>
        <w:t xml:space="preserve"> / GMV ) with w</w:t>
      </w:r>
      <w:r>
        <w:rPr>
          <w:rFonts w:ascii="Calibri" w:cs="Calibri" w:eastAsia="Calibri" w:hAnsi="Calibri"/>
          <w:b w:val="false"/>
          <w:bCs w:val="false"/>
          <w:i/>
          <w:iCs/>
          <w:sz w:val="22"/>
          <w:szCs w:val="22"/>
          <w:vertAlign w:val="subscript"/>
        </w:rPr>
        <w:t xml:space="preserve">max</w:t>
      </w:r>
      <w:r>
        <w:rPr>
          <w:rFonts w:ascii="Calibri" w:cs="Calibri" w:eastAsia="Calibri" w:hAnsi="Calibri"/>
          <w:b w:val="false"/>
          <w:bCs w:val="false"/>
          <w:i w:val="false"/>
          <w:iCs w:val="false"/>
          <w:sz w:val="22"/>
          <w:szCs w:val="22"/>
        </w:rPr>
        <w:t xml:space="preserve"> = 2% and p</w:t>
      </w:r>
      <w:r>
        <w:rPr>
          <w:rFonts w:ascii="Calibri" w:cs="Calibri" w:eastAsia="Calibri" w:hAnsi="Calibri"/>
          <w:b w:val="false"/>
          <w:bCs w:val="false"/>
          <w:i/>
          <w:iCs/>
          <w:sz w:val="22"/>
          <w:szCs w:val="22"/>
          <w:vertAlign w:val="subscript"/>
        </w:rPr>
        <w:t xml:space="preserve">ADV</w:t>
      </w:r>
      <w:r>
        <w:rPr>
          <w:rFonts w:ascii="Calibri" w:cs="Calibri" w:eastAsia="Calibri" w:hAnsi="Calibri"/>
          <w:b w:val="false"/>
          <w:bCs w:val="false"/>
          <w:i w:val="false"/>
          <w:iCs w:val="false"/>
          <w:sz w:val="22"/>
          <w:szCs w:val="22"/>
        </w:rPr>
        <w:t xml:space="preserve"> = 5% (i.e. no single name trades more than 5% of its 20-day ADV on any rebalance).</w:t>
      </w:r>
    </w:p>
    <w:p>
      <w:pPr>
        <w:pStyle w:val="Heading1"/>
        <w:spacing w:after="180" w:before="360"/>
      </w:pPr>
      <w:r>
        <w:rPr>
          <w:rFonts w:ascii="Calibri" w:cs="Calibri" w:eastAsia="Calibri" w:hAnsi="Calibri"/>
          <w:b/>
          <w:bCs/>
          <w:color w:val="1F3864"/>
          <w:sz w:val="32"/>
          <w:szCs w:val="32"/>
        </w:rPr>
        <w:t xml:space="preserve">10. Portfolio Construction (V1)</w:t>
      </w:r>
    </w:p>
    <w:p>
      <w:pPr>
        <w:spacing w:after="120" w:line="300"/>
      </w:pPr>
      <w:r>
        <w:rPr>
          <w:rFonts w:ascii="Calibri" w:cs="Calibri" w:eastAsia="Calibri" w:hAnsi="Calibri"/>
          <w:sz w:val="22"/>
          <w:szCs w:val="22"/>
        </w:rPr>
        <w:t xml:space="preserve">The V1 optimizer is a convex quadratic program with a linear turnover penalty:</w:t>
      </w:r>
    </w:p>
    <w:p>
      <w:pPr>
        <w:spacing w:after="160" w:before="160" w:line="320"/>
        <w:jc w:val="center"/>
      </w:pPr>
      <w:r>
        <w:rPr>
          <w:rFonts w:ascii="Calibri" w:cs="Calibri" w:eastAsia="Calibri" w:hAnsi="Calibri"/>
          <w:b w:val="false"/>
          <w:bCs w:val="false"/>
          <w:i w:val="false"/>
          <w:iCs w:val="false"/>
          <w:sz w:val="22"/>
          <w:szCs w:val="22"/>
        </w:rPr>
        <w:t xml:space="preserve">max</w:t>
      </w:r>
      <w:r>
        <w:rPr>
          <w:rFonts w:ascii="Calibri" w:cs="Calibri" w:eastAsia="Calibri" w:hAnsi="Calibri"/>
          <w:b w:val="false"/>
          <w:bCs w:val="false"/>
          <w:i/>
          <w:iCs/>
          <w:sz w:val="22"/>
          <w:szCs w:val="22"/>
          <w:vertAlign w:val="subscript"/>
        </w:rPr>
        <w:t xml:space="preserve">w</w:t>
      </w:r>
      <w:r>
        <w:rPr>
          <w:rFonts w:ascii="Calibri" w:cs="Calibri" w:eastAsia="Calibri" w:hAnsi="Calibri"/>
          <w:b w:val="false"/>
          <w:bCs w:val="false"/>
          <w:i w:val="false"/>
          <w:iCs w:val="false"/>
          <w:sz w:val="22"/>
          <w:szCs w:val="22"/>
        </w:rPr>
        <w:t xml:space="preserve">   w</w:t>
      </w:r>
      <w:r>
        <w:rPr>
          <w:rFonts w:ascii="Calibri" w:cs="Calibri" w:eastAsia="Calibri" w:hAnsi="Calibri"/>
          <w:b w:val="false"/>
          <w:bCs w:val="false"/>
          <w:i w:val="false"/>
          <w:iCs w:val="false"/>
          <w:sz w:val="22"/>
          <w:szCs w:val="22"/>
        </w:rPr>
        <w:t xml:space="preserve">ᵀ α̂</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rPr>
        <w:t xml:space="preserve">  −  (λ/2) · w</w:t>
      </w:r>
      <w:r>
        <w:rPr>
          <w:rFonts w:ascii="Calibri" w:cs="Calibri" w:eastAsia="Calibri" w:hAnsi="Calibri"/>
          <w:b w:val="false"/>
          <w:bCs w:val="false"/>
          <w:i w:val="false"/>
          <w:iCs w:val="false"/>
          <w:sz w:val="22"/>
          <w:szCs w:val="22"/>
        </w:rPr>
        <w:t xml:space="preserve">ᵀ Σ</w:t>
      </w:r>
      <w:r>
        <w:rPr>
          <w:rFonts w:ascii="Calibri" w:cs="Calibri" w:eastAsia="Calibri" w:hAnsi="Calibri"/>
          <w:b w:val="false"/>
          <w:bCs w:val="false"/>
          <w:i/>
          <w:iCs/>
          <w:sz w:val="22"/>
          <w:szCs w:val="22"/>
          <w:vertAlign w:val="subscript"/>
        </w:rPr>
        <w:t xml:space="preserve">t</w:t>
      </w:r>
      <w:r>
        <w:rPr>
          <w:rFonts w:ascii="Calibri" w:cs="Calibri" w:eastAsia="Calibri" w:hAnsi="Calibri"/>
          <w:b w:val="false"/>
          <w:bCs w:val="false"/>
          <w:i w:val="false"/>
          <w:iCs w:val="false"/>
          <w:sz w:val="22"/>
          <w:szCs w:val="22"/>
        </w:rPr>
        <w:t xml:space="preserve"> w  −  κ · ‖w − w</w:t>
      </w:r>
      <w:r>
        <w:rPr>
          <w:rFonts w:ascii="Calibri" w:cs="Calibri" w:eastAsia="Calibri" w:hAnsi="Calibri"/>
          <w:b w:val="false"/>
          <w:bCs w:val="false"/>
          <w:i/>
          <w:iCs/>
          <w:sz w:val="22"/>
          <w:szCs w:val="22"/>
          <w:vertAlign w:val="subscript"/>
        </w:rPr>
        <w:t xml:space="preserve">t−1</w:t>
      </w:r>
      <w:r>
        <w:rPr>
          <w:rFonts w:ascii="Calibri" w:cs="Calibri" w:eastAsia="Calibri" w:hAnsi="Calibri"/>
          <w:b w:val="false"/>
          <w:bCs w:val="false"/>
          <w:i w:val="false"/>
          <w:iCs w:val="false"/>
          <w:sz w:val="22"/>
          <w:szCs w:val="22"/>
        </w:rPr>
        <w:t xml:space="preserve">‖</w:t>
      </w:r>
      <w:r>
        <w:rPr>
          <w:rFonts w:ascii="Calibri" w:cs="Calibri" w:eastAsia="Calibri" w:hAnsi="Calibri"/>
          <w:b w:val="false"/>
          <w:bCs w:val="false"/>
          <w:i/>
          <w:iCs/>
          <w:sz w:val="22"/>
          <w:szCs w:val="22"/>
          <w:vertAlign w:val="subscript"/>
        </w:rPr>
        <w:t xml:space="preserve">1</w:t>
      </w:r>
      <w:r>
        <w:rPr>
          <w:rFonts w:ascii="Calibri" w:cs="Calibri" w:eastAsia="Calibri" w:hAnsi="Calibri"/>
          <w:b w:val="false"/>
          <w:bCs w:val="false"/>
          <w:i w:val="false"/>
          <w:iCs w:val="false"/>
          <w:sz w:val="22"/>
          <w:szCs w:val="22"/>
        </w:rPr>
        <w:t xml:space="preserve">  −  Σ</w:t>
      </w:r>
      <w:r>
        <w:rPr>
          <w:rFonts w:ascii="Calibri" w:cs="Calibri" w:eastAsia="Calibri" w:hAnsi="Calibri"/>
          <w:b w:val="false"/>
          <w:bCs w:val="false"/>
          <w:i/>
          <w:iCs/>
          <w:sz w:val="22"/>
          <w:szCs w:val="22"/>
          <w:vertAlign w:val="subscript"/>
        </w:rPr>
        <w:t xml:space="preserve">i</w:t>
      </w:r>
      <w:r>
        <w:rPr>
          <w:rFonts w:ascii="Calibri" w:cs="Calibri" w:eastAsia="Calibri" w:hAnsi="Calibri"/>
          <w:b w:val="false"/>
          <w:bCs w:val="false"/>
          <w:i w:val="false"/>
          <w:iCs w:val="false"/>
          <w:sz w:val="22"/>
          <w:szCs w:val="22"/>
        </w:rPr>
        <w:t xml:space="preserve"> TC</w:t>
      </w:r>
      <w:r>
        <w:rPr>
          <w:rFonts w:ascii="Calibri" w:cs="Calibri" w:eastAsia="Calibri" w:hAnsi="Calibri"/>
          <w:b w:val="false"/>
          <w:bCs w:val="false"/>
          <w:i/>
          <w:iCs/>
          <w:sz w:val="22"/>
          <w:szCs w:val="22"/>
          <w:vertAlign w:val="subscript"/>
        </w:rPr>
        <w:t xml:space="preserve">i,t</w:t>
      </w:r>
      <w:r>
        <w:rPr>
          <w:rFonts w:ascii="Calibri" w:cs="Calibri" w:eastAsia="Calibri" w:hAnsi="Calibri"/>
          <w:b w:val="false"/>
          <w:bCs w:val="false"/>
          <w:i w:val="false"/>
          <w:iCs w:val="false"/>
          <w:sz w:val="22"/>
          <w:szCs w:val="22"/>
        </w:rPr>
        <w:t xml:space="preserve">(w, w</w:t>
      </w:r>
      <w:r>
        <w:rPr>
          <w:rFonts w:ascii="Calibri" w:cs="Calibri" w:eastAsia="Calibri" w:hAnsi="Calibri"/>
          <w:b w:val="false"/>
          <w:bCs w:val="false"/>
          <w:i/>
          <w:iCs/>
          <w:sz w:val="22"/>
          <w:szCs w:val="22"/>
          <w:vertAlign w:val="subscript"/>
        </w:rPr>
        <w:t xml:space="preserve">t−1</w:t>
      </w:r>
      <w:r>
        <w:rPr>
          <w:rFonts w:ascii="Calibri" w:cs="Calibri" w:eastAsia="Calibri" w:hAnsi="Calibri"/>
          <w:b w:val="false"/>
          <w:bCs w:val="false"/>
          <w:i w:val="false"/>
          <w:iCs w:val="false"/>
          <w:sz w:val="22"/>
          <w:szCs w:val="22"/>
        </w:rPr>
        <w:t xml:space="preserve">)</w:t>
      </w:r>
    </w:p>
    <w:p>
      <w:pPr>
        <w:spacing w:after="120" w:line="300"/>
      </w:pPr>
      <w:r>
        <w:rPr>
          <w:rFonts w:ascii="Calibri" w:cs="Calibri" w:eastAsia="Calibri" w:hAnsi="Calibri"/>
          <w:sz w:val="22"/>
          <w:szCs w:val="22"/>
        </w:rPr>
        <w:t xml:space="preserve">subject to the constraints:</w:t>
      </w:r>
    </w:p>
    <w:p>
      <w:pPr>
        <w:spacing w:after="120" w:line="300"/>
      </w:pP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iCs/>
          <w:sz w:val="22"/>
          <w:szCs w:val="22"/>
        </w:rPr>
        <w:t xml:space="preserve">1ᵀ w = 0</w:t>
      </w: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val="false"/>
          <w:iCs w:val="false"/>
          <w:sz w:val="22"/>
          <w:szCs w:val="22"/>
        </w:rPr>
        <w:t xml:space="preserve">dollar-neutral</w:t>
      </w:r>
    </w:p>
    <w:p>
      <w:pPr>
        <w:spacing w:after="120" w:line="300"/>
      </w:pP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iCs/>
          <w:sz w:val="22"/>
          <w:szCs w:val="22"/>
        </w:rPr>
        <w:t xml:space="preserve">β_mktᵀ w = 0</w:t>
      </w: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val="false"/>
          <w:iCs w:val="false"/>
          <w:sz w:val="22"/>
          <w:szCs w:val="22"/>
        </w:rPr>
        <w:t xml:space="preserve">beta-neutral to the value-weighted market</w:t>
      </w:r>
    </w:p>
    <w:p>
      <w:pPr>
        <w:spacing w:after="120" w:line="300"/>
      </w:pP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iCs/>
          <w:sz w:val="22"/>
          <w:szCs w:val="22"/>
        </w:rPr>
        <w:t xml:space="preserve">|w_i| ≤ 2%</w:t>
      </w: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val="false"/>
          <w:iCs w:val="false"/>
          <w:sz w:val="22"/>
          <w:szCs w:val="22"/>
        </w:rPr>
        <w:t xml:space="preserve">single-name concentration</w:t>
      </w:r>
    </w:p>
    <w:p>
      <w:pPr>
        <w:spacing w:after="120" w:line="300"/>
      </w:pP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iCs/>
          <w:sz w:val="22"/>
          <w:szCs w:val="22"/>
        </w:rPr>
        <w:t xml:space="preserve">|w_i| ≤ 5% · ADV_i / GMV</w:t>
      </w: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val="false"/>
          <w:iCs w:val="false"/>
          <w:sz w:val="22"/>
          <w:szCs w:val="22"/>
        </w:rPr>
        <w:t xml:space="preserve">liquidity / capacity</w:t>
      </w:r>
    </w:p>
    <w:p>
      <w:pPr>
        <w:spacing w:after="120" w:line="300"/>
      </w:pP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iCs/>
          <w:sz w:val="22"/>
          <w:szCs w:val="22"/>
        </w:rPr>
        <w:t xml:space="preserve">|X_sᵀ w| ≤ 0.25 σ_s</w:t>
      </w: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val="false"/>
          <w:iCs w:val="false"/>
          <w:sz w:val="22"/>
          <w:szCs w:val="22"/>
        </w:rPr>
        <w:t xml:space="preserve">style-exposure budget for each of the 9 style factors</w:t>
      </w:r>
    </w:p>
    <w:p>
      <w:pPr>
        <w:spacing w:after="120" w:line="300"/>
      </w:pP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iCs/>
          <w:sz w:val="22"/>
          <w:szCs w:val="22"/>
        </w:rPr>
        <w:t xml:space="preserve">|X_Iᵀ w| ≤ 0.50 σ_I</w:t>
      </w: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val="false"/>
          <w:iCs w:val="false"/>
          <w:sz w:val="22"/>
          <w:szCs w:val="22"/>
        </w:rPr>
        <w:t xml:space="preserve">industry-exposure budget</w:t>
      </w:r>
    </w:p>
    <w:p>
      <w:pPr>
        <w:spacing w:after="120" w:line="300"/>
      </w:pP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iCs/>
          <w:sz w:val="22"/>
          <w:szCs w:val="22"/>
        </w:rPr>
        <w:t xml:space="preserve">GMV = |w|_1 = 1</w:t>
      </w: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val="false"/>
          <w:iCs w:val="false"/>
          <w:sz w:val="22"/>
          <w:szCs w:val="22"/>
        </w:rPr>
        <w:t xml:space="preserve">gross leverage normalized to 1x</w:t>
      </w:r>
    </w:p>
    <w:p>
      <w:pPr>
        <w:spacing w:after="120" w:line="300"/>
      </w:pPr>
      <w:r>
        <w:rPr>
          <w:rFonts w:ascii="Calibri" w:cs="Calibri" w:eastAsia="Calibri" w:hAnsi="Calibri"/>
          <w:b w:val="false"/>
          <w:bCs w:val="false"/>
          <w:i w:val="false"/>
          <w:iCs w:val="false"/>
          <w:sz w:val="22"/>
          <w:szCs w:val="22"/>
        </w:rPr>
        <w:t xml:space="preserve">λ is chosen so that the unconstrained solution has ex-ante volatility of 8% annualized; κ is tuned to place realized turnover near 5× GMV per year. All solves are handled by ECOS or OSQP at 1,500–3,000 variables per day, which runs in &lt; 1 s per date on a laptop.</w:t>
      </w:r>
    </w:p>
    <w:p>
      <w:pPr>
        <w:pStyle w:val="Heading1"/>
        <w:spacing w:after="180" w:before="360"/>
      </w:pPr>
      <w:r>
        <w:rPr>
          <w:rFonts w:ascii="Calibri" w:cs="Calibri" w:eastAsia="Calibri" w:hAnsi="Calibri"/>
          <w:b/>
          <w:bCs/>
          <w:color w:val="1F3864"/>
          <w:sz w:val="32"/>
          <w:szCs w:val="32"/>
        </w:rPr>
        <w:t xml:space="preserve">11. Quantified Success Criteria</w:t>
      </w:r>
    </w:p>
    <w:p>
      <w:pPr>
        <w:spacing w:after="120" w:line="300"/>
      </w:pPr>
      <w:r>
        <w:rPr>
          <w:rFonts w:ascii="Calibri" w:cs="Calibri" w:eastAsia="Calibri" w:hAnsi="Calibri"/>
          <w:sz w:val="22"/>
          <w:szCs w:val="22"/>
        </w:rPr>
        <w:t xml:space="preserve">These thresholds are fixed now and will not be relaxed after seeing the locked-holdout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1400"/>
        <w:gridCol w:w="1400"/>
        <w:gridCol w:w="2260"/>
      </w:tblGrid>
      <w:tr>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Scope</w:t>
            </w:r>
          </w:p>
        </w:tc>
        <w:tc>
          <w:tcPr>
            <w:tcW w:type="dxa" w:w="2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Metric</w:t>
            </w:r>
          </w:p>
        </w:tc>
        <w:tc>
          <w:tcPr>
            <w:tcW w:type="dxa" w:w="1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V1 minimum</w:t>
            </w:r>
          </w:p>
        </w:tc>
        <w:tc>
          <w:tcPr>
            <w:tcW w:type="dxa" w:w="1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V1 target</w:t>
            </w:r>
          </w:p>
        </w:tc>
        <w:tc>
          <w:tcPr>
            <w:tcW w:type="dxa" w:w="22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Evaluation window</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Single factor</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Residualized rank IC (mean)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0.02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0.04</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purged walk-forward, 2005–2023</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Single factor</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IC IR (annualized)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0.50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0.75</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same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Single factor</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Deflated Sharpe Ratio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0.95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0.99</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same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Composite book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Net Sharpe (after cost model)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0.80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1.20</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locked holdout 2024–2025</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Composite book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Max drawdown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 10%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 6%</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same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Composite book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Turnover (GMV/yr)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 8×</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same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Composite book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Residual beta to SPY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|β| ≤ 0.05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|β| ≤ 0.02</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same</w:t>
            </w:r>
          </w:p>
        </w:tc>
      </w:tr>
    </w:tbl>
    <w:p>
      <w:pPr>
        <w:spacing w:after="120" w:line="300"/>
      </w:pPr>
      <w:r>
        <w:rPr>
          <w:rFonts w:ascii="Calibri" w:cs="Calibri" w:eastAsia="Calibri" w:hAnsi="Calibri"/>
          <w:sz w:val="22"/>
          <w:szCs w:val="22"/>
        </w:rPr>
        <w:t xml:space="preserve">A promotion failure in the locked holdout counts as V1 failing. The platform is still considered a success as engineering, but the research hypothesis of V1 is falsified and V2 must change the hypothesis, not retry with relaxed thresholds.</w:t>
      </w:r>
    </w:p>
    <w:p>
      <w:pPr>
        <w:pStyle w:val="Heading1"/>
        <w:spacing w:after="180" w:before="360"/>
      </w:pPr>
      <w:r>
        <w:rPr>
          <w:rFonts w:ascii="Calibri" w:cs="Calibri" w:eastAsia="Calibri" w:hAnsi="Calibri"/>
          <w:b/>
          <w:bCs/>
          <w:color w:val="1F3864"/>
          <w:sz w:val="32"/>
          <w:szCs w:val="32"/>
        </w:rPr>
        <w:t xml:space="preserve">12. V1 Timeline (≈ 20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sz w:val="22"/>
                <w:szCs w:val="22"/>
              </w:rPr>
              <w:t xml:space="preserve">Phase</w:t>
            </w:r>
          </w:p>
        </w:tc>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sz w:val="22"/>
                <w:szCs w:val="22"/>
              </w:rPr>
              <w:t xml:space="preserve">Weeks</w:t>
            </w:r>
          </w:p>
        </w:tc>
        <w:tc>
          <w:tcPr>
            <w:tcW w:type="dxa" w:w="6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sz w:val="22"/>
                <w:szCs w:val="22"/>
              </w:rPr>
              <w:t xml:space="preserve">Deliverable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1. Data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1–5</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WRDS pull, PIT joins, universe definition, unit tests for survivorship and restatement bias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2. Risk engine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6–8</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Barra-lite estimation, covariance, diagnostics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3. Feature library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9–12</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~40 factors, unit tests against two references, residualization pipeline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4. Validation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13–15</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Purged walk-forward, BH FDR, Deflated Sharpe, null-signal regression test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5. Portfolio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16–18</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QP optimizer, cost model, attribution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6. Lockbox test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19–20</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Freeze code, release holdout, run end-to-end once</w:t>
            </w:r>
          </w:p>
        </w:tc>
      </w:tr>
    </w:tbl>
    <w:p>
      <w:pPr>
        <w:pStyle w:val="Heading1"/>
        <w:spacing w:after="180" w:before="360"/>
      </w:pPr>
      <w:r>
        <w:rPr>
          <w:rFonts w:ascii="Calibri" w:cs="Calibri" w:eastAsia="Calibri" w:hAnsi="Calibri"/>
          <w:b/>
          <w:bCs/>
          <w:color w:val="1F3864"/>
          <w:sz w:val="32"/>
          <w:szCs w:val="32"/>
        </w:rPr>
        <w:t xml:space="preserve">13. V2 Roadmap — Agentic Research and Structural Alpha</w:t>
      </w:r>
    </w:p>
    <w:p>
      <w:pPr>
        <w:spacing w:after="120" w:line="300"/>
      </w:pPr>
      <w:r>
        <w:rPr>
          <w:rFonts w:ascii="Calibri" w:cs="Calibri" w:eastAsia="Calibri" w:hAnsi="Calibri"/>
          <w:sz w:val="22"/>
          <w:szCs w:val="22"/>
        </w:rPr>
        <w:t xml:space="preserve">V2 extends V1 by automating factor proposal, formalizing structural-alpha search, and tightening the risk model. The mathematical interfaces of V1 are preserved so every V2 candidate passes through exactly the same validation pipeline.</w:t>
      </w:r>
    </w:p>
    <w:p>
      <w:pPr>
        <w:pStyle w:val="Heading2"/>
        <w:spacing w:after="140" w:before="280"/>
      </w:pPr>
      <w:r>
        <w:rPr>
          <w:rFonts w:ascii="Calibri" w:cs="Calibri" w:eastAsia="Calibri" w:hAnsi="Calibri"/>
          <w:b/>
          <w:bCs/>
          <w:color w:val="2E75B6"/>
          <w:sz w:val="26"/>
          <w:szCs w:val="26"/>
        </w:rPr>
        <w:t xml:space="preserve">13.1 Constrained LLM research engine</w:t>
      </w:r>
    </w:p>
    <w:p>
      <w:pPr>
        <w:spacing w:after="120" w:line="300"/>
      </w:pPr>
      <w:r>
        <w:rPr>
          <w:rFonts w:ascii="Calibri" w:cs="Calibri" w:eastAsia="Calibri" w:hAnsi="Calibri"/>
          <w:sz w:val="22"/>
          <w:szCs w:val="22"/>
        </w:rPr>
        <w:t xml:space="preserve">The LLM is given a formal grammar of legal expressions over the V1 variable vocabulary and operator set. Any generated factor is parsed into an AST, type-checked, unit-dimensionally-checked, and rejected if any leaf references a field that would not have been known in time.</w:t>
      </w:r>
    </w:p>
    <w:p>
      <w:pPr>
        <w:spacing w:after="120" w:line="300"/>
      </w:pPr>
      <w:r>
        <w:rPr>
          <w:rFonts w:ascii="Calibri" w:cs="Calibri" w:eastAsia="Calibri" w:hAnsi="Calibri"/>
          <w:b w:val="false"/>
          <w:bCs w:val="false"/>
          <w:i w:val="false"/>
          <w:iCs w:val="false"/>
          <w:sz w:val="22"/>
          <w:szCs w:val="22"/>
        </w:rPr>
        <w:t xml:space="preserve">The engine is a three-stage loop: Planner chooses a research cell (horizon × style bucket × conditioning state); Generator samples K candidate ASTs from the grammar with chain-of-thought rationale; Critic–Repair runs V1 validation and, on typed failure, applies one targeted mutation before re-submitting. Each candidate is limited to at most two repair rounds to prevent search-budget abuse.</w:t>
      </w:r>
    </w:p>
    <w:p>
      <w:pPr>
        <w:pStyle w:val="Heading2"/>
        <w:spacing w:after="140" w:before="280"/>
      </w:pPr>
      <w:r>
        <w:rPr>
          <w:rFonts w:ascii="Calibri" w:cs="Calibri" w:eastAsia="Calibri" w:hAnsi="Calibri"/>
          <w:b/>
          <w:bCs/>
          <w:color w:val="2E75B6"/>
          <w:sz w:val="26"/>
          <w:szCs w:val="26"/>
        </w:rPr>
        <w:t xml:space="preserve">13.2 Structural alpha search</w:t>
      </w:r>
    </w:p>
    <w:p>
      <w:pPr>
        <w:spacing w:after="120" w:line="300"/>
      </w:pPr>
      <w:r>
        <w:rPr>
          <w:rFonts w:ascii="Calibri" w:cs="Calibri" w:eastAsia="Calibri" w:hAnsi="Calibri"/>
          <w:b w:val="false"/>
          <w:bCs w:val="false"/>
          <w:i w:val="false"/>
          <w:iCs w:val="false"/>
          <w:sz w:val="22"/>
          <w:szCs w:val="22"/>
        </w:rPr>
        <w:t xml:space="preserve">For each classical factor we define a structural parameter vector θ controlling tail depth, composite weighting, exclusion filters, and refresh frequency. The search objective is the same Deflated-Sharpe-passing IR</w:t>
      </w:r>
      <w:r>
        <w:rPr>
          <w:rFonts w:ascii="Calibri" w:cs="Calibri" w:eastAsia="Calibri" w:hAnsi="Calibri"/>
          <w:b w:val="false"/>
          <w:bCs w:val="false"/>
          <w:i/>
          <w:iCs/>
          <w:sz w:val="22"/>
          <w:szCs w:val="22"/>
          <w:vertAlign w:val="subscript"/>
        </w:rPr>
        <w:t xml:space="preserve">IC</w:t>
      </w:r>
      <w:r>
        <w:rPr>
          <w:rFonts w:ascii="Calibri" w:cs="Calibri" w:eastAsia="Calibri" w:hAnsi="Calibri"/>
          <w:b w:val="false"/>
          <w:bCs w:val="false"/>
          <w:i w:val="false"/>
          <w:iCs w:val="false"/>
          <w:sz w:val="22"/>
          <w:szCs w:val="22"/>
        </w:rPr>
        <w:t xml:space="preserve"> metric as V1, but now optimized over θ:</w:t>
      </w:r>
    </w:p>
    <w:p>
      <w:pPr>
        <w:spacing w:after="160" w:before="160" w:line="320"/>
        <w:jc w:val="center"/>
      </w:pPr>
      <w:r>
        <w:rPr>
          <w:rFonts w:ascii="Calibri" w:cs="Calibri" w:eastAsia="Calibri" w:hAnsi="Calibri"/>
          <w:b w:val="false"/>
          <w:bCs w:val="false"/>
          <w:i w:val="false"/>
          <w:iCs w:val="false"/>
          <w:sz w:val="22"/>
          <w:szCs w:val="22"/>
        </w:rPr>
        <w:t xml:space="preserve">θ* = argmax</w:t>
      </w:r>
      <w:r>
        <w:rPr>
          <w:rFonts w:ascii="Calibri" w:cs="Calibri" w:eastAsia="Calibri" w:hAnsi="Calibri"/>
          <w:b w:val="false"/>
          <w:bCs w:val="false"/>
          <w:i/>
          <w:iCs/>
          <w:sz w:val="22"/>
          <w:szCs w:val="22"/>
          <w:vertAlign w:val="subscript"/>
        </w:rPr>
        <w:t xml:space="preserve">θ ∈ Θ</w:t>
      </w:r>
      <w:r>
        <w:rPr>
          <w:rFonts w:ascii="Calibri" w:cs="Calibri" w:eastAsia="Calibri" w:hAnsi="Calibri"/>
          <w:b w:val="false"/>
          <w:bCs w:val="false"/>
          <w:i w:val="false"/>
          <w:iCs w:val="false"/>
          <w:sz w:val="22"/>
          <w:szCs w:val="22"/>
        </w:rPr>
        <w:t xml:space="preserve">  IR</w:t>
      </w:r>
      <w:r>
        <w:rPr>
          <w:rFonts w:ascii="Calibri" w:cs="Calibri" w:eastAsia="Calibri" w:hAnsi="Calibri"/>
          <w:b w:val="false"/>
          <w:bCs w:val="false"/>
          <w:i/>
          <w:iCs/>
          <w:sz w:val="22"/>
          <w:szCs w:val="22"/>
          <w:vertAlign w:val="subscript"/>
        </w:rPr>
        <w:t xml:space="preserve">IC</w:t>
      </w:r>
      <w:r>
        <w:rPr>
          <w:rFonts w:ascii="Calibri" w:cs="Calibri" w:eastAsia="Calibri" w:hAnsi="Calibri"/>
          <w:b w:val="false"/>
          <w:bCs w:val="false"/>
          <w:i w:val="false"/>
          <w:iCs w:val="false"/>
          <w:sz w:val="22"/>
          <w:szCs w:val="22"/>
          <w:vertAlign w:val="superscript"/>
        </w:rPr>
        <w:t xml:space="preserve">⊥</w:t>
      </w:r>
      <w:r>
        <w:rPr>
          <w:rFonts w:ascii="Calibri" w:cs="Calibri" w:eastAsia="Calibri" w:hAnsi="Calibri"/>
          <w:b w:val="false"/>
          <w:bCs w:val="false"/>
          <w:i w:val="false"/>
          <w:iCs w:val="false"/>
          <w:sz w:val="22"/>
          <w:szCs w:val="22"/>
        </w:rPr>
        <w:t xml:space="preserve">( F(θ) )   s.t.   DSR( F(θ) ) &gt; 0.95,   capacity( F(θ) ) ≥ C</w:t>
      </w:r>
      <w:r>
        <w:rPr>
          <w:rFonts w:ascii="Calibri" w:cs="Calibri" w:eastAsia="Calibri" w:hAnsi="Calibri"/>
          <w:b w:val="false"/>
          <w:bCs w:val="false"/>
          <w:i/>
          <w:iCs/>
          <w:sz w:val="22"/>
          <w:szCs w:val="22"/>
          <w:vertAlign w:val="subscript"/>
        </w:rPr>
        <w:t xml:space="preserve">min</w:t>
      </w:r>
    </w:p>
    <w:p>
      <w:pPr>
        <w:spacing w:after="120" w:line="300"/>
      </w:pPr>
      <w:r>
        <w:rPr>
          <w:rFonts w:ascii="Calibri" w:cs="Calibri" w:eastAsia="Calibri" w:hAnsi="Calibri"/>
          <w:b w:val="false"/>
          <w:bCs w:val="false"/>
          <w:i w:val="false"/>
          <w:iCs w:val="false"/>
          <w:sz w:val="22"/>
          <w:szCs w:val="22"/>
        </w:rPr>
        <w:t xml:space="preserve">Search uses Gaussian-process Bayesian optimization with the FDR-adjusted IR</w:t>
      </w:r>
      <w:r>
        <w:rPr>
          <w:rFonts w:ascii="Calibri" w:cs="Calibri" w:eastAsia="Calibri" w:hAnsi="Calibri"/>
          <w:b w:val="false"/>
          <w:bCs w:val="false"/>
          <w:i/>
          <w:iCs/>
          <w:sz w:val="22"/>
          <w:szCs w:val="22"/>
          <w:vertAlign w:val="subscript"/>
        </w:rPr>
        <w:t xml:space="preserve">IC</w:t>
      </w:r>
      <w:r>
        <w:rPr>
          <w:rFonts w:ascii="Calibri" w:cs="Calibri" w:eastAsia="Calibri" w:hAnsi="Calibri"/>
          <w:b w:val="false"/>
          <w:bCs w:val="false"/>
          <w:i w:val="false"/>
          <w:iCs w:val="false"/>
          <w:sz w:val="22"/>
          <w:szCs w:val="22"/>
        </w:rPr>
        <w:t xml:space="preserve"> as the target. Θ is discretized enough that exhaustive enumeration is always a fallback.</w:t>
      </w:r>
    </w:p>
    <w:p>
      <w:pPr>
        <w:pStyle w:val="Heading2"/>
        <w:spacing w:after="140" w:before="280"/>
      </w:pPr>
      <w:r>
        <w:rPr>
          <w:rFonts w:ascii="Calibri" w:cs="Calibri" w:eastAsia="Calibri" w:hAnsi="Calibri"/>
          <w:b/>
          <w:bCs/>
          <w:color w:val="2E75B6"/>
          <w:sz w:val="26"/>
          <w:szCs w:val="26"/>
        </w:rPr>
        <w:t xml:space="preserve">13.3 Regime conditioning</w:t>
      </w:r>
    </w:p>
    <w:p>
      <w:pPr>
        <w:spacing w:after="120" w:line="300"/>
      </w:pPr>
      <w:r>
        <w:rPr>
          <w:rFonts w:ascii="Calibri" w:cs="Calibri" w:eastAsia="Calibri" w:hAnsi="Calibri"/>
          <w:sz w:val="22"/>
          <w:szCs w:val="22"/>
        </w:rPr>
        <w:t xml:space="preserve">V2 adds a 2-state hidden Markov model over daily realized volatility, CRSP dispersion, and credit-spread changes. Regime labels are always computed using the filtered (one-sided) posterior, never the smoothed (two-sided) posterior, to prevent lookahead. Factor ensemble weights are allowed to be regime-dependent only if the regime-conditional IR improvement passes an extra FDR test versus the unconditional baseline.</w:t>
      </w:r>
    </w:p>
    <w:p>
      <w:pPr>
        <w:pStyle w:val="Heading2"/>
        <w:spacing w:after="140" w:before="280"/>
      </w:pPr>
      <w:r>
        <w:rPr>
          <w:rFonts w:ascii="Calibri" w:cs="Calibri" w:eastAsia="Calibri" w:hAnsi="Calibri"/>
          <w:b/>
          <w:bCs/>
          <w:color w:val="2E75B6"/>
          <w:sz w:val="26"/>
          <w:szCs w:val="26"/>
        </w:rPr>
        <w:t xml:space="preserve">13.4 Better covariance and crowding</w:t>
      </w:r>
    </w:p>
    <w:p>
      <w:pPr>
        <w:pStyle w:val="ListParagraph"/>
        <w:numPr>
          <w:ilvl w:val="0"/>
          <w:numId w:val="2"/>
        </w:numPr>
        <w:spacing w:after="80" w:line="300"/>
      </w:pPr>
      <w:r>
        <w:rPr>
          <w:rFonts w:ascii="Calibri" w:cs="Calibri" w:eastAsia="Calibri" w:hAnsi="Calibri"/>
          <w:sz w:val="22"/>
          <w:szCs w:val="22"/>
        </w:rPr>
        <w:t xml:space="preserve">Ledoit–Wolf shrinkage on Ω with optimal shrinkage intensity δ* estimated from the data.</w:t>
      </w:r>
    </w:p>
    <w:p>
      <w:pPr>
        <w:pStyle w:val="ListParagraph"/>
        <w:numPr>
          <w:ilvl w:val="0"/>
          <w:numId w:val="2"/>
        </w:numPr>
        <w:spacing w:after="80" w:line="300"/>
      </w:pPr>
      <w:r>
        <w:rPr>
          <w:rFonts w:ascii="Calibri" w:cs="Calibri" w:eastAsia="Calibri" w:hAnsi="Calibri"/>
          <w:sz w:val="22"/>
          <w:szCs w:val="22"/>
        </w:rPr>
        <w:t xml:space="preserve">Eigen-adjustment (Menchero et al., 2011) to correct for the upward bias of the sample minimum-variance portfolio.</w:t>
      </w:r>
    </w:p>
    <w:p>
      <w:pPr>
        <w:pStyle w:val="ListParagraph"/>
        <w:numPr>
          <w:ilvl w:val="0"/>
          <w:numId w:val="2"/>
        </w:numPr>
        <w:spacing w:after="80" w:line="300"/>
      </w:pPr>
      <w:r>
        <w:rPr>
          <w:rFonts w:ascii="Calibri" w:cs="Calibri" w:eastAsia="Calibri" w:hAnsi="Calibri"/>
          <w:sz w:val="22"/>
          <w:szCs w:val="22"/>
        </w:rPr>
        <w:t xml:space="preserve">A crowding proxy (hedge-fund holdings overlap, short interest) added as a penalty term in the optimizer.</w:t>
      </w:r>
    </w:p>
    <w:p>
      <w:pPr>
        <w:pStyle w:val="ListParagraph"/>
        <w:numPr>
          <w:ilvl w:val="0"/>
          <w:numId w:val="2"/>
        </w:numPr>
        <w:spacing w:after="80" w:line="300"/>
      </w:pPr>
      <w:r>
        <w:rPr>
          <w:rFonts w:ascii="Calibri" w:cs="Calibri" w:eastAsia="Calibri" w:hAnsi="Calibri"/>
          <w:sz w:val="22"/>
          <w:szCs w:val="22"/>
        </w:rPr>
        <w:t xml:space="preserve">Dynamic borrow fees pulled from a stock-loan feed rather than mcap-decile tiers.</w:t>
      </w:r>
    </w:p>
    <w:p>
      <w:pPr>
        <w:pStyle w:val="Heading1"/>
        <w:spacing w:after="180" w:before="360"/>
      </w:pPr>
      <w:r>
        <w:rPr>
          <w:rFonts w:ascii="Calibri" w:cs="Calibri" w:eastAsia="Calibri" w:hAnsi="Calibri"/>
          <w:b/>
          <w:bCs/>
          <w:color w:val="1F3864"/>
          <w:sz w:val="32"/>
          <w:szCs w:val="32"/>
        </w:rPr>
        <w:t xml:space="preserve">14. V3 Roadmap — Alternative Data, Multi-Agent, Execution</w:t>
      </w:r>
    </w:p>
    <w:p>
      <w:pPr>
        <w:pStyle w:val="Heading2"/>
        <w:spacing w:after="140" w:before="280"/>
      </w:pPr>
      <w:r>
        <w:rPr>
          <w:rFonts w:ascii="Calibri" w:cs="Calibri" w:eastAsia="Calibri" w:hAnsi="Calibri"/>
          <w:b/>
          <w:bCs/>
          <w:color w:val="2E75B6"/>
          <w:sz w:val="26"/>
          <w:szCs w:val="26"/>
        </w:rPr>
        <w:t xml:space="preserve">14.1 Alternative data</w:t>
      </w:r>
    </w:p>
    <w:p>
      <w:pPr>
        <w:pStyle w:val="ListParagraph"/>
        <w:numPr>
          <w:ilvl w:val="0"/>
          <w:numId w:val="2"/>
        </w:numPr>
        <w:spacing w:after="80" w:line="300"/>
      </w:pPr>
      <w:r>
        <w:rPr>
          <w:rFonts w:ascii="Calibri" w:cs="Calibri" w:eastAsia="Calibri" w:hAnsi="Calibri"/>
          <w:sz w:val="22"/>
          <w:szCs w:val="22"/>
        </w:rPr>
        <w:t xml:space="preserve">10-K / 10-Q text via SEC EDGAR: sentence-embedding-based similarity signals (Cohen, Malloy, Nguyen 2020).</w:t>
      </w:r>
    </w:p>
    <w:p>
      <w:pPr>
        <w:pStyle w:val="ListParagraph"/>
        <w:numPr>
          <w:ilvl w:val="0"/>
          <w:numId w:val="2"/>
        </w:numPr>
        <w:spacing w:after="80" w:line="300"/>
      </w:pPr>
      <w:r>
        <w:rPr>
          <w:rFonts w:ascii="Calibri" w:cs="Calibri" w:eastAsia="Calibri" w:hAnsi="Calibri"/>
          <w:sz w:val="22"/>
          <w:szCs w:val="22"/>
        </w:rPr>
        <w:t xml:space="preserve">Option-implied skew, risk-reversal, and implied-vol spread from OptionMetrics IvyDB.</w:t>
      </w:r>
    </w:p>
    <w:p>
      <w:pPr>
        <w:pStyle w:val="ListParagraph"/>
        <w:numPr>
          <w:ilvl w:val="0"/>
          <w:numId w:val="2"/>
        </w:numPr>
        <w:spacing w:after="80" w:line="300"/>
      </w:pPr>
      <w:r>
        <w:rPr>
          <w:rFonts w:ascii="Calibri" w:cs="Calibri" w:eastAsia="Calibri" w:hAnsi="Calibri"/>
          <w:sz w:val="22"/>
          <w:szCs w:val="22"/>
        </w:rPr>
        <w:t xml:space="preserve">Short-interest changes from NYSE / Nasdaq settlement reports.</w:t>
      </w:r>
    </w:p>
    <w:p>
      <w:pPr>
        <w:pStyle w:val="ListParagraph"/>
        <w:numPr>
          <w:ilvl w:val="0"/>
          <w:numId w:val="2"/>
        </w:numPr>
        <w:spacing w:after="80" w:line="300"/>
      </w:pPr>
      <w:r>
        <w:rPr>
          <w:rFonts w:ascii="Calibri" w:cs="Calibri" w:eastAsia="Calibri" w:hAnsi="Calibri"/>
          <w:sz w:val="22"/>
          <w:szCs w:val="22"/>
        </w:rPr>
        <w:t xml:space="preserve">Consensus-revision signals from I/B/E/S if WRDS includes it.</w:t>
      </w:r>
    </w:p>
    <w:p>
      <w:pPr>
        <w:pStyle w:val="Heading2"/>
        <w:spacing w:after="140" w:before="280"/>
      </w:pPr>
      <w:r>
        <w:rPr>
          <w:rFonts w:ascii="Calibri" w:cs="Calibri" w:eastAsia="Calibri" w:hAnsi="Calibri"/>
          <w:b/>
          <w:bCs/>
          <w:color w:val="2E75B6"/>
          <w:sz w:val="26"/>
          <w:szCs w:val="26"/>
        </w:rPr>
        <w:t xml:space="preserve">14.2 Multi-agent research</w:t>
      </w:r>
    </w:p>
    <w:p>
      <w:pPr>
        <w:spacing w:after="120" w:line="300"/>
      </w:pPr>
      <w:r>
        <w:rPr>
          <w:rFonts w:ascii="Calibri" w:cs="Calibri" w:eastAsia="Calibri" w:hAnsi="Calibri"/>
          <w:sz w:val="22"/>
          <w:szCs w:val="22"/>
        </w:rPr>
        <w:t xml:space="preserve">A Proposer agent specialized on one style family, a Skeptic agent that tries to attribute every candidate to an existing Barra factor or to a known anomaly already in the library, and an Economist agent that must supply a falsifiable economic story. A human reviewer approves promotion out of V3 search.</w:t>
      </w:r>
    </w:p>
    <w:p>
      <w:pPr>
        <w:pStyle w:val="Heading2"/>
        <w:spacing w:after="140" w:before="280"/>
      </w:pPr>
      <w:r>
        <w:rPr>
          <w:rFonts w:ascii="Calibri" w:cs="Calibri" w:eastAsia="Calibri" w:hAnsi="Calibri"/>
          <w:b/>
          <w:bCs/>
          <w:color w:val="2E75B6"/>
          <w:sz w:val="26"/>
          <w:szCs w:val="26"/>
        </w:rPr>
        <w:t xml:space="preserve">14.3 Intraday execution simulation</w:t>
      </w:r>
    </w:p>
    <w:p>
      <w:pPr>
        <w:spacing w:after="120" w:line="300"/>
      </w:pPr>
      <w:r>
        <w:rPr>
          <w:rFonts w:ascii="Calibri" w:cs="Calibri" w:eastAsia="Calibri" w:hAnsi="Calibri"/>
          <w:sz w:val="22"/>
          <w:szCs w:val="22"/>
        </w:rPr>
        <w:t xml:space="preserve">A TAQ-based simulator that honors visible book depth and converts daily QP weights into a VWAP or Almgren–Chriss optimal trajectory. This replaces the static cost model with a realized one and produces slippage distributions, not point estimates.</w:t>
      </w:r>
    </w:p>
    <w:p>
      <w:pPr>
        <w:pStyle w:val="Heading2"/>
        <w:spacing w:after="140" w:before="280"/>
      </w:pPr>
      <w:r>
        <w:rPr>
          <w:rFonts w:ascii="Calibri" w:cs="Calibri" w:eastAsia="Calibri" w:hAnsi="Calibri"/>
          <w:b/>
          <w:bCs/>
          <w:color w:val="2E75B6"/>
          <w:sz w:val="26"/>
          <w:szCs w:val="26"/>
        </w:rPr>
        <w:t xml:space="preserve">14.4 Shadow paper trading</w:t>
      </w:r>
    </w:p>
    <w:p>
      <w:pPr>
        <w:spacing w:after="120" w:line="300"/>
      </w:pPr>
      <w:r>
        <w:rPr>
          <w:rFonts w:ascii="Calibri" w:cs="Calibri" w:eastAsia="Calibri" w:hAnsi="Calibri"/>
          <w:sz w:val="22"/>
          <w:szCs w:val="22"/>
        </w:rPr>
        <w:t xml:space="preserve">End-of-day weights pushed to an IBKR paper account through their API, with position reconciliation and live cost attribution versus the simulated cost model. Runs for at least 6 months before any live-capital discussion.</w:t>
      </w:r>
    </w:p>
    <w:p>
      <w:pPr>
        <w:pStyle w:val="Heading1"/>
        <w:spacing w:after="180" w:before="360"/>
      </w:pPr>
      <w:r>
        <w:rPr>
          <w:rFonts w:ascii="Calibri" w:cs="Calibri" w:eastAsia="Calibri" w:hAnsi="Calibri"/>
          <w:b/>
          <w:bCs/>
          <w:color w:val="1F3864"/>
          <w:sz w:val="32"/>
          <w:szCs w:val="32"/>
        </w:rPr>
        <w:t xml:space="preserve">15. Mathematical and Computational Feasibility</w:t>
      </w:r>
    </w:p>
    <w:p>
      <w:pPr>
        <w:pStyle w:val="Heading2"/>
        <w:spacing w:after="140" w:before="280"/>
      </w:pPr>
      <w:r>
        <w:rPr>
          <w:rFonts w:ascii="Calibri" w:cs="Calibri" w:eastAsia="Calibri" w:hAnsi="Calibri"/>
          <w:b/>
          <w:bCs/>
          <w:color w:val="2E75B6"/>
          <w:sz w:val="26"/>
          <w:szCs w:val="26"/>
        </w:rPr>
        <w:t xml:space="preserve">15.1 Data volume</w:t>
      </w:r>
    </w:p>
    <w:p>
      <w:pPr>
        <w:spacing w:after="120" w:line="300"/>
      </w:pPr>
      <w:r>
        <w:rPr>
          <w:rFonts w:ascii="Calibri" w:cs="Calibri" w:eastAsia="Calibri" w:hAnsi="Calibri"/>
          <w:sz w:val="22"/>
          <w:szCs w:val="22"/>
        </w:rPr>
        <w:t xml:space="preserve">Universe of ~3,000 names × ~6,300 trading days = 1.9 × 10⁷ rows. With ~60 columns of floats, raw Parquet storage is ~6 GB; indexed DuckDB ≤ 20 GB on disk. A laptop with 32 GB RAM and 1 TB SSD is comfortably sufficient.</w:t>
      </w:r>
    </w:p>
    <w:p>
      <w:pPr>
        <w:pStyle w:val="Heading2"/>
        <w:spacing w:after="140" w:before="280"/>
      </w:pPr>
      <w:r>
        <w:rPr>
          <w:rFonts w:ascii="Calibri" w:cs="Calibri" w:eastAsia="Calibri" w:hAnsi="Calibri"/>
          <w:b/>
          <w:bCs/>
          <w:color w:val="2E75B6"/>
          <w:sz w:val="26"/>
          <w:szCs w:val="26"/>
        </w:rPr>
        <w:t xml:space="preserve">15.2 Risk-engine compute</w:t>
      </w:r>
    </w:p>
    <w:p>
      <w:pPr>
        <w:spacing w:after="120" w:line="300"/>
      </w:pPr>
      <w:r>
        <w:rPr>
          <w:rFonts w:ascii="Calibri" w:cs="Calibri" w:eastAsia="Calibri" w:hAnsi="Calibri"/>
          <w:b w:val="false"/>
          <w:bCs w:val="false"/>
          <w:i w:val="false"/>
          <w:iCs w:val="false"/>
          <w:sz w:val="22"/>
          <w:szCs w:val="22"/>
        </w:rPr>
        <w:t xml:space="preserve">Each cross-sectional WLS solve is K ≈ 34 columns and N ≈ 3,000 rows, which is a 34×34 normal-equations inversion — microseconds. Over 6,300 days, one full sweep is &lt; 10 s. EWMA covariance update is O(K</w:t>
      </w:r>
      <w:r>
        <w:rPr>
          <w:rFonts w:ascii="Calibri" w:cs="Calibri" w:eastAsia="Calibri" w:hAnsi="Calibri"/>
          <w:b w:val="false"/>
          <w:bCs w:val="false"/>
          <w:i w:val="false"/>
          <w:iCs w:val="false"/>
          <w:sz w:val="22"/>
          <w:szCs w:val="22"/>
          <w:vertAlign w:val="superscript"/>
        </w:rPr>
        <w:t xml:space="preserve">2</w:t>
      </w:r>
      <w:r>
        <w:rPr>
          <w:rFonts w:ascii="Calibri" w:cs="Calibri" w:eastAsia="Calibri" w:hAnsi="Calibri"/>
          <w:b w:val="false"/>
          <w:bCs w:val="false"/>
          <w:i w:val="false"/>
          <w:iCs w:val="false"/>
          <w:sz w:val="22"/>
          <w:szCs w:val="22"/>
        </w:rPr>
        <w:t xml:space="preserve">) per date — negligible.</w:t>
      </w:r>
    </w:p>
    <w:p>
      <w:pPr>
        <w:pStyle w:val="Heading2"/>
        <w:spacing w:after="140" w:before="280"/>
      </w:pPr>
      <w:r>
        <w:rPr>
          <w:rFonts w:ascii="Calibri" w:cs="Calibri" w:eastAsia="Calibri" w:hAnsi="Calibri"/>
          <w:b/>
          <w:bCs/>
          <w:color w:val="2E75B6"/>
          <w:sz w:val="26"/>
          <w:szCs w:val="26"/>
        </w:rPr>
        <w:t xml:space="preserve">15.3 Portfolio optimization</w:t>
      </w:r>
    </w:p>
    <w:p>
      <w:pPr>
        <w:spacing w:after="120" w:line="300"/>
      </w:pPr>
      <w:r>
        <w:rPr>
          <w:rFonts w:ascii="Calibri" w:cs="Calibri" w:eastAsia="Calibri" w:hAnsi="Calibri"/>
          <w:sz w:val="22"/>
          <w:szCs w:val="22"/>
        </w:rPr>
        <w:t xml:space="preserve">Daily QP: ~3,000 variables, ~60 linear constraints, one dense K × K factor-risk block that can be handled by the factor-structured form of the covariance so the solver never needs the full N × N Σ. OSQP solves this in &lt; 1 s per date; 6,300 dates runs in under two hours serially, minutes in parallel.</w:t>
      </w:r>
    </w:p>
    <w:p>
      <w:pPr>
        <w:pStyle w:val="Heading2"/>
        <w:spacing w:after="140" w:before="280"/>
      </w:pPr>
      <w:r>
        <w:rPr>
          <w:rFonts w:ascii="Calibri" w:cs="Calibri" w:eastAsia="Calibri" w:hAnsi="Calibri"/>
          <w:b/>
          <w:bCs/>
          <w:color w:val="2E75B6"/>
          <w:sz w:val="26"/>
          <w:szCs w:val="26"/>
        </w:rPr>
        <w:t xml:space="preserve">15.4 Statistical power</w:t>
      </w:r>
    </w:p>
    <w:p>
      <w:pPr>
        <w:spacing w:after="120" w:line="300"/>
      </w:pPr>
      <w:r>
        <w:rPr>
          <w:rFonts w:ascii="Calibri" w:cs="Calibri" w:eastAsia="Calibri" w:hAnsi="Calibri"/>
          <w:b w:val="false"/>
          <w:bCs w:val="false"/>
          <w:i w:val="false"/>
          <w:iCs w:val="false"/>
          <w:sz w:val="22"/>
          <w:szCs w:val="22"/>
        </w:rPr>
        <w:t xml:space="preserve">With mean residualized IC of 0.03 and IC σ ≈ 0.06, the standard error of mean IC over T = 252 × 18 ≈ 4,500 daily observations is 0.06 / √4500 ≈ 0.00089. A true IC of 0.03 yields a t-statistic of ≈ 33 in the population, so the statistical problem is not sample size — it is multiple-testing control, which §4.5–4.6 addresses directly.</w:t>
      </w:r>
    </w:p>
    <w:p>
      <w:pPr>
        <w:pStyle w:val="Heading2"/>
        <w:spacing w:after="140" w:before="280"/>
      </w:pPr>
      <w:r>
        <w:rPr>
          <w:rFonts w:ascii="Calibri" w:cs="Calibri" w:eastAsia="Calibri" w:hAnsi="Calibri"/>
          <w:b/>
          <w:bCs/>
          <w:color w:val="2E75B6"/>
          <w:sz w:val="26"/>
          <w:szCs w:val="26"/>
        </w:rPr>
        <w:t xml:space="preserve">15.5 Why the whole thing fits on one laptop</w:t>
      </w:r>
    </w:p>
    <w:p>
      <w:pPr>
        <w:spacing w:after="120" w:line="300"/>
      </w:pPr>
      <w:r>
        <w:rPr>
          <w:rFonts w:ascii="Calibri" w:cs="Calibri" w:eastAsia="Calibri" w:hAnsi="Calibri"/>
          <w:sz w:val="22"/>
          <w:szCs w:val="22"/>
        </w:rPr>
        <w:t xml:space="preserve">The platform is intentionally daily-frequency, linear-algebra-centric, and does not require GPUs in V1. The heaviest single computation is the portfolio backtest, which is still trivially parallel over dates once the risk model is fixed.</w:t>
      </w:r>
    </w:p>
    <w:p>
      <w:pPr>
        <w:pStyle w:val="Heading1"/>
        <w:spacing w:after="180" w:before="360"/>
      </w:pPr>
      <w:r>
        <w:rPr>
          <w:rFonts w:ascii="Calibri" w:cs="Calibri" w:eastAsia="Calibri" w:hAnsi="Calibri"/>
          <w:b/>
          <w:bCs/>
          <w:color w:val="1F3864"/>
          <w:sz w:val="32"/>
          <w:szCs w:val="32"/>
        </w:rPr>
        <w:t xml:space="preserve">16. Selected References</w:t>
      </w:r>
    </w:p>
    <w:p>
      <w:pPr>
        <w:pStyle w:val="ListParagraph"/>
        <w:numPr>
          <w:ilvl w:val="0"/>
          <w:numId w:val="2"/>
        </w:numPr>
        <w:spacing w:after="80" w:line="300"/>
      </w:pPr>
      <w:r>
        <w:rPr>
          <w:rFonts w:ascii="Calibri" w:cs="Calibri" w:eastAsia="Calibri" w:hAnsi="Calibri"/>
          <w:sz w:val="22"/>
          <w:szCs w:val="22"/>
        </w:rPr>
        <w:t xml:space="preserve">Barra / MSCI, USE3 and USE4 Equity Risk Model Handbooks.</w:t>
      </w:r>
    </w:p>
    <w:p>
      <w:pPr>
        <w:pStyle w:val="ListParagraph"/>
        <w:numPr>
          <w:ilvl w:val="0"/>
          <w:numId w:val="2"/>
        </w:numPr>
        <w:spacing w:after="80" w:line="300"/>
      </w:pPr>
      <w:r>
        <w:rPr>
          <w:rFonts w:ascii="Calibri" w:cs="Calibri" w:eastAsia="Calibri" w:hAnsi="Calibri"/>
          <w:sz w:val="22"/>
          <w:szCs w:val="22"/>
        </w:rPr>
        <w:t xml:space="preserve">Menchero, J., Orr, D. J., and Wang, J. (2011). The Barra US Equity Model (USE4). MSCI Research Insight.</w:t>
      </w:r>
    </w:p>
    <w:p>
      <w:pPr>
        <w:pStyle w:val="ListParagraph"/>
        <w:numPr>
          <w:ilvl w:val="0"/>
          <w:numId w:val="2"/>
        </w:numPr>
        <w:spacing w:after="80" w:line="300"/>
      </w:pPr>
      <w:r>
        <w:rPr>
          <w:rFonts w:ascii="Calibri" w:cs="Calibri" w:eastAsia="Calibri" w:hAnsi="Calibri"/>
          <w:sz w:val="22"/>
          <w:szCs w:val="22"/>
        </w:rPr>
        <w:t xml:space="preserve">Bailey, D. H., and López de Prado, M. (2014). The Deflated Sharpe Ratio. Journal of Portfolio Management.</w:t>
      </w:r>
    </w:p>
    <w:p>
      <w:pPr>
        <w:pStyle w:val="ListParagraph"/>
        <w:numPr>
          <w:ilvl w:val="0"/>
          <w:numId w:val="2"/>
        </w:numPr>
        <w:spacing w:after="80" w:line="300"/>
      </w:pPr>
      <w:r>
        <w:rPr>
          <w:rFonts w:ascii="Calibri" w:cs="Calibri" w:eastAsia="Calibri" w:hAnsi="Calibri"/>
          <w:sz w:val="22"/>
          <w:szCs w:val="22"/>
        </w:rPr>
        <w:t xml:space="preserve">López de Prado, M. (2018). Advances in Financial Machine Learning. Wiley. (Purged k-fold, Chapter 7.)</w:t>
      </w:r>
    </w:p>
    <w:p>
      <w:pPr>
        <w:pStyle w:val="ListParagraph"/>
        <w:numPr>
          <w:ilvl w:val="0"/>
          <w:numId w:val="2"/>
        </w:numPr>
        <w:spacing w:after="80" w:line="300"/>
      </w:pPr>
      <w:r>
        <w:rPr>
          <w:rFonts w:ascii="Calibri" w:cs="Calibri" w:eastAsia="Calibri" w:hAnsi="Calibri"/>
          <w:sz w:val="22"/>
          <w:szCs w:val="22"/>
        </w:rPr>
        <w:t xml:space="preserve">Harvey, C. R., Liu, Y., and Zhu, H. (2016). … and the Cross-Section of Expected Returns. Review of Financial Studies.</w:t>
      </w:r>
    </w:p>
    <w:p>
      <w:pPr>
        <w:pStyle w:val="ListParagraph"/>
        <w:numPr>
          <w:ilvl w:val="0"/>
          <w:numId w:val="2"/>
        </w:numPr>
        <w:spacing w:after="80" w:line="300"/>
      </w:pPr>
      <w:r>
        <w:rPr>
          <w:rFonts w:ascii="Calibri" w:cs="Calibri" w:eastAsia="Calibri" w:hAnsi="Calibri"/>
          <w:sz w:val="22"/>
          <w:szCs w:val="22"/>
        </w:rPr>
        <w:t xml:space="preserve">Benjamini, Y., and Hochberg, Y. (1995). Controlling the False Discovery Rate. JRSS-B.</w:t>
      </w:r>
    </w:p>
    <w:p>
      <w:pPr>
        <w:pStyle w:val="ListParagraph"/>
        <w:numPr>
          <w:ilvl w:val="0"/>
          <w:numId w:val="2"/>
        </w:numPr>
        <w:spacing w:after="80" w:line="300"/>
      </w:pPr>
      <w:r>
        <w:rPr>
          <w:rFonts w:ascii="Calibri" w:cs="Calibri" w:eastAsia="Calibri" w:hAnsi="Calibri"/>
          <w:sz w:val="22"/>
          <w:szCs w:val="22"/>
        </w:rPr>
        <w:t xml:space="preserve">Almgren, R., Thum, C., Hauptmann, E., and Li, H. (2005). Direct Estimation of Equity Market Impact. Risk.</w:t>
      </w:r>
    </w:p>
    <w:p>
      <w:pPr>
        <w:pStyle w:val="ListParagraph"/>
        <w:numPr>
          <w:ilvl w:val="0"/>
          <w:numId w:val="2"/>
        </w:numPr>
        <w:spacing w:after="80" w:line="300"/>
      </w:pPr>
      <w:r>
        <w:rPr>
          <w:rFonts w:ascii="Calibri" w:cs="Calibri" w:eastAsia="Calibri" w:hAnsi="Calibri"/>
          <w:sz w:val="22"/>
          <w:szCs w:val="22"/>
        </w:rPr>
        <w:t xml:space="preserve">Corwin, S. A., and Schultz, P. (2012). A Simple Way to Estimate Bid-Ask Spreads from Daily High and Low Prices. JF.</w:t>
      </w:r>
    </w:p>
    <w:p>
      <w:pPr>
        <w:pStyle w:val="ListParagraph"/>
        <w:numPr>
          <w:ilvl w:val="0"/>
          <w:numId w:val="2"/>
        </w:numPr>
        <w:spacing w:after="80" w:line="300"/>
      </w:pPr>
      <w:r>
        <w:rPr>
          <w:rFonts w:ascii="Calibri" w:cs="Calibri" w:eastAsia="Calibri" w:hAnsi="Calibri"/>
          <w:sz w:val="22"/>
          <w:szCs w:val="22"/>
        </w:rPr>
        <w:t xml:space="preserve">Novy-Marx, R. (2013). The Other Side of Value: The Gross Profitability Premium. JFE.</w:t>
      </w:r>
    </w:p>
    <w:p>
      <w:pPr>
        <w:pStyle w:val="ListParagraph"/>
        <w:numPr>
          <w:ilvl w:val="0"/>
          <w:numId w:val="2"/>
        </w:numPr>
        <w:spacing w:after="80" w:line="300"/>
      </w:pPr>
      <w:r>
        <w:rPr>
          <w:rFonts w:ascii="Calibri" w:cs="Calibri" w:eastAsia="Calibri" w:hAnsi="Calibri"/>
          <w:sz w:val="22"/>
          <w:szCs w:val="22"/>
        </w:rPr>
        <w:t xml:space="preserve">Ledoit, O., and Wolf, M. (2004). A Well-Conditioned Estimator for Large-Dimensional Covariance Matrices. JMVA.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F7F7F"/>
        <w:sz w:val="18"/>
        <w:szCs w:val="18"/>
      </w:rPr>
      <w:t xml:space="preserve">Aegis Alpha Lab — V1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 Alpha Lab — V1 Specification</dc:title>
  <dc:creator>Tim Peng</dc:creator>
  <cp:lastModifiedBy>Un-named</cp:lastModifiedBy>
  <cp:revision>1</cp:revision>
  <dcterms:created xsi:type="dcterms:W3CDTF">2026-04-16T22:06:17.780Z</dcterms:created>
  <dcterms:modified xsi:type="dcterms:W3CDTF">2026-04-16T22:06:17.780Z</dcterms:modified>
</cp:coreProperties>
</file>

<file path=docProps/custom.xml><?xml version="1.0" encoding="utf-8"?>
<Properties xmlns="http://schemas.openxmlformats.org/officeDocument/2006/custom-properties" xmlns:vt="http://schemas.openxmlformats.org/officeDocument/2006/docPropsVTypes"/>
</file>