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2"/>
          <w:szCs w:val="52"/>
          <w:rtl w:val="0"/>
        </w:rPr>
        <w:t xml:space="preserve">AEGIS ALPHA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04040"/>
          <w:sz w:val="28"/>
          <w:szCs w:val="28"/>
          <w:rtl w:val="0"/>
        </w:rPr>
        <w:t xml:space="preserve">A Mathematically Specified, Barra-Aware, Long-Short Equity Research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95959"/>
          <w:sz w:val="24"/>
          <w:szCs w:val="24"/>
          <w:rtl w:val="0"/>
        </w:rPr>
        <w:t xml:space="preserve">V1 Specification with V2 / V3 Roadmap — Paper-Strengthened Edition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Version 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Author: Tim Peng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Date: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0"/>
          <w:szCs w:val="20"/>
          <w:rtl w:val="0"/>
        </w:rPr>
        <w:t xml:space="preserve">Methodological grounding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Huang &amp; Fan (2026), "Beyond Prompting: An Autonomous Framework for Systematic Factor Investing via Agentic AI."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Wangpratham (2026), "BrainAlpha: An Autonomous Multi-Agent System for Quantitative Alpha Discovery."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McLean &amp; Pontiff (2016); Harvey, Liu &amp; Zhu (2016); López de Prado (2018).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Aegis Alpha Lab is a long-short U.S. equity research platform built around three commitments: (i) every promoted signal must carry residual predictive power after standard style and industry risk premia are removed; (ii) every promotion decision must pass a pre-committed multiple-testing regime; and (iii) every stage of the pipeline must be reproducible from code and logs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edition of the specification tightens the framework against two recent papers that map directly onto our problem. Huang and Fan (2026) formalize the closed-loop agentic factor-investing workflow with explicit temporal isolation and σ-algebra-level no-lookahead constraints; we adopt that formalism verbatim. Wangpratham (2026) develops a structured 660-cell exploration grid, a typed failure-mode taxonomy, and a convergence-governed repair engine for LLM-based alpha discovery; we adopt that architecture as the target specification for V2.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3"/>
          <w:szCs w:val="23"/>
          <w:rtl w:val="0"/>
        </w:rPr>
        <w:t xml:space="preserve">What V1 delivers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Point-in-time U.S. daily equity panel on CRSP + Compustat Point-in-Time via WRDS, covering ~4,000 common stocks over 2000–2025.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deterministic feature library of ~40 closed-form factors; no LLM used in V1.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Barra-lite cross-sectional risk model with 9 style factors and 24 GICS industry groups, estimated by √mcap-weighted WLS.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three-tier promotion gate (Promote / Hold / Retire) driven by Newey–West-adjusted IC t-stats, Benjamini–Hochberg FDR at q = 0.10, Harvey–Liu |t| &gt; 3.0 hurdle, and Bailey–López de Prado Deflated Sharpe.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locked out-of-sample holdout of the final 24 months, plus a stricter sub-holdout of post-2023 months (per Huang &amp; Fan 2026).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FF3 / FF5 / FF6 risk-adjusted α with HAC t-statistics as a secondary validation, so a promoted factor must survive both residualization against Barra and abnormal-return regression against canonical academic models.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cost-aware long-short optimizer with explicit spread, Almgren impact, and tiered short-borrow terms.</w:t>
      </w:r>
    </w:p>
    <w:p w:rsidR="00000000" w:rsidDel="00000000" w:rsidP="00000000" w:rsidRDefault="00000000" w:rsidRPr="00000000" w14:paraId="00000017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3"/>
          <w:szCs w:val="23"/>
          <w:rtl w:val="0"/>
        </w:rPr>
        <w:t xml:space="preserve">What V2 and V3 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 introduces an LLM research engine over a 660-cell structured exploration grid (Wangpratham 2026) with priority-weighted cell selection, a RAG-grounded specification encoder, a Jaccard diversity gate on expressions, and a convergence-governed repair engine driven by a typed failure-mode taxonomy.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 also adds Huang-Fan-style memory-guided state updates, Ledoit–Wolf shrinkage on the factor covariance, a two-state HMM for regime conditioning, and a LightGBM alternative to the linear ensemble.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 extends to alternative data (10-K text, OptionMetrics), multi-agent critique, intraday execution simulation, and shadow paper trading through IBKR.</w:t>
      </w:r>
    </w:p>
    <w:p w:rsidR="00000000" w:rsidDel="00000000" w:rsidP="00000000" w:rsidRDefault="00000000" w:rsidRPr="00000000" w14:paraId="0000001B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3"/>
          <w:szCs w:val="23"/>
          <w:rtl w:val="0"/>
        </w:rPr>
        <w:t xml:space="preserve">Foundational 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five principles below are load-bearing. Every architectural and procedural choice elsewhere in this document derives from one or more of them, and any future extension that violates one of them should be treated as a regression rather than a feature.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Separation of concerns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LLM (V2) proposes ideas; deterministic, versioned code computes, scores, and rejects them. Evaluation never runs inside the language model. This keeps narrative plausibility from substituting for evidence: a candidate survives only if the §4 validation pipeline — HAC IC, BH-FDR, DSR, FF6 α, longer-horizon decay — says it survives.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Constrained search over free-form prompting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research engine searches inside an explicit grammar of variables, operators, horizons, and conditioning states, instantiated in V2 as the 660-cell exploration grid (Wangpratham 2026, §4.1.1). Search quality comes from good boundaries: a small, auditable token vocabulary + a six-rule deterministic validator + a Jaccard-0.70 diversity gate + a typed failure-mode catalogue. The generator is not asked to invent arbitrary new formulas; it is asked to fill defined grid cells.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Residual alpha before raw alpha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candidate is scored on raw predictive power alone. Every signal is first neutralized against the nine Barra-lite styles and twenty-four GICS industries (§4.4), then scored on specific-return IC. It is separately regressed on FF3/FF5/FF6 with HAC t-stats (§4.9). A candidate that only predicts because it inherits momentum, profitability, or size exposure is classified as a repackaging failure and rejected, not repackaged.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Structural alpha as a parallel research target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searches not only for stand-alone signal formulas but for factor architectures: composite value constructions, momentum vetoes (junk exclusions, crash filters), tail-depth redesigns, refresh-timing choices, and contamination gates. These live in a dedicated V2 search axis alongside the single-signal axis, on the premise that much practical alpha lies in how known factors are packaged rather than in new primitives.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Auditability and replayability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candidate carries a full ledger: thesis string, formula AST, data dependencies and snapshot hashes, every metric computed against it, failure-mode classifications encountered, repair history with before/after diffs, and final status (Promoted / Held / Retired). Any row in that ledger can be replayed bit-for-bit from the code plus the PIT data snapshot. Nothing about a promoted signal is tacit.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2. Motivation: Alpha Decay as an Operational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McLean and Pontiff (2016) document an average post-publication decay of roughly 5.6% per year for quantitative signals in U.S. equities; signals with high academic visibility decay at roughly twice that baseline. A live book of ~100 active signals must therefore retire and replace on the order of 5–10 signals per year merely to stay static. Wangpratham (2026) makes the same throughput argument at institutional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Aegis Alpha Lab treats alpha decay as a throughput problem, not a research problem. V1 fixes a hand-specified library of ~40 deterministic factors so that the validation pipeline, risk engine, and portfolio optimizer are debugged and measured before any automated proposer is layered on. V2 then replaces the hand-specified library with an agentic proposer that targets the same validation pipeline, so that research throughput can scale without loosening the empirical discipline.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2.1 Research 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We decompose the forward return of stock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over period (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+1 ] into three additive components and state which we chase: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i,t+1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+ 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i,k,t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· 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k,t+1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+ 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 premia 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β·f — real but crowded. Not the differentiator.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Residual alpha α — signals that predict ε after β-exposures are stripped away. Primary research target of V1.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Structural alpha — improvements to how known factors are packaged (tail depth, composite weighting, refresh timing, contamination filters) that raise their residual-alpha component. A V2 search module.</w:t>
      </w:r>
    </w:p>
    <w:p w:rsidR="00000000" w:rsidDel="00000000" w:rsidP="00000000" w:rsidRDefault="00000000" w:rsidRPr="00000000" w14:paraId="0000002C">
      <w:pPr>
        <w:pStyle w:val="Heading1"/>
        <w:spacing w:after="1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3. Notation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number of stocks in the eligible universe at date t (target ≈ 3,000)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number of rebalance dates in the sample (daily, ≈ 6,300 for 2000–2025)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F_t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information set (σ-algebra) generated by observable data up to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r_{i,t+1}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arithmetic forward return of stock i over (t, t+1]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X_t ∈ R^{N_t × K}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matrix of factor exposures at t; K = 9 styles + 24 industries + 1 country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β_{i,k,t}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(i,k) entry of X_t; standardized cross-sectionally with √mcap weights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f_{t+1} ∈ R^K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cross-sectional WLS factor returns for period t+1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ε_{i,t+1}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stock-specific residual 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s_{i,t}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a candidate alpha signal for stock i at t, satisfying s_{i,t} ∈ F_t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w_t ∈ R^{N_t}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portfolio weights at t (dollar-neutral, so 1ᵀw_t =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Σ_t, Ω_t, D_t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total, factor-block, and specific-risk-block covariance at 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spacing w:after="1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4. Mathematical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4.1 Formal no-lookahead constraint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Following Huang and Fan (2026, Eq. 3.4), every candidate factor value is required to be measurable with respect to the information filtration at time 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∈ 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σ( { 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j,s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j ∈ N, s ≤ 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Every operator in the approved grammar — lags, rolling moments, cross-sectional ranks, Winsorize, z-score — preserves this measurability by construction. Cross-sectional transforms are applied per date using only same-day information; time-series transforms are applied per asset using only history up to and including t. Violations of this constraint terminate the candidate immediately; this is enforced by the validator, not by reviewer inspection.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4.2 Cross-sectional factor estimation (Barra-lite)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At each date t we run a weighted cross-sectional regression of realized forward returns on pre-known exposures. This is the USE3 / USE4 decomposition (Barra / MSCI).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f̂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t+1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( 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ᵀ 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vertAlign w:val="superscript"/>
          <w:rtl w:val="0"/>
        </w:rPr>
        <w:t xml:space="preserve">−1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ᵀ 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with diagonal weight matrix 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diag( √mcap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). Exposures are winsorized at ±3 cross-sectional σ and then z-scored. Specific residuals 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ε̂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i,t+1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i,t+1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− 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ᵀ f̂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4.3 Factor covariance and specific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ᵀ + 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is an EWMA covariance of {f̂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s ≤ 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with half-life 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90 days. 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is an EWMA of specific-return variance with half-life 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60. V2 replaces Ω with a Ledoit–Wolf shrinkage estimator.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4.4 Residualized signal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Candidate s is first neutralized cross-sectionally against known exposures at each 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vertAlign w:val="superscript"/>
          <w:rtl w:val="0"/>
        </w:rPr>
        <w:t xml:space="preserve">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− 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( 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ᵀ 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vertAlign w:val="superscript"/>
          <w:rtl w:val="0"/>
        </w:rPr>
        <w:t xml:space="preserve">−1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ᵀ 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All IC-based evaluation operates on the residualized signal against specific residual returns.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4.5 IC, IC IR, and Newey–West adjusted t-statistic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vertAlign w:val="superscript"/>
          <w:rtl w:val="0"/>
        </w:rPr>
        <w:t xml:space="preserve">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Spearman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( 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vertAlign w:val="superscript"/>
          <w:rtl w:val="0"/>
        </w:rPr>
        <w:t xml:space="preserve">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, ε̂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t+1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mean(IC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vertAlign w:val="superscript"/>
          <w:rtl w:val="0"/>
        </w:rPr>
        <w:t xml:space="preserve">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) / std(IC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vertAlign w:val="superscript"/>
          <w:rtl w:val="0"/>
        </w:rPr>
        <w:t xml:space="preserve">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) · √252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Because daily IC series are autocorrelated under overlapping labels, the t-statistic is reported with Newey and West (1987) HAC standard errors, following Huang and Fan (2026):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mean(IC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vertAlign w:val="superscript"/>
          <w:rtl w:val="0"/>
        </w:rPr>
        <w:t xml:space="preserve">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) / √( V̂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NW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/ 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4.6 Harvey–Liu multiple-testing hurdle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Harvey, Liu, and Zhu (2016) argue that the conventional |t| &gt; 2.0 threshold is too permissive once the number of tested factors is taken into account, and recommend |t| &gt; 3.0 as the new-factor hurdle in the post-factor-zoo era. V1 adopts this as a necessary condition for promotion: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| 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| &gt; 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hurdle is combined with, not a substitute for, the FDR control and Deflated Sharpe gates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4.7 Benjamini–Hochberg FDR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Within a batch of m candidates we compute the HAC-adjusted two-sided p-value of 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. Sorting p-values ascending as 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(1)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≤ … ≤ 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(m)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, we reject every hypothesis with index at most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k* = max { i : 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(i)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≤ (i / m) · q }, with q = 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4.8 Deflated Sharpe Ratio (Bailey–López de Prado)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DSR = Φ(  [ ( SR − SR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) √(T−1) ] / √( 1 − 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·SR + (γ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−1)/4 · SR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)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SR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√V[SR̂] · [ (1−γ)·Φ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vertAlign w:val="superscript"/>
          <w:rtl w:val="0"/>
        </w:rPr>
        <w:t xml:space="preserve">−1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(1 − 1/N) + γ·Φ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vertAlign w:val="superscript"/>
          <w:rtl w:val="0"/>
        </w:rPr>
        <w:t xml:space="preserve">−1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(1 − 1/(N·e))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 is the effective number of trials tracked in the research ledger. A candidate passes only if DSR &gt; 0.95.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4.9 Incremental FF3 / FF5 / FF6 risk-adjusted 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Following Huang and Fan (2026, Exhibit 8), promoted long-short candidates are also regressed on Fama–French 3, 5, and 6-factor benchmarks with Newey–West HAC t-stats. Promotion requires: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α̂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FF6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&gt; 0   and   t(α̂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FF6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) &gt; 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second-stage α test is specifically designed to detect signals that merely repackage canonical equity factors: if the candidate's edge disappears once momentum and profitability/investment are controlled, it fails.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4.10 Purged and embargoed walk-forward 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For an h-day forward label, we purge any training observation whose label ends after the train boundary and embargo the first e = 5 trading days of the test fold (López de Prado 2018, ch. 7). V1 uses h = 21 and expanding year-long test folds.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4.11 Longer-horizon decay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Following Huang and Fan (2026, Exhibit 16), every promoted factor is also scored at holding horizons H = 1, 2, 3, 5, and 7 days. A candidate is retired if any of the following holds: (i) H = 1 t-stat ≥ 3.0 but H = 3 t-stat &lt; 1.5 (symptom of microstructure noise); (ii) sign of IC flips between H = 1 and H = 5 (symptom of spurious short-horizon reversal).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1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5. Closed-Loop Research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We adopt the Huang–Fan (2026, Eq. 3.1) formalization of the research cycle: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:  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 —Gen→  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 —Eval→  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 —Gate→  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Hypotheses H_k pass through generation, evaluation under the §4 protocol, and a gate that outputs a three-valued decision set D_k.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5.1 Three-tier promotion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gate is rule-based, not discretionary. For every candidate f, the decision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D(f) = Promote   if   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≥ 3.0  and  FDR-pass  and  DSR &gt; 0.95  and  t(α̂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FF6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) &gt; 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D(f) = Retire    if   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&lt; 1.5  or  DSR &lt; 0.50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D(f) = Hold      otherwise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Held candidates enter targeted robustness checks (regime sub-samples, alt-universe stress, longer-horizon decay). They are not re-scored against the original holdout.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5.2 Strict temporal and policy isolation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 Huang and Fan (2026, Eq. 3.5), the promotion mapping Ψ is a function only of in-sample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D(f) = Ψ( { 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, 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i,t+1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 ∈ T_IS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Out-of-sample observations never enter Ψ, never re-rank candidates, and never update the next-round search policy. V1 defines T_IS = 2000–2022, T_OOS = 2023–2025, with 2024–2025 as a locked sub-holdout that is opened exactly once, after the rest of the system is frozen.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5.3 Memory-guided state update (V2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 V2, the agent's search policy evolves per round 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k+1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LLM( 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,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, 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where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is the structured evaluation log and 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is the catalogue of accepted, held, and retired candidates. This sequential, evidence-based update — as opposed to independent random re-draws — is the core mechanism by which V2 avoids redundant trials while still exploring diverse regions of the grammar.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1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6. V1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V1 compresses the original sketch into six modules. Each has a mathematical core, inputs, outputs, and an acceptance test.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400"/>
        <w:gridCol w:w="1900"/>
        <w:gridCol w:w="1700"/>
        <w:gridCol w:w="1960"/>
        <w:tblGridChange w:id="0">
          <w:tblGrid>
            <w:gridCol w:w="1400"/>
            <w:gridCol w:w="2400"/>
            <w:gridCol w:w="1900"/>
            <w:gridCol w:w="17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Acceptance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A. Data &amp; PIT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corporate-action adjustment; PIT joins of CRSP + Compustat PIT; σ-algebra-tagged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CRSP daily, Compustat PIT, GICS PIT, SEC CIK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stock-date Parquet panel, ≈ 15 M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reconstructed S&amp;P 500 membership on any past date matches published index within 1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B. Research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append-only SQLite: candidate_id, git SHA, config hash, metrics, gate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candidate configs + metric dicts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queryable ledger; replay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every promoted factor replays bit-identical from ledger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C. Feature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~40 deterministic closed-form factors (§8)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PIT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daily factor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reference factors (12–1 momentum, B/P) reproduce published IC to within 0.005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D. Barra-lite risk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cross-sectional √mcap-WLS (§4.2); EWMA cov (§4.3)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PIT panel, exposure definitions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X_t, f̂_t, ε̂_t, Ω_t, D_t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mean R² ≥ 0.25 across style factors; residual lag-1 |ρ| ≤ 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E. Validation &amp;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purged CV + HAC t + BH-FDR + DSR + FF6 α + longer-horizon decay (§4.5–4.11, §5.1)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candidate signal, risk panel,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Promote / Hold / Retire + full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false-positive rate on 1,000 synthetic null signals ≤ q = 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F. Portfolio &amp; cost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QP in §10 with cost model in §9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promoted signals, Σ_t, cost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daily weights w_t, P&amp;L,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turnover matches QP dual; attribution residual ≤ 1 bp/day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1"/>
        <w:spacing w:after="1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7. Data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Primary stack: CRSP + Compustat Point-in-Time via WRDS (Rice's Jones School subscription). This is the same provenance used by Gu, Kelly, and Xiu (2020) and by Huang and Fan (2026). Backup: Sharadar SF1/SEP at ~$300/month for survivorship-bias-free daily prices and PIT fundamentals. Free-stack fallback (Yahoo + SEC EDGAR XBRL) is documented as a V1 limitation and flagged in every metric.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Sample filters (Huang &amp; Fan 2026, Exhibit 3): common shares only, NYSE/AMEX/NASDAQ listings, price ≥ $5, history ≥ 252 days. Target cross-section ≈ 3,000 stocks after filters, ≈ 16 M stock-day observations over 2000–2025. Forward returns winsorized cross-sectionally at the 1st and 99th percentiles.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spacing w:after="1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8. V1 Feature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V1 enumerates ~40 closed-form factors. Each is specified by an explicit expression over the approved vocabulary. Cross-sectional z-score with 1%/99% winsorization is applied per date as in Huang and Fan (2026, Eq. 3.3).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8.1 Representative formulas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Value composite (equal-weighted z-score of four yield ratios):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¼ [ 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(B/P) + 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(E/P) + 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(S/P) + 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(CF/P)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Momentum (12–1 month):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MOM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log( 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i,t−21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/ 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i,t−252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Gross profitability (Novy-Marx 2013):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(Revenue − COGS)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/ Assets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Amihud illiquidity (negated):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ILQ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− (1/21) 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s=t−20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vertAlign w:val="super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|r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| / ( 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· Vol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Short-term reversal, low realized volatility, 60-day beta, and standard accruals / investment / growth factors round out the library. The full list with exact formulas lives in a versioned YAML in the repo.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after="1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9. Cost, Borrow, and Capacity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· |Δw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| + η · ( |Δw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| · GMV / ADV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vertAlign w:val="superscript"/>
          <w:rtl w:val="0"/>
        </w:rPr>
        <w:t xml:space="preserve">3/2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+ 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· max( −w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, 0 ) · Δt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Corwin–Schultz daily half-spread floor (2 bp large, 5 bp mid), Almgren η = 0.10, tiered borrow (25 / 150 / 500 bp/yr by mcap decile). Huang and Fan (2026) use a flat 3 bp one-way cost as a simpler calibration; we report both under our full model and their 3-bp convention to enable apples-to-apples comparison with their 2.75/2.21 Sharpe benchmark.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Capacity cap: | 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| ≤ min( 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max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, 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ADV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· ADV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/ GMV ) with 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max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2% and 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ADV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= 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after="1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10. Portfolio Construction (V1)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max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  wᵀ α̂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− (λ/2) wᵀ 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w − κ ‖w − 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t−1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− 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TC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(w, 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t−1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subject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  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1ᵀ w = 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  — dollar-neutral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  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β_mktᵀ w = 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  — beta-neutral to value-weighted CRSP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  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|w_i| ≤ 2%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  — single-name concentration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  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|w_i| ≤ 5% · ADV_i / GMV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  — liquidity /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  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|X_sᵀ w| ≤ 0.25 σ_s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  — style-exposure budget (all 9 style factors)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  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|X_Iᵀ w| ≤ 0.50 σ_I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  — industry-exposure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  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GMV = ‖w‖₁ =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  — gross leverage normalized to 1x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λ is chosen so the unconstrained solution has 8% ex-ante annualized vol; κ is tuned so realized turnover lands near 5× GMV/yr. OSQP / ECOS solves the 1,500–3,000-variable QP in &lt; 1 s per date on a laptop.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1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11. Quantified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These thresholds are fixed before the locked sub-holdout is opened, and will not be relaxed afterward. Reference benchmarks from the literature are included so that V1 outcomes can be compared on a like-for-like basis.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100"/>
        <w:gridCol w:w="1300"/>
        <w:gridCol w:w="1300"/>
        <w:gridCol w:w="3060"/>
        <w:tblGridChange w:id="0">
          <w:tblGrid>
            <w:gridCol w:w="1600"/>
            <w:gridCol w:w="2100"/>
            <w:gridCol w:w="1300"/>
            <w:gridCol w:w="13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V1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V1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Literature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Single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Residualized rank IC (mean)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Huang &amp; Fan (2026), best factors 0.03–0.07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Single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IC IR (annualized)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Single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HAC t(IC)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5.0+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Harvey et al. (2016)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Single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Deflated Sharpe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Bailey &amp; López de Prado (2014)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Single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FF6 α, HAC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4.0+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Huang &amp; Fan (2026), best single factors t ≈ 3–5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Composite book, gross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Annualized Sharpe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Huang &amp; Fan (2026) report 2.75 gross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Composite book, net (3 bp)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Annualized Sharpe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Huang &amp; Fan (2026) report 2.21 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Composite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Max drawdown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≤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≤ 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Huang &amp; Fan (2026) 13.41% full 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Composite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Turnover (GMV/yr)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≤ 8×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~5×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Composite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Residual β to SPY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|β| ≤ 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|β| ≤ 0.02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Failure in the locked holdout counts as V1 failing its research hypothesis. The engineering is still a success — but the decision then is to change the hypothesis in V2, not to retry with relaxed thresholds.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12. V1 Timeline (≈ 20 weeks)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6160"/>
        <w:tblGridChange w:id="0">
          <w:tblGrid>
            <w:gridCol w:w="2000"/>
            <w:gridCol w:w="1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1.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WRDS pull, PIT joins, universe filters (common shares, price ≥ $5, 252-day history), unit tests for survivorship and restatement bias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2. Risk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6–8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Barra-lite estimation, EWMA covariance, diagnostic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3. Feature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9–12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~40 closed-form factors, residualization, reference-factor unit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4. Validation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13–15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Purged walk-forward, HAC IC, BH-FDR, DSR, FF6 α, longer-horizon decay, synthetic null-signal false-positive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5. Portfolio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16–18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QP optimizer, full cost + 3-bp-comparable runs, attribution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6. Lockbox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19–20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Freeze code, open 2024–2025 holdout, end-to-end run once, post-mortem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pStyle w:val="Heading1"/>
        <w:spacing w:after="1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13. V2 Roadmap — Agentic Research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V2 automates the proposer step while preserving every V1 validation and portfolio module. The target architecture is Wangpratham (2026)'s BrainAlpha, mapped onto our Barra-lite risk framework and long-only-or-short trading universe.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13.1 Structured 660-cell exploration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Alpha search is re-framed as exhaustible coverage over a Cartesian grid (Wangpratham 2026, §4.1.1):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Grid = 11 (signal families) × 5 (operator patterns) × 3 (horizons) × 4 (conditioning) = 660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Signal families: value, quality, momentum, reversal, low-vol, liquidity, turnover, attention, accruals, flow, residual-return patterns. Operator patterns: linear, ratio, difference, rolling-moment, rank-spread. Horizons: short (1–5d), medium (21–63d), long (126–252d). Conditioning: none, high-vol regime, low-vol regime, dispersion-stressed regime.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Each cell has a lifecycle state in {empty, assigned, explored, exhausted}, enforcing breadth-first coverage. The planner picks the next cell by priority score (Wangpratham 2026, Eq.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Priority(c, a) = 0.5 · Novelty(c) + 0.3 · ExpectedYield(c) + 0.2 · AgentAlignment(c,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Novelty(c) ∈ {1.00, 0.50, 0.25, 0.00} decreases monotonically with exploration status. ExpectedYield(c) is a family-level prior on pass rate, updated online by +0.10 after every promoted candidate in cell c. AgentAlignment(c, a) ∈ {0.3, 0.5, 0.7, 1.0} captures the fit between cell c and the specialty of agent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13.2 RAG-grounded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vector index over the live feature vocabulary (≈ 10,000 allowed field × operator tokens) retrieves the top-k relevant primitives for each thesis. The generator is constrained to sample only from retrieved tokens plus the fixed operator alphabet. A six-rule deterministic validator rejects any candidate that fails: non-empty primary fields, lookback ∈ [1, 120], recognized neutralization strategy, non-empty operator family, non-empty direction, hypothesis string ≥ 20 characters. Validation is zero-cost — no LLM call, no simulation budget consumed.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13.3 Jaccard diversity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new expression is admitted only if its operator-token Jaccard similarity against every accepted expression is below 0.70 (Wangpratham 2026, Eq. 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60" w:before="160" w:lin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max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e ∈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 | ops(e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new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) ∩ ops(e) | / | ops(e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vertAlign w:val="subscript"/>
          <w:rtl w:val="0"/>
        </w:rPr>
        <w:t xml:space="preserve">new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) ∪ ops(e) |  &lt;  0.70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prevents lexical near-duplicates from crowding the library, the single most common failure mode of naive LLM factor-mining.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13.4 Typed failure-mode taxonomy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Evaluation failures are classified into six typed modes (Wangpratham 2026, Table 3), each mapped to an ordered catalogue of targeted repairs: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800"/>
        <w:gridCol w:w="2260"/>
        <w:gridCol w:w="4600"/>
        <w:tblGridChange w:id="0">
          <w:tblGrid>
            <w:gridCol w:w="700"/>
            <w:gridCol w:w="1800"/>
            <w:gridCol w:w="226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Failure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Diagnostic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Primary repair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FM-1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Low signal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HAC t(IC) &lt; 3.0, flat PnL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style neutralization, industry neutralization, longer lookback, winsorize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FM-2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Excessive turnover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turnover &gt;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decay_linear smoothing, longer lookback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FM-3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 drawdown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max DD &gt;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volatility conditioning, winsorize 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FM-4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Signal reversal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IC sign opposite to 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negation, inversion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FM-5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Low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long/short count &lt;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pasteurize, relax universe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FM-6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Low turnover / 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turnover &lt;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shorten lookback, add cross-sectional rank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13.5 Convergence-governed repair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Before any repair iteration, three hard-stop conditions trigger immediate termination (Wangpratham 2026, §4.4.1):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I1 — self-correlation fail: structural duplication of an already-promoted signal; expression-level repair cannot fix idea-level duplication.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I2 — reversed complex signal: IC ≤ 0 and AST complexity &gt; 20 nodes; negation cannot propagate cleanly through deep nesting.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I3 — multi-failure: four or more failing checks simultaneously; no single-action repair addresses four independent deficiencies.</w:t>
      </w:r>
    </w:p>
    <w:p w:rsidR="00000000" w:rsidDel="00000000" w:rsidP="00000000" w:rsidRDefault="00000000" w:rsidRPr="00000000" w14:paraId="00000146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Five stop conditions end the loop once it begins: (i) all gates pass; (ii) max iterations reached; (iii) per-iteration Sharpe improvement &lt; δ = 0.02 for three consecutive rounds; (iv) gap-percentage widens rather than shrinks (divergence); (v) repair catalogue exhausted. Together, I1–I3 and the five stop conditions cap the number of repair rounds per candidate at a small constant, eliminating the search-budget-abuse risk of unbounded retry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13.6 Temperature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Generator calls use T = 0.7 for exploration. Repair / rewrite calls use T = 0.3, so revisions are targeted edits of a failing expression rather than fresh attempts from scratch (Wangpratham 2026, §4.4.3).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13.7 Ensemble: linear plus LightGBM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V1's transparent linear ensemble remains the auditable baseline. V2 adds a LightGBM non-linear aggregator (Huang and Fan 2026, §5.2) trained over the promoted-factor matrix. Both ensembles run in parallel; promotion of the LightGBM ensemble over the linear requires a Diebold–Mariano test on out-of-sample Sharpe to clear 5% significance. This prevents spurious gains from model-class flexibility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13.8 Regime conditioning, covariance shrinkage, crowding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Two-state HMM on (realized vol, CRSP dispersion, credit-spread change). Regime labels use filtered (one-sided) posterior only.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Ledoit–Wolf shrinkage on Ω with data-driven shrinkage intensity δ*.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Eigen-adjustment (Menchero, Poduri &amp; Zhang 2011) to correct the upward bias of the sample minimum-variance portfolio.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borrow fees from a stock-loan feed, replacing mcap-decile tiers.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Crowding proxy (hedge-fund 13F overlap, short-interest ratio) added as a penalty term in the QP.</w:t>
      </w:r>
    </w:p>
    <w:p w:rsidR="00000000" w:rsidDel="00000000" w:rsidP="00000000" w:rsidRDefault="00000000" w:rsidRPr="00000000" w14:paraId="00000151">
      <w:pPr>
        <w:pStyle w:val="Heading1"/>
        <w:spacing w:after="1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14. V3 Roadmap — Alternative Data, Multi-Agent,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14.1 Alternative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10-K / 10-Q text via SEC EDGAR: sentence-embedding similarity signals (Cohen, Malloy &amp; Nguyen 2020).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Option-implied skew, risk-reversal, and IV spread from OptionMetrics IvyDB.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Short-interest changes from NYSE / Nasdaq settlement reports.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I/B/E/S consensus revisions if WRDS includes it.</w:t>
      </w:r>
    </w:p>
    <w:p w:rsidR="00000000" w:rsidDel="00000000" w:rsidP="00000000" w:rsidRDefault="00000000" w:rsidRPr="00000000" w14:paraId="00000157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14.2 Multi-agent critique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Proposer agent specialized on a single signal family, a Skeptic agent whose job is to attribute every candidate to an existing Barra factor or already-in-library anomaly, and an Economist agent that must supply a falsifiable economic channel. Human reviewer approval is required for any candidate promoted out of V3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14.3 Intraday execution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TAQ-based simulator honoring visible book depth and converting daily QP weights to a VWAP or Almgren–Chriss trajectory. Replaces the static cost model with realized slippage distributions rather than point estimates.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14.4 Shadow paper trading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End-of-day weights routed to an IBKR paper account via their API, with position reconciliation and live cost attribution versus the simulated cost model. Runs for at least 6 months before any live-capital discussion.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spacing w:after="1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15. Mathematical and Computational Feasibility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15.1 Data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~3,000 names × ~6,300 trading days = 1.9 × 10⁷ rows × ~60 columns. Parquet storage ≈ 6 GB, DuckDB indexed ≤ 20 GB. A 32 GB / 1 TB SSD laptop is sufficient.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15.2 Risk-engine compute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Cross-sectional WLS: K ≈ 34, N ≈ 3,000, a 34×34 normal-equations inversion per date. One full sweep of 6,300 dates runs in under 10 s. EWMA covariance is O(K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) per date — negligible.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15.3 Portfolio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Daily QP: ~3,000 variables, ~60 linear constraints, factor-structured covariance so the solver never materializes the full N × N Σ. OSQP &lt; 1 s per date; 6,300 dates serially in under two hours, minutes in parallel.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15.4 Statistical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With mean residualized IC 0.03 and σ ≈ 0.06, HAC standard error of mean IC over T = 252 × 18 ≈ 4,500 daily obs is ≈ 0.00089. Population t ≈ 33 — the bottleneck is multiple-testing control, which §4.6–4.9 addresses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15.5 LLM budget (V2)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Wangpratham (2026) reports BrainAlpha saturating the 660-cell grid in the low-thousands of LLM calls. At current API pricing, that is in the range of low-hundreds of dollars per full grid sweep — negligible relative to the marginal value of a promoted signal.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5b6"/>
          <w:sz w:val="26"/>
          <w:szCs w:val="26"/>
          <w:rtl w:val="0"/>
        </w:rPr>
        <w:t xml:space="preserve">15.6 Tooling: Qlib as a selective accelerator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Microsoft Qlib (Yang et al. 2020) is an open-source quantitative research platform that overlaps our design on three layers and conflicts with it on two. It is worth adopting selectively rather than wholesale.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3"/>
          <w:szCs w:val="23"/>
          <w:rtl w:val="0"/>
        </w:rPr>
        <w:t xml:space="preserve">Where Qlib accelerates Aegis Alpha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layer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Qlib's binary columnar store and its DataHandler / Alpha158-style expression engine are a near-perfect match for the point-in-time panel described in §7. We can ingest the WRDS CRSP + Compustat PIT Parquet into Qlib's binary format for 10–50× faster feature materialization versus pandas groupby, without changing the provenance guarantees.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Expression DSL as scaffold for the V2 grammar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Qlib's symbolic operator set (Ref, Rank, Mean, Std, Corr, Cov, Delta, Sum, IdxMax, Slope, Log, Sign, Abs, WMA, EMA, …) is a published, tested superset of the operator alphabet needed by our Wangpratham-style 660-cell grid (§13.1). Adopting it directly — rather than rewriting — gives the V2 generator a proven, ruleset-level-safe token vocabulary and makes the six-rule deterministic validator (§13.2) trivial to implement.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recorder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Qlib's qlib.workflow.R recorder stores each experiment's config, dataset hash, model parameters, metrics, and artifacts under an MLflow-compatible tree. This is a direct fit for principle 5 (Auditability and replayability): the research ledger becomes a set of Recorder IDs, and bit-exact replay is a one-liner.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Rolling training utilities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qlib.contrib.rolling implements expanding-window and rolling-window retraining that maps cleanly onto our purged-embargoed walk-forward CV (§4.10). The purge and embargo logic still needs to be added — Qlib does not do this out of the box — but the rolling scaffolding is correct.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zoo for the V2 LightGBM ensemble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qlib.contrib.model.gbdt provides a preset LightGBM pipeline with CV, feature importance, and early stopping already wired. It is a drop-in comparison baseline for principle 1 (Separation of concerns): the language model proposes, Qlib's deterministic LightGBM aggregates.</w:t>
      </w:r>
    </w:p>
    <w:p w:rsidR="00000000" w:rsidDel="00000000" w:rsidP="00000000" w:rsidRDefault="00000000" w:rsidRPr="00000000" w14:paraId="00000170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3"/>
          <w:szCs w:val="23"/>
          <w:rtl w:val="0"/>
        </w:rPr>
        <w:t xml:space="preserve">Where Qlib is the wrong abstraction and must be replaced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decomposition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Qlib has no Barra-style cross-sectional factor model. Our §4.2 WLS estimation of style + industry factor returns, the §4.3 factor-structured covariance, and the §4.4 residualized-signal scoring must all be written against Qlib's panel — not delegated to it. Residual alpha (principle 3) is strictly out of Qlib's scope.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Multiple-testing discipline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Qlib reports per-strategy ICIR, Rank-ICIR, and annualized Sharpe, but does not implement Newey–West HAC IC t-stats (§4.5), Benjamini–Hochberg FDR (§4.7), Bailey–López de Prado Deflated Sharpe (§4.8), or the Harvey–Liu |t| &gt; 3.0 hurdle (§4.6). All four must be added on top.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model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Qlib's default TopkDropoutStrategy cost model is a flat per-side bp charge. Our §9 Corwin–Schultz spread + Almgren η|Δw|³ᐟ² impact + tiered borrow model is strictly richer and must be added as a custom strategy class.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Portfolio optimization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Qlib's built-in strategies are rank-based long-only (TopkDropout). The §10 cost-aware QP with dollar/beta neutrality, style/industry exposure budgets, and ADV capacity caps is outside Qlib; we retain OSQP and plug the resulting weights back into Qlib's backtest engine for attribution only.</w:t>
      </w:r>
    </w:p>
    <w:p w:rsidR="00000000" w:rsidDel="00000000" w:rsidP="00000000" w:rsidRDefault="00000000" w:rsidRPr="00000000" w14:paraId="00000175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3"/>
          <w:szCs w:val="23"/>
          <w:rtl w:val="0"/>
        </w:rPr>
        <w:t xml:space="preserve">Recommended integration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 Qlib as infrastructure, not as framework. Concretely, adopt Qlib for (data loader, expression DSL, recorder, rolling scaffolding, LightGBM baseline) and write custom code for (Barra-lite WLS risk engine, HAC/FDR/DSR/FF6 validation stack, cost model, QP optimizer, promotion gate). The §6 module boundaries already correspond to this split: Module A (Data &amp; PIT panel) and parts of Module C (Feature Catalog) sit inside Qlib; Modules B (Risk), D (Validation), E (Portfolio) sit outside. This preserves the separation-of-concerns principle: Qlib owns bulk storage and feature materialization, but never owns the decision to promote a signal.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Practical checklist: (1) pin Qlib to a specific commit in requirements.lock; (2) wrap every Qlib API call in a thin adapter module so Qlib can be swapped without touching validation or portfolio code; (3) mirror every Qlib Recorder artifact into the independent research ledger so replayability does not depend on MLflow being online; (4) disable Qlib's default strategy backtest and drive backtest from our own QP weights only. This contains Qlib's opinionation behind a seam and keeps the five principles enforceable at the seam.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spacing w:after="1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16.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Bailey, D. H., and López de Prado, M. (2014). The Deflated Sharpe Ratio. Journal of Portfolio Management 40(5), 94–107.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Benjamini, Y., and Hochberg, Y. (1995). Controlling the false discovery rate. JRSS-B 57, 289–300.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Carhart, M. (1997). On persistence in mutual fund performance. Journal of Finance 52, 57–82.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Corwin, S. A., and Schultz, P. (2012). A simple way to estimate bid-ask spreads from daily high and low prices. Journal of Finance 67, 719–760.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Fama, E. F., and French, K. R. (1993, 2015). Common risk factors / A five-factor asset pricing model. Journal of Financial Economics.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Gu, S., Kelly, B., and Xiu, D. (2020). Empirical asset pricing via machine learning. Review of Financial Studies 33, 2223–2273.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Harvey, C. R., Liu, Y., and Zhu, H. (2016). … and the cross-section of expected returns. Review of Financial Studies 29, 5–68.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Huang, A. Y., and Fan, Z. (2026). Beyond Prompting: An Autonomous Framework for Systematic Factor Investing via Agentic AI. arXiv:2603.14288v2.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Jegadeesh, N., and Titman, S. (1993). Returns to buying winners and selling losers. Journal of Finance 48, 65–91.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Ledoit, O., and Wolf, M. (2004). A well-conditioned estimator for large-dimensional covariance matrices. JMVA 88, 365–411.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López de Prado, M. (2018). Advances in Financial Machine Learning. Wiley. (Purged k-fold: ch. 7; False-Strategy Theorem: ch. 8.)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McLean, R. D., and Pontiff, J. (2016). Does academic research destroy stock return predictability? Journal of Finance 71, 5–32.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Menchero, J., Orr, D. J., and Wang, J. (2011). The Barra US Equity Model (USE4). MSCI Research Insight.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Newey, W. K., and West, K. D. (1987). A simple, positive semi-definite, heteroskedasticity- and autocorrelation-consistent covariance matrix. Econometrica 55, 703–708.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Novy-Marx, R. (2013). The other side of value: the gross profitability premium. Journal of Financial Economics 108, 1–28.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Wangpratham, N. (2026). BrainAlpha: An Autonomous Multi-Agent System for Quantitative Alpha Discovery. QuantCorner Laboratory working paper, SSRN 6313578.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jc w:val="center"/>
      <w:rPr/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jc w:val="right"/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7f7f7f"/>
        <w:sz w:val="18"/>
        <w:szCs w:val="18"/>
        <w:rtl w:val="0"/>
      </w:rPr>
      <w:t xml:space="preserve">Aegis Alpha Lab — V1 Specification v3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33333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