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left"/>
      </w:pPr>
      <w:r>
        <w:rPr>
          <w:b/>
        </w:rPr>
        <w:t>PROJECT DOSSIER</w:t>
      </w:r>
    </w:p>
    <w:p>
      <w:pPr>
        <w:pStyle w:val="Title"/>
        <w:jc w:val="left"/>
      </w:pPr>
      <w:r>
        <w:t>Aegis Alpha Lab — 12-Week Build Plan</w:t>
      </w:r>
    </w:p>
    <w:p>
      <w:pPr>
        <w:pStyle w:val="Subtitle"/>
        <w:jc w:val="left"/>
      </w:pPr>
      <w:r>
        <w:t>A realistic execution roadmap for an individual builder implementing the first working version</w:t>
      </w:r>
    </w:p>
    <w:tbl>
      <w:tblPr>
        <w:tblW w:type="auto" w:w="0"/>
        <w:jc w:val="left"/>
        <w:tblLayout w:type="fixed"/>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2304"/>
        <w:gridCol w:w="6768"/>
      </w:tblGrid>
      <w:tr>
        <w:tc>
          <w:tcPr>
            <w:tcW w:type="dxa" w:w="4968"/>
            <w:tcMar>
              <w:top w:w="90" w:type="dxa"/>
              <w:start w:w="110" w:type="dxa"/>
              <w:bottom w:w="90" w:type="dxa"/>
              <w:end w:w="110" w:type="dxa"/>
            </w:tcMar>
            <w:vAlign w:val="center"/>
            <w:shd w:fill="EAF1F8"/>
          </w:tcPr>
          <w:p>
            <w:pPr/>
            <w:r>
              <w:rPr>
                <w:b/>
                <w:color w:val="1C487D"/>
              </w:rPr>
              <w:t>Version</w:t>
            </w:r>
          </w:p>
        </w:tc>
        <w:tc>
          <w:tcPr>
            <w:tcW w:type="dxa" w:w="4968"/>
            <w:tcMar>
              <w:top w:w="90" w:type="dxa"/>
              <w:start w:w="110" w:type="dxa"/>
              <w:bottom w:w="90" w:type="dxa"/>
              <w:end w:w="110" w:type="dxa"/>
            </w:tcMar>
            <w:vAlign w:val="center"/>
          </w:tcPr>
          <w:p>
            <w:pPr/>
            <w:r>
              <w:t>Version 1.0 plan</w:t>
            </w:r>
          </w:p>
        </w:tc>
      </w:tr>
      <w:tr>
        <w:tc>
          <w:tcPr>
            <w:tcW w:type="dxa" w:w="4968"/>
            <w:tcMar>
              <w:top w:w="90" w:type="dxa"/>
              <w:start w:w="110" w:type="dxa"/>
              <w:bottom w:w="90" w:type="dxa"/>
              <w:end w:w="110" w:type="dxa"/>
            </w:tcMar>
            <w:vAlign w:val="center"/>
            <w:shd w:fill="EAF1F8"/>
          </w:tcPr>
          <w:p>
            <w:pPr/>
            <w:r>
              <w:rPr>
                <w:b/>
                <w:color w:val="1C487D"/>
              </w:rPr>
              <w:t>Audience</w:t>
            </w:r>
          </w:p>
        </w:tc>
        <w:tc>
          <w:tcPr>
            <w:tcW w:type="dxa" w:w="4968"/>
            <w:tcMar>
              <w:top w:w="90" w:type="dxa"/>
              <w:start w:w="110" w:type="dxa"/>
              <w:bottom w:w="90" w:type="dxa"/>
              <w:end w:w="110" w:type="dxa"/>
            </w:tcMar>
            <w:vAlign w:val="center"/>
          </w:tcPr>
          <w:p>
            <w:pPr/>
            <w:r>
              <w:t>Prepared for: Tim Peng</w:t>
            </w:r>
          </w:p>
        </w:tc>
      </w:tr>
    </w:tbl>
    <w:p/>
    <w:p>
      <w:pPr>
        <w:pStyle w:val="Callout"/>
        <w:jc w:val="left"/>
      </w:pPr>
      <w:r>
        <w:rPr>
          <w:b/>
        </w:rPr>
        <w:t xml:space="preserve">Buildability statement. </w:t>
      </w:r>
      <w:r>
        <w:t>This project is intentionally designed as an institutional-style platform with an individual-builder V1 scope. Each module has explicit inputs, outputs, evaluation rules, and upgrade paths so the system can be assembled step by step rather than relying on opaque black boxes or “AI magic.”</w:t>
      </w:r>
    </w:p>
    <w:p/>
    <w:p>
      <w:pPr>
        <w:pStyle w:val="Heading1"/>
      </w:pPr>
      <w:r>
        <w:t>1. Planning assumptions</w:t>
      </w:r>
    </w:p>
    <w:p>
      <w:pPr/>
      <w:r>
        <w:t>This roadmap assumes a part-time but serious build schedule: roughly 10–15 focused hours per week, with a bias toward clean module boundaries and reproducible tests rather than rushing into a large, brittle codebase. The purpose of the plan is to produce a working Version 1 platform that is useful on its own and clearly extensible afterward.</w:t>
      </w:r>
    </w:p>
    <w:p>
      <w:pPr>
        <w:ind w:left="288" w:hanging="202"/>
      </w:pPr>
      <w:r>
        <w:t xml:space="preserve">• </w:t>
      </w:r>
      <w:r>
        <w:t>Scope discipline: daily U.S. equities only in V1.</w:t>
      </w:r>
    </w:p>
    <w:p>
      <w:pPr>
        <w:ind w:left="288" w:hanging="202"/>
      </w:pPr>
      <w:r>
        <w:t xml:space="preserve">• </w:t>
      </w:r>
      <w:r>
        <w:t>Core stack: Python, local columnar data store, experiment ledger, LLM API, and a reproducible backtest/evaluation workflow.</w:t>
      </w:r>
    </w:p>
    <w:p>
      <w:pPr>
        <w:ind w:left="288" w:hanging="202"/>
      </w:pPr>
      <w:r>
        <w:t xml:space="preserve">• </w:t>
      </w:r>
      <w:r>
        <w:t>Build order: first make each module work on its own; only then assemble the full loop.</w:t>
      </w:r>
    </w:p>
    <w:p>
      <w:pPr>
        <w:ind w:left="288" w:hanging="202"/>
      </w:pPr>
      <w:r>
        <w:t xml:space="preserve">• </w:t>
      </w:r>
      <w:r>
        <w:t>QA rule: each week should end with an artifact that can be run, inspected, and compared against the previous state.</w:t>
      </w:r>
    </w:p>
    <w:p>
      <w:pPr>
        <w:pStyle w:val="Heading1"/>
      </w:pPr>
      <w:r>
        <w:t>2. Build sequence logic</w:t>
      </w:r>
    </w:p>
    <w:p>
      <w:pPr/>
      <w:r>
        <w:t>The plan is intentionally staged. The platform is not built by throwing all black boxes together and hoping they interact correctly. It is built by establishing a chain of trustworthy components: first the data and research ledger, then the risk and evaluation layer, then the agentic proposal layer, then the repair logic, then the ensemble and portfolio layer. This order matters because each later module depends on objective outputs from earlier modules.</w:t>
      </w:r>
    </w:p>
    <w:p>
      <w:pPr>
        <w:pStyle w:val="Heading1"/>
      </w:pPr>
      <w:r>
        <w:t>3. Twelve-week roadmap</w:t>
      </w:r>
    </w:p>
    <w:tbl>
      <w:tblPr>
        <w:tblW w:type="auto" w:w="0"/>
        <w:jc w:val="center"/>
        <w:tblLayout w:type="fixed"/>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936"/>
        <w:gridCol w:w="2016"/>
        <w:gridCol w:w="3600"/>
        <w:gridCol w:w="2304"/>
        <w:gridCol w:w="2232"/>
      </w:tblGrid>
      <w:tr>
        <w:tc>
          <w:tcPr>
            <w:tcW w:type="dxa" w:w="1987"/>
            <w:shd w:fill="EAF1F8"/>
            <w:tcMar>
              <w:top w:w="95" w:type="dxa"/>
              <w:start w:w="100" w:type="dxa"/>
              <w:bottom w:w="95" w:type="dxa"/>
              <w:end w:w="100" w:type="dxa"/>
            </w:tcMar>
          </w:tcPr>
          <w:p>
            <w:pPr>
              <w:jc w:val="center"/>
            </w:pPr>
            <w:r>
              <w:rPr>
                <w:rFonts w:ascii="Lato" w:hAnsi="Lato"/>
                <w:b/>
                <w:color w:val="1C487D"/>
                <w:sz w:val="18"/>
              </w:rPr>
              <w:t>Wk</w:t>
            </w:r>
          </w:p>
        </w:tc>
        <w:tc>
          <w:tcPr>
            <w:tcW w:type="dxa" w:w="1987"/>
            <w:shd w:fill="EAF1F8"/>
            <w:tcMar>
              <w:top w:w="95" w:type="dxa"/>
              <w:start w:w="100" w:type="dxa"/>
              <w:bottom w:w="95" w:type="dxa"/>
              <w:end w:w="100" w:type="dxa"/>
            </w:tcMar>
          </w:tcPr>
          <w:p>
            <w:pPr>
              <w:jc w:val="center"/>
            </w:pPr>
            <w:r>
              <w:rPr>
                <w:rFonts w:ascii="Lato" w:hAnsi="Lato"/>
                <w:b/>
                <w:color w:val="1C487D"/>
                <w:sz w:val="18"/>
              </w:rPr>
              <w:t>Focus</w:t>
            </w:r>
          </w:p>
        </w:tc>
        <w:tc>
          <w:tcPr>
            <w:tcW w:type="dxa" w:w="1987"/>
            <w:shd w:fill="EAF1F8"/>
            <w:tcMar>
              <w:top w:w="95" w:type="dxa"/>
              <w:start w:w="100" w:type="dxa"/>
              <w:bottom w:w="95" w:type="dxa"/>
              <w:end w:w="100" w:type="dxa"/>
            </w:tcMar>
          </w:tcPr>
          <w:p>
            <w:pPr>
              <w:jc w:val="center"/>
            </w:pPr>
            <w:r>
              <w:rPr>
                <w:rFonts w:ascii="Lato" w:hAnsi="Lato"/>
                <w:b/>
                <w:color w:val="1C487D"/>
                <w:sz w:val="18"/>
              </w:rPr>
              <w:t>Key build tasks</w:t>
            </w:r>
          </w:p>
        </w:tc>
        <w:tc>
          <w:tcPr>
            <w:tcW w:type="dxa" w:w="1987"/>
            <w:shd w:fill="EAF1F8"/>
            <w:tcMar>
              <w:top w:w="95" w:type="dxa"/>
              <w:start w:w="100" w:type="dxa"/>
              <w:bottom w:w="95" w:type="dxa"/>
              <w:end w:w="100" w:type="dxa"/>
            </w:tcMar>
          </w:tcPr>
          <w:p>
            <w:pPr>
              <w:jc w:val="center"/>
            </w:pPr>
            <w:r>
              <w:rPr>
                <w:rFonts w:ascii="Lato" w:hAnsi="Lato"/>
                <w:b/>
                <w:color w:val="1C487D"/>
                <w:sz w:val="18"/>
              </w:rPr>
              <w:t>Outputs</w:t>
            </w:r>
          </w:p>
        </w:tc>
        <w:tc>
          <w:tcPr>
            <w:tcW w:type="dxa" w:w="1987"/>
            <w:shd w:fill="EAF1F8"/>
            <w:tcMar>
              <w:top w:w="95" w:type="dxa"/>
              <w:start w:w="100" w:type="dxa"/>
              <w:bottom w:w="95" w:type="dxa"/>
              <w:end w:w="100" w:type="dxa"/>
            </w:tcMar>
          </w:tcPr>
          <w:p>
            <w:pPr>
              <w:jc w:val="center"/>
            </w:pPr>
            <w:r>
              <w:rPr>
                <w:rFonts w:ascii="Lato" w:hAnsi="Lato"/>
                <w:b/>
                <w:color w:val="1C487D"/>
                <w:sz w:val="18"/>
              </w:rPr>
              <w:t>Definition of done</w:t>
            </w:r>
          </w:p>
        </w:tc>
      </w:tr>
      <w:tr>
        <w:tc>
          <w:tcPr>
            <w:tcW w:type="dxa" w:w="936"/>
            <w:tcMar>
              <w:top w:w="80" w:type="dxa"/>
              <w:start w:w="95" w:type="dxa"/>
              <w:bottom w:w="80" w:type="dxa"/>
              <w:end w:w="95" w:type="dxa"/>
            </w:tcMar>
            <w:vAlign w:val="center"/>
            <w:shd w:fill="EEF7F5"/>
          </w:tcPr>
          <w:p>
            <w:pPr>
              <w:jc w:val="center"/>
            </w:pPr>
            <w:r>
              <w:rPr>
                <w:rFonts w:ascii="Lato" w:hAnsi="Lato"/>
                <w:b/>
                <w:color w:val="16786D"/>
                <w:sz w:val="17"/>
              </w:rPr>
              <w:t>1</w:t>
            </w:r>
          </w:p>
        </w:tc>
        <w:tc>
          <w:tcPr>
            <w:tcW w:type="dxa" w:w="2016"/>
            <w:tcMar>
              <w:top w:w="80" w:type="dxa"/>
              <w:start w:w="95" w:type="dxa"/>
              <w:bottom w:w="80" w:type="dxa"/>
              <w:end w:w="95" w:type="dxa"/>
            </w:tcMar>
            <w:vAlign w:val="center"/>
          </w:tcPr>
          <w:p>
            <w:r>
              <w:rPr>
                <w:rFonts w:ascii="Lato" w:hAnsi="Lato"/>
                <w:sz w:val="17"/>
              </w:rPr>
              <w:t>Project skeleton</w:t>
            </w:r>
          </w:p>
        </w:tc>
        <w:tc>
          <w:tcPr>
            <w:tcW w:type="dxa" w:w="3600"/>
            <w:tcMar>
              <w:top w:w="80" w:type="dxa"/>
              <w:start w:w="95" w:type="dxa"/>
              <w:bottom w:w="80" w:type="dxa"/>
              <w:end w:w="95" w:type="dxa"/>
            </w:tcMar>
            <w:vAlign w:val="center"/>
          </w:tcPr>
          <w:p>
            <w:r>
              <w:rPr>
                <w:rFonts w:ascii="Lato" w:hAnsi="Lato"/>
                <w:sz w:val="17"/>
              </w:rPr>
              <w:t>Create repository structure, config files, local data folders, experiment database schema, and a run command convention. Define module I/O contracts on paper before writing the internals.</w:t>
            </w:r>
          </w:p>
        </w:tc>
        <w:tc>
          <w:tcPr>
            <w:tcW w:type="dxa" w:w="2304"/>
            <w:tcMar>
              <w:top w:w="80" w:type="dxa"/>
              <w:start w:w="95" w:type="dxa"/>
              <w:bottom w:w="80" w:type="dxa"/>
              <w:end w:w="95" w:type="dxa"/>
            </w:tcMar>
            <w:vAlign w:val="center"/>
          </w:tcPr>
          <w:p>
            <w:r>
              <w:rPr>
                <w:rFonts w:ascii="Lato" w:hAnsi="Lato"/>
                <w:sz w:val="17"/>
              </w:rPr>
              <w:t>Repo skeleton, config templates, schema draft</w:t>
            </w:r>
          </w:p>
        </w:tc>
        <w:tc>
          <w:tcPr>
            <w:tcW w:type="dxa" w:w="2232"/>
            <w:tcMar>
              <w:top w:w="80" w:type="dxa"/>
              <w:start w:w="95" w:type="dxa"/>
              <w:bottom w:w="80" w:type="dxa"/>
              <w:end w:w="95" w:type="dxa"/>
            </w:tcMar>
            <w:vAlign w:val="center"/>
          </w:tcPr>
          <w:p>
            <w:r>
              <w:rPr>
                <w:rFonts w:ascii="Lato" w:hAnsi="Lato"/>
                <w:sz w:val="17"/>
              </w:rPr>
              <w:t>Running repo with documented module interfaces and environment reproducibility</w:t>
            </w:r>
          </w:p>
        </w:tc>
      </w:tr>
      <w:tr>
        <w:tc>
          <w:tcPr>
            <w:tcW w:type="dxa" w:w="936"/>
            <w:tcMar>
              <w:top w:w="80" w:type="dxa"/>
              <w:start w:w="95" w:type="dxa"/>
              <w:bottom w:w="80" w:type="dxa"/>
              <w:end w:w="95" w:type="dxa"/>
            </w:tcMar>
            <w:vAlign w:val="center"/>
          </w:tcPr>
          <w:p>
            <w:pPr>
              <w:jc w:val="center"/>
            </w:pPr>
            <w:r>
              <w:rPr>
                <w:rFonts w:ascii="Lato" w:hAnsi="Lato"/>
                <w:b/>
                <w:color w:val="16786D"/>
                <w:sz w:val="17"/>
              </w:rPr>
              <w:t>2</w:t>
            </w:r>
          </w:p>
        </w:tc>
        <w:tc>
          <w:tcPr>
            <w:tcW w:type="dxa" w:w="2016"/>
            <w:tcMar>
              <w:top w:w="80" w:type="dxa"/>
              <w:start w:w="95" w:type="dxa"/>
              <w:bottom w:w="80" w:type="dxa"/>
              <w:end w:w="95" w:type="dxa"/>
            </w:tcMar>
            <w:vAlign w:val="center"/>
          </w:tcPr>
          <w:p>
            <w:r>
              <w:rPr>
                <w:rFonts w:ascii="Lato" w:hAnsi="Lato"/>
                <w:sz w:val="17"/>
              </w:rPr>
              <w:t>Data store and universe</w:t>
            </w:r>
          </w:p>
        </w:tc>
        <w:tc>
          <w:tcPr>
            <w:tcW w:type="dxa" w:w="3600"/>
            <w:tcMar>
              <w:top w:w="80" w:type="dxa"/>
              <w:start w:w="95" w:type="dxa"/>
              <w:bottom w:w="80" w:type="dxa"/>
              <w:end w:w="95" w:type="dxa"/>
            </w:tcMar>
            <w:vAlign w:val="center"/>
          </w:tcPr>
          <w:p>
            <w:r>
              <w:rPr>
                <w:rFonts w:ascii="Lato" w:hAnsi="Lato"/>
                <w:sz w:val="17"/>
              </w:rPr>
              <w:t>Implement data ingestion for daily prices/volume/market cap/industry labels. Add universe filters and point-in-time lag rules. Cache a clean stock-date panel.</w:t>
            </w:r>
          </w:p>
        </w:tc>
        <w:tc>
          <w:tcPr>
            <w:tcW w:type="dxa" w:w="2304"/>
            <w:tcMar>
              <w:top w:w="80" w:type="dxa"/>
              <w:start w:w="95" w:type="dxa"/>
              <w:bottom w:w="80" w:type="dxa"/>
              <w:end w:w="95" w:type="dxa"/>
            </w:tcMar>
            <w:vAlign w:val="center"/>
          </w:tcPr>
          <w:p>
            <w:r>
              <w:rPr>
                <w:rFonts w:ascii="Lato" w:hAnsi="Lato"/>
                <w:sz w:val="17"/>
              </w:rPr>
              <w:t>First clean panel and universe report</w:t>
            </w:r>
          </w:p>
        </w:tc>
        <w:tc>
          <w:tcPr>
            <w:tcW w:type="dxa" w:w="2232"/>
            <w:tcMar>
              <w:top w:w="80" w:type="dxa"/>
              <w:start w:w="95" w:type="dxa"/>
              <w:bottom w:w="80" w:type="dxa"/>
              <w:end w:w="95" w:type="dxa"/>
            </w:tcMar>
            <w:vAlign w:val="center"/>
          </w:tcPr>
          <w:p>
            <w:r>
              <w:rPr>
                <w:rFonts w:ascii="Lato" w:hAnsi="Lato"/>
                <w:sz w:val="17"/>
              </w:rPr>
              <w:t>Panel loads deterministically and can be rebuilt end to end</w:t>
            </w:r>
          </w:p>
        </w:tc>
      </w:tr>
      <w:tr>
        <w:tc>
          <w:tcPr>
            <w:tcW w:type="dxa" w:w="936"/>
            <w:tcMar>
              <w:top w:w="80" w:type="dxa"/>
              <w:start w:w="95" w:type="dxa"/>
              <w:bottom w:w="80" w:type="dxa"/>
              <w:end w:w="95" w:type="dxa"/>
            </w:tcMar>
            <w:vAlign w:val="center"/>
            <w:shd w:fill="EEF7F5"/>
          </w:tcPr>
          <w:p>
            <w:pPr>
              <w:jc w:val="center"/>
            </w:pPr>
            <w:r>
              <w:rPr>
                <w:rFonts w:ascii="Lato" w:hAnsi="Lato"/>
                <w:b/>
                <w:color w:val="16786D"/>
                <w:sz w:val="17"/>
              </w:rPr>
              <w:t>3</w:t>
            </w:r>
          </w:p>
        </w:tc>
        <w:tc>
          <w:tcPr>
            <w:tcW w:type="dxa" w:w="2016"/>
            <w:tcMar>
              <w:top w:w="80" w:type="dxa"/>
              <w:start w:w="95" w:type="dxa"/>
              <w:bottom w:w="80" w:type="dxa"/>
              <w:end w:w="95" w:type="dxa"/>
            </w:tcMar>
            <w:vAlign w:val="center"/>
          </w:tcPr>
          <w:p>
            <w:r>
              <w:rPr>
                <w:rFonts w:ascii="Lato" w:hAnsi="Lato"/>
                <w:sz w:val="17"/>
              </w:rPr>
              <w:t>Feature builder</w:t>
            </w:r>
          </w:p>
        </w:tc>
        <w:tc>
          <w:tcPr>
            <w:tcW w:type="dxa" w:w="3600"/>
            <w:tcMar>
              <w:top w:w="80" w:type="dxa"/>
              <w:start w:w="95" w:type="dxa"/>
              <w:bottom w:w="80" w:type="dxa"/>
              <w:end w:w="95" w:type="dxa"/>
            </w:tcMar>
            <w:vAlign w:val="center"/>
          </w:tcPr>
          <w:p>
            <w:r>
              <w:rPr>
                <w:rFonts w:ascii="Lato" w:hAnsi="Lato"/>
                <w:sz w:val="17"/>
              </w:rPr>
              <w:t>Add rolling features: returns, volatility, turnover, price-to-moving-average, and market-state variables. Write unit tests for lagging and no-look-ahead behavior.</w:t>
            </w:r>
          </w:p>
        </w:tc>
        <w:tc>
          <w:tcPr>
            <w:tcW w:type="dxa" w:w="2304"/>
            <w:tcMar>
              <w:top w:w="80" w:type="dxa"/>
              <w:start w:w="95" w:type="dxa"/>
              <w:bottom w:w="80" w:type="dxa"/>
              <w:end w:w="95" w:type="dxa"/>
            </w:tcMar>
            <w:vAlign w:val="center"/>
          </w:tcPr>
          <w:p>
            <w:r>
              <w:rPr>
                <w:rFonts w:ascii="Lato" w:hAnsi="Lato"/>
                <w:sz w:val="17"/>
              </w:rPr>
              <w:t>Feature table and validation tests</w:t>
            </w:r>
          </w:p>
        </w:tc>
        <w:tc>
          <w:tcPr>
            <w:tcW w:type="dxa" w:w="2232"/>
            <w:tcMar>
              <w:top w:w="80" w:type="dxa"/>
              <w:start w:w="95" w:type="dxa"/>
              <w:bottom w:w="80" w:type="dxa"/>
              <w:end w:w="95" w:type="dxa"/>
            </w:tcMar>
            <w:vAlign w:val="center"/>
          </w:tcPr>
          <w:p>
            <w:r>
              <w:rPr>
                <w:rFonts w:ascii="Lato" w:hAnsi="Lato"/>
                <w:sz w:val="17"/>
              </w:rPr>
              <w:t>Feature values match manual spot checks on sample names/dates</w:t>
            </w:r>
          </w:p>
        </w:tc>
      </w:tr>
      <w:tr>
        <w:tc>
          <w:tcPr>
            <w:tcW w:type="dxa" w:w="936"/>
            <w:tcMar>
              <w:top w:w="80" w:type="dxa"/>
              <w:start w:w="95" w:type="dxa"/>
              <w:bottom w:w="80" w:type="dxa"/>
              <w:end w:w="95" w:type="dxa"/>
            </w:tcMar>
            <w:vAlign w:val="center"/>
          </w:tcPr>
          <w:p>
            <w:pPr>
              <w:jc w:val="center"/>
            </w:pPr>
            <w:r>
              <w:rPr>
                <w:rFonts w:ascii="Lato" w:hAnsi="Lato"/>
                <w:b/>
                <w:color w:val="16786D"/>
                <w:sz w:val="17"/>
              </w:rPr>
              <w:t>4</w:t>
            </w:r>
          </w:p>
        </w:tc>
        <w:tc>
          <w:tcPr>
            <w:tcW w:type="dxa" w:w="2016"/>
            <w:tcMar>
              <w:top w:w="80" w:type="dxa"/>
              <w:start w:w="95" w:type="dxa"/>
              <w:bottom w:w="80" w:type="dxa"/>
              <w:end w:w="95" w:type="dxa"/>
            </w:tcMar>
            <w:vAlign w:val="center"/>
          </w:tcPr>
          <w:p>
            <w:r>
              <w:rPr>
                <w:rFonts w:ascii="Lato" w:hAnsi="Lato"/>
                <w:sz w:val="17"/>
              </w:rPr>
              <w:t>Research ledger</w:t>
            </w:r>
          </w:p>
        </w:tc>
        <w:tc>
          <w:tcPr>
            <w:tcW w:type="dxa" w:w="3600"/>
            <w:tcMar>
              <w:top w:w="80" w:type="dxa"/>
              <w:start w:w="95" w:type="dxa"/>
              <w:bottom w:w="80" w:type="dxa"/>
              <w:end w:w="95" w:type="dxa"/>
            </w:tcMar>
            <w:vAlign w:val="center"/>
          </w:tcPr>
          <w:p>
            <w:r>
              <w:rPr>
                <w:rFonts w:ascii="Lato" w:hAnsi="Lato"/>
                <w:sz w:val="17"/>
              </w:rPr>
              <w:t>Implement candidate table, metrics table, repair history, and promotion-status tables. Add experiment IDs and dataset version recording.</w:t>
            </w:r>
          </w:p>
        </w:tc>
        <w:tc>
          <w:tcPr>
            <w:tcW w:type="dxa" w:w="2304"/>
            <w:tcMar>
              <w:top w:w="80" w:type="dxa"/>
              <w:start w:w="95" w:type="dxa"/>
              <w:bottom w:w="80" w:type="dxa"/>
              <w:end w:w="95" w:type="dxa"/>
            </w:tcMar>
            <w:vAlign w:val="center"/>
          </w:tcPr>
          <w:p>
            <w:r>
              <w:rPr>
                <w:rFonts w:ascii="Lato" w:hAnsi="Lato"/>
                <w:sz w:val="17"/>
              </w:rPr>
              <w:t>Working ledger with insert/read/update utilities</w:t>
            </w:r>
          </w:p>
        </w:tc>
        <w:tc>
          <w:tcPr>
            <w:tcW w:type="dxa" w:w="2232"/>
            <w:tcMar>
              <w:top w:w="80" w:type="dxa"/>
              <w:start w:w="95" w:type="dxa"/>
              <w:bottom w:w="80" w:type="dxa"/>
              <w:end w:w="95" w:type="dxa"/>
            </w:tcMar>
            <w:vAlign w:val="center"/>
          </w:tcPr>
          <w:p>
            <w:r>
              <w:rPr>
                <w:rFonts w:ascii="Lato" w:hAnsi="Lato"/>
                <w:sz w:val="17"/>
              </w:rPr>
              <w:t>Every candidate can be logged and replayed with provenance</w:t>
            </w:r>
          </w:p>
        </w:tc>
      </w:tr>
      <w:tr>
        <w:tc>
          <w:tcPr>
            <w:tcW w:type="dxa" w:w="936"/>
            <w:tcMar>
              <w:top w:w="80" w:type="dxa"/>
              <w:start w:w="95" w:type="dxa"/>
              <w:bottom w:w="80" w:type="dxa"/>
              <w:end w:w="95" w:type="dxa"/>
            </w:tcMar>
            <w:vAlign w:val="center"/>
            <w:shd w:fill="EEF7F5"/>
          </w:tcPr>
          <w:p>
            <w:pPr>
              <w:jc w:val="center"/>
            </w:pPr>
            <w:r>
              <w:rPr>
                <w:rFonts w:ascii="Lato" w:hAnsi="Lato"/>
                <w:b/>
                <w:color w:val="16786D"/>
                <w:sz w:val="17"/>
              </w:rPr>
              <w:t>5</w:t>
            </w:r>
          </w:p>
        </w:tc>
        <w:tc>
          <w:tcPr>
            <w:tcW w:type="dxa" w:w="2016"/>
            <w:tcMar>
              <w:top w:w="80" w:type="dxa"/>
              <w:start w:w="95" w:type="dxa"/>
              <w:bottom w:w="80" w:type="dxa"/>
              <w:end w:w="95" w:type="dxa"/>
            </w:tcMar>
            <w:vAlign w:val="center"/>
          </w:tcPr>
          <w:p>
            <w:r>
              <w:rPr>
                <w:rFonts w:ascii="Lato" w:hAnsi="Lato"/>
                <w:sz w:val="17"/>
              </w:rPr>
              <w:t>Barra-lite exposures</w:t>
            </w:r>
          </w:p>
        </w:tc>
        <w:tc>
          <w:tcPr>
            <w:tcW w:type="dxa" w:w="3600"/>
            <w:tcMar>
              <w:top w:w="80" w:type="dxa"/>
              <w:start w:w="95" w:type="dxa"/>
              <w:bottom w:w="80" w:type="dxa"/>
              <w:end w:w="95" w:type="dxa"/>
            </w:tcMar>
            <w:vAlign w:val="center"/>
          </w:tcPr>
          <w:p>
            <w:r>
              <w:rPr>
                <w:rFonts w:ascii="Lato" w:hAnsi="Lato"/>
                <w:sz w:val="17"/>
              </w:rPr>
              <w:t>Build factor exposures for industry, size, value, beta, momentum, volatility, and liquidity. Compute cross-sectional regressions for factor returns and residuals.</w:t>
            </w:r>
          </w:p>
        </w:tc>
        <w:tc>
          <w:tcPr>
            <w:tcW w:type="dxa" w:w="2304"/>
            <w:tcMar>
              <w:top w:w="80" w:type="dxa"/>
              <w:start w:w="95" w:type="dxa"/>
              <w:bottom w:w="80" w:type="dxa"/>
              <w:end w:w="95" w:type="dxa"/>
            </w:tcMar>
            <w:vAlign w:val="center"/>
          </w:tcPr>
          <w:p>
            <w:r>
              <w:rPr>
                <w:rFonts w:ascii="Lato" w:hAnsi="Lato"/>
                <w:sz w:val="17"/>
              </w:rPr>
              <w:t>Exposure matrix and residual-return pipeline</w:t>
            </w:r>
          </w:p>
        </w:tc>
        <w:tc>
          <w:tcPr>
            <w:tcW w:type="dxa" w:w="2232"/>
            <w:tcMar>
              <w:top w:w="80" w:type="dxa"/>
              <w:start w:w="95" w:type="dxa"/>
              <w:bottom w:w="80" w:type="dxa"/>
              <w:end w:w="95" w:type="dxa"/>
            </w:tcMar>
            <w:vAlign w:val="center"/>
          </w:tcPr>
          <w:p>
            <w:r>
              <w:rPr>
                <w:rFonts w:ascii="Lato" w:hAnsi="Lato"/>
                <w:sz w:val="17"/>
              </w:rPr>
              <w:t>At least one full month of daily factor-return estimation runs cleanly</w:t>
            </w:r>
          </w:p>
        </w:tc>
      </w:tr>
      <w:tr>
        <w:tc>
          <w:tcPr>
            <w:tcW w:type="dxa" w:w="936"/>
            <w:tcMar>
              <w:top w:w="80" w:type="dxa"/>
              <w:start w:w="95" w:type="dxa"/>
              <w:bottom w:w="80" w:type="dxa"/>
              <w:end w:w="95" w:type="dxa"/>
            </w:tcMar>
            <w:vAlign w:val="center"/>
          </w:tcPr>
          <w:p>
            <w:pPr>
              <w:jc w:val="center"/>
            </w:pPr>
            <w:r>
              <w:rPr>
                <w:rFonts w:ascii="Lato" w:hAnsi="Lato"/>
                <w:b/>
                <w:color w:val="16786D"/>
                <w:sz w:val="17"/>
              </w:rPr>
              <w:t>6</w:t>
            </w:r>
          </w:p>
        </w:tc>
        <w:tc>
          <w:tcPr>
            <w:tcW w:type="dxa" w:w="2016"/>
            <w:tcMar>
              <w:top w:w="80" w:type="dxa"/>
              <w:start w:w="95" w:type="dxa"/>
              <w:bottom w:w="80" w:type="dxa"/>
              <w:end w:w="95" w:type="dxa"/>
            </w:tcMar>
            <w:vAlign w:val="center"/>
          </w:tcPr>
          <w:p>
            <w:r>
              <w:rPr>
                <w:rFonts w:ascii="Lato" w:hAnsi="Lato"/>
                <w:sz w:val="17"/>
              </w:rPr>
              <w:t>Risk model and diagnostics</w:t>
            </w:r>
          </w:p>
        </w:tc>
        <w:tc>
          <w:tcPr>
            <w:tcW w:type="dxa" w:w="3600"/>
            <w:tcMar>
              <w:top w:w="80" w:type="dxa"/>
              <w:start w:w="95" w:type="dxa"/>
              <w:bottom w:w="80" w:type="dxa"/>
              <w:end w:w="95" w:type="dxa"/>
            </w:tcMar>
            <w:vAlign w:val="center"/>
          </w:tcPr>
          <w:p>
            <w:r>
              <w:rPr>
                <w:rFonts w:ascii="Lato" w:hAnsi="Lato"/>
                <w:sz w:val="17"/>
              </w:rPr>
              <w:t>Estimate factor covariance and specific risk. Add exposure-leakage diagnostics and neutralization utilities. Produce a basic attribution report for a toy portfolio.</w:t>
            </w:r>
          </w:p>
        </w:tc>
        <w:tc>
          <w:tcPr>
            <w:tcW w:type="dxa" w:w="2304"/>
            <w:tcMar>
              <w:top w:w="80" w:type="dxa"/>
              <w:start w:w="95" w:type="dxa"/>
              <w:bottom w:w="80" w:type="dxa"/>
              <w:end w:w="95" w:type="dxa"/>
            </w:tcMar>
            <w:vAlign w:val="center"/>
          </w:tcPr>
          <w:p>
            <w:r>
              <w:rPr>
                <w:rFonts w:ascii="Lato" w:hAnsi="Lato"/>
                <w:sz w:val="17"/>
              </w:rPr>
              <w:t>Risk engine v1 and diagnostic notebook/report</w:t>
            </w:r>
          </w:p>
        </w:tc>
        <w:tc>
          <w:tcPr>
            <w:tcW w:type="dxa" w:w="2232"/>
            <w:tcMar>
              <w:top w:w="80" w:type="dxa"/>
              <w:start w:w="95" w:type="dxa"/>
              <w:bottom w:w="80" w:type="dxa"/>
              <w:end w:w="95" w:type="dxa"/>
            </w:tcMar>
            <w:vAlign w:val="center"/>
          </w:tcPr>
          <w:p>
            <w:r>
              <w:rPr>
                <w:rFonts w:ascii="Lato" w:hAnsi="Lato"/>
                <w:sz w:val="17"/>
              </w:rPr>
              <w:t>Covariance and residual diagnostics are stable and interpretable</w:t>
            </w:r>
          </w:p>
        </w:tc>
      </w:tr>
      <w:tr>
        <w:tc>
          <w:tcPr>
            <w:tcW w:type="dxa" w:w="936"/>
            <w:tcMar>
              <w:top w:w="80" w:type="dxa"/>
              <w:start w:w="95" w:type="dxa"/>
              <w:bottom w:w="80" w:type="dxa"/>
              <w:end w:w="95" w:type="dxa"/>
            </w:tcMar>
            <w:vAlign w:val="center"/>
            <w:shd w:fill="EEF7F5"/>
          </w:tcPr>
          <w:p>
            <w:pPr>
              <w:jc w:val="center"/>
            </w:pPr>
            <w:r>
              <w:rPr>
                <w:rFonts w:ascii="Lato" w:hAnsi="Lato"/>
                <w:b/>
                <w:color w:val="16786D"/>
                <w:sz w:val="17"/>
              </w:rPr>
              <w:t>7</w:t>
            </w:r>
          </w:p>
        </w:tc>
        <w:tc>
          <w:tcPr>
            <w:tcW w:type="dxa" w:w="2016"/>
            <w:tcMar>
              <w:top w:w="80" w:type="dxa"/>
              <w:start w:w="95" w:type="dxa"/>
              <w:bottom w:w="80" w:type="dxa"/>
              <w:end w:w="95" w:type="dxa"/>
            </w:tcMar>
            <w:vAlign w:val="center"/>
          </w:tcPr>
          <w:p>
            <w:r>
              <w:rPr>
                <w:rFonts w:ascii="Lato" w:hAnsi="Lato"/>
                <w:sz w:val="17"/>
              </w:rPr>
              <w:t>Long-short evaluator</w:t>
            </w:r>
          </w:p>
        </w:tc>
        <w:tc>
          <w:tcPr>
            <w:tcW w:type="dxa" w:w="3600"/>
            <w:tcMar>
              <w:top w:w="80" w:type="dxa"/>
              <w:start w:w="95" w:type="dxa"/>
              <w:bottom w:w="80" w:type="dxa"/>
              <w:end w:w="95" w:type="dxa"/>
            </w:tcMar>
            <w:vAlign w:val="center"/>
          </w:tcPr>
          <w:p>
            <w:r>
              <w:rPr>
                <w:rFonts w:ascii="Lato" w:hAnsi="Lato"/>
                <w:sz w:val="17"/>
              </w:rPr>
              <w:t>Implement rank IC, quantile spreads, long-short Sharpe, turnover, drawdown, and basic cost model. Add capacity-aware checks such as ADV participation proxies.</w:t>
            </w:r>
          </w:p>
        </w:tc>
        <w:tc>
          <w:tcPr>
            <w:tcW w:type="dxa" w:w="2304"/>
            <w:tcMar>
              <w:top w:w="80" w:type="dxa"/>
              <w:start w:w="95" w:type="dxa"/>
              <w:bottom w:w="80" w:type="dxa"/>
              <w:end w:w="95" w:type="dxa"/>
            </w:tcMar>
            <w:vAlign w:val="center"/>
          </w:tcPr>
          <w:p>
            <w:r>
              <w:rPr>
                <w:rFonts w:ascii="Lato" w:hAnsi="Lato"/>
                <w:sz w:val="17"/>
              </w:rPr>
              <w:t>Deterministic evaluation module</w:t>
            </w:r>
          </w:p>
        </w:tc>
        <w:tc>
          <w:tcPr>
            <w:tcW w:type="dxa" w:w="2232"/>
            <w:tcMar>
              <w:top w:w="80" w:type="dxa"/>
              <w:start w:w="95" w:type="dxa"/>
              <w:bottom w:w="80" w:type="dxa"/>
              <w:end w:w="95" w:type="dxa"/>
            </w:tcMar>
            <w:vAlign w:val="center"/>
          </w:tcPr>
          <w:p>
            <w:r>
              <w:rPr>
                <w:rFonts w:ascii="Lato" w:hAnsi="Lato"/>
                <w:sz w:val="17"/>
              </w:rPr>
              <w:t>Any candidate factor can be scored by one command with a structured output object</w:t>
            </w:r>
          </w:p>
        </w:tc>
      </w:tr>
      <w:tr>
        <w:tc>
          <w:tcPr>
            <w:tcW w:type="dxa" w:w="936"/>
            <w:tcMar>
              <w:top w:w="80" w:type="dxa"/>
              <w:start w:w="95" w:type="dxa"/>
              <w:bottom w:w="80" w:type="dxa"/>
              <w:end w:w="95" w:type="dxa"/>
            </w:tcMar>
            <w:vAlign w:val="center"/>
          </w:tcPr>
          <w:p>
            <w:pPr>
              <w:jc w:val="center"/>
            </w:pPr>
            <w:r>
              <w:rPr>
                <w:rFonts w:ascii="Lato" w:hAnsi="Lato"/>
                <w:b/>
                <w:color w:val="16786D"/>
                <w:sz w:val="17"/>
              </w:rPr>
              <w:t>8</w:t>
            </w:r>
          </w:p>
        </w:tc>
        <w:tc>
          <w:tcPr>
            <w:tcW w:type="dxa" w:w="2016"/>
            <w:tcMar>
              <w:top w:w="80" w:type="dxa"/>
              <w:start w:w="95" w:type="dxa"/>
              <w:bottom w:w="80" w:type="dxa"/>
              <w:end w:w="95" w:type="dxa"/>
            </w:tcMar>
            <w:vAlign w:val="center"/>
          </w:tcPr>
          <w:p>
            <w:r>
              <w:rPr>
                <w:rFonts w:ascii="Lato" w:hAnsi="Lato"/>
                <w:sz w:val="17"/>
              </w:rPr>
              <w:t>RAG and validators</w:t>
            </w:r>
          </w:p>
        </w:tc>
        <w:tc>
          <w:tcPr>
            <w:tcW w:type="dxa" w:w="3600"/>
            <w:tcMar>
              <w:top w:w="80" w:type="dxa"/>
              <w:start w:w="95" w:type="dxa"/>
              <w:bottom w:w="80" w:type="dxa"/>
              <w:end w:w="95" w:type="dxa"/>
            </w:tcMar>
            <w:vAlign w:val="center"/>
          </w:tcPr>
          <w:p>
            <w:r>
              <w:rPr>
                <w:rFonts w:ascii="Lato" w:hAnsi="Lato"/>
                <w:sz w:val="17"/>
              </w:rPr>
              <w:t>Create approved variable/operator catalog, retrieval index, and deterministic expression validator. Block invalid fields, illegal lookbacks, and overly complex expressions.</w:t>
            </w:r>
          </w:p>
        </w:tc>
        <w:tc>
          <w:tcPr>
            <w:tcW w:type="dxa" w:w="2304"/>
            <w:tcMar>
              <w:top w:w="80" w:type="dxa"/>
              <w:start w:w="95" w:type="dxa"/>
              <w:bottom w:w="80" w:type="dxa"/>
              <w:end w:w="95" w:type="dxa"/>
            </w:tcMar>
            <w:vAlign w:val="center"/>
          </w:tcPr>
          <w:p>
            <w:r>
              <w:rPr>
                <w:rFonts w:ascii="Lato" w:hAnsi="Lato"/>
                <w:sz w:val="17"/>
              </w:rPr>
              <w:t>Grounding layer and validator suite</w:t>
            </w:r>
          </w:p>
        </w:tc>
        <w:tc>
          <w:tcPr>
            <w:tcW w:type="dxa" w:w="2232"/>
            <w:tcMar>
              <w:top w:w="80" w:type="dxa"/>
              <w:start w:w="95" w:type="dxa"/>
              <w:bottom w:w="80" w:type="dxa"/>
              <w:end w:w="95" w:type="dxa"/>
            </w:tcMar>
            <w:vAlign w:val="center"/>
          </w:tcPr>
          <w:p>
            <w:r>
              <w:rPr>
                <w:rFonts w:ascii="Lato" w:hAnsi="Lato"/>
                <w:sz w:val="17"/>
              </w:rPr>
              <w:t>The system rejects malformed proposals before backtest time</w:t>
            </w:r>
          </w:p>
        </w:tc>
      </w:tr>
      <w:tr>
        <w:tc>
          <w:tcPr>
            <w:tcW w:type="dxa" w:w="936"/>
            <w:tcMar>
              <w:top w:w="80" w:type="dxa"/>
              <w:start w:w="95" w:type="dxa"/>
              <w:bottom w:w="80" w:type="dxa"/>
              <w:end w:w="95" w:type="dxa"/>
            </w:tcMar>
            <w:vAlign w:val="center"/>
            <w:shd w:fill="EEF7F5"/>
          </w:tcPr>
          <w:p>
            <w:pPr>
              <w:jc w:val="center"/>
            </w:pPr>
            <w:r>
              <w:rPr>
                <w:rFonts w:ascii="Lato" w:hAnsi="Lato"/>
                <w:b/>
                <w:color w:val="16786D"/>
                <w:sz w:val="17"/>
              </w:rPr>
              <w:t>9</w:t>
            </w:r>
          </w:p>
        </w:tc>
        <w:tc>
          <w:tcPr>
            <w:tcW w:type="dxa" w:w="2016"/>
            <w:tcMar>
              <w:top w:w="80" w:type="dxa"/>
              <w:start w:w="95" w:type="dxa"/>
              <w:bottom w:w="80" w:type="dxa"/>
              <w:end w:w="95" w:type="dxa"/>
            </w:tcMar>
            <w:vAlign w:val="center"/>
          </w:tcPr>
          <w:p>
            <w:r>
              <w:rPr>
                <w:rFonts w:ascii="Lato" w:hAnsi="Lato"/>
                <w:sz w:val="17"/>
              </w:rPr>
              <w:t>LLM generator and critic</w:t>
            </w:r>
          </w:p>
        </w:tc>
        <w:tc>
          <w:tcPr>
            <w:tcW w:type="dxa" w:w="3600"/>
            <w:tcMar>
              <w:top w:w="80" w:type="dxa"/>
              <w:start w:w="95" w:type="dxa"/>
              <w:bottom w:w="80" w:type="dxa"/>
              <w:end w:w="95" w:type="dxa"/>
            </w:tcMar>
            <w:vAlign w:val="center"/>
          </w:tcPr>
          <w:p>
            <w:r>
              <w:rPr>
                <w:rFonts w:ascii="Lato" w:hAnsi="Lato"/>
                <w:sz w:val="17"/>
              </w:rPr>
              <w:t>Build prompt templates for generator and critic. Generator outputs formula/structural recipe/rationale; critic outputs objections and likely leakage or implementation issues.</w:t>
            </w:r>
          </w:p>
        </w:tc>
        <w:tc>
          <w:tcPr>
            <w:tcW w:type="dxa" w:w="2304"/>
            <w:tcMar>
              <w:top w:w="80" w:type="dxa"/>
              <w:start w:w="95" w:type="dxa"/>
              <w:bottom w:w="80" w:type="dxa"/>
              <w:end w:w="95" w:type="dxa"/>
            </w:tcMar>
            <w:vAlign w:val="center"/>
          </w:tcPr>
          <w:p>
            <w:r>
              <w:rPr>
                <w:rFonts w:ascii="Lato" w:hAnsi="Lato"/>
                <w:sz w:val="17"/>
              </w:rPr>
              <w:t>Agent pair with structured JSON outputs</w:t>
            </w:r>
          </w:p>
        </w:tc>
        <w:tc>
          <w:tcPr>
            <w:tcW w:type="dxa" w:w="2232"/>
            <w:tcMar>
              <w:top w:w="80" w:type="dxa"/>
              <w:start w:w="95" w:type="dxa"/>
              <w:bottom w:w="80" w:type="dxa"/>
              <w:end w:w="95" w:type="dxa"/>
            </w:tcMar>
            <w:vAlign w:val="center"/>
          </w:tcPr>
          <w:p>
            <w:r>
              <w:rPr>
                <w:rFonts w:ascii="Lato" w:hAnsi="Lato"/>
                <w:sz w:val="17"/>
              </w:rPr>
              <w:t>At least 20 generated candidates can pass through the prompt pipeline reproducibly</w:t>
            </w:r>
          </w:p>
        </w:tc>
      </w:tr>
      <w:tr>
        <w:tc>
          <w:tcPr>
            <w:tcW w:type="dxa" w:w="936"/>
            <w:tcMar>
              <w:top w:w="80" w:type="dxa"/>
              <w:start w:w="95" w:type="dxa"/>
              <w:bottom w:w="80" w:type="dxa"/>
              <w:end w:w="95" w:type="dxa"/>
            </w:tcMar>
            <w:vAlign w:val="center"/>
          </w:tcPr>
          <w:p>
            <w:pPr>
              <w:jc w:val="center"/>
            </w:pPr>
            <w:r>
              <w:rPr>
                <w:rFonts w:ascii="Lato" w:hAnsi="Lato"/>
                <w:b/>
                <w:color w:val="16786D"/>
                <w:sz w:val="17"/>
              </w:rPr>
              <w:t>10</w:t>
            </w:r>
          </w:p>
        </w:tc>
        <w:tc>
          <w:tcPr>
            <w:tcW w:type="dxa" w:w="2016"/>
            <w:tcMar>
              <w:top w:w="80" w:type="dxa"/>
              <w:start w:w="95" w:type="dxa"/>
              <w:bottom w:w="80" w:type="dxa"/>
              <w:end w:w="95" w:type="dxa"/>
            </w:tcMar>
            <w:vAlign w:val="center"/>
          </w:tcPr>
          <w:p>
            <w:r>
              <w:rPr>
                <w:rFonts w:ascii="Lato" w:hAnsi="Lato"/>
                <w:sz w:val="17"/>
              </w:rPr>
              <w:t>Repair loop and failure modes</w:t>
            </w:r>
          </w:p>
        </w:tc>
        <w:tc>
          <w:tcPr>
            <w:tcW w:type="dxa" w:w="3600"/>
            <w:tcMar>
              <w:top w:w="80" w:type="dxa"/>
              <w:start w:w="95" w:type="dxa"/>
              <w:bottom w:w="80" w:type="dxa"/>
              <w:end w:w="95" w:type="dxa"/>
            </w:tcMar>
            <w:vAlign w:val="center"/>
          </w:tcPr>
          <w:p>
            <w:r>
              <w:rPr>
                <w:rFonts w:ascii="Lato" w:hAnsi="Lato"/>
                <w:sz w:val="17"/>
              </w:rPr>
              <w:t>Define typed failure modes such as weak signal, high turnover, exposure leakage, low coverage, and fragility. Add targeted repair actions with stop conditions.</w:t>
            </w:r>
          </w:p>
        </w:tc>
        <w:tc>
          <w:tcPr>
            <w:tcW w:type="dxa" w:w="2304"/>
            <w:tcMar>
              <w:top w:w="80" w:type="dxa"/>
              <w:start w:w="95" w:type="dxa"/>
              <w:bottom w:w="80" w:type="dxa"/>
              <w:end w:w="95" w:type="dxa"/>
            </w:tcMar>
            <w:vAlign w:val="center"/>
          </w:tcPr>
          <w:p>
            <w:r>
              <w:rPr>
                <w:rFonts w:ascii="Lato" w:hAnsi="Lato"/>
                <w:sz w:val="17"/>
              </w:rPr>
              <w:t>Failure taxonomy and repair engine</w:t>
            </w:r>
          </w:p>
        </w:tc>
        <w:tc>
          <w:tcPr>
            <w:tcW w:type="dxa" w:w="2232"/>
            <w:tcMar>
              <w:top w:w="80" w:type="dxa"/>
              <w:start w:w="95" w:type="dxa"/>
              <w:bottom w:w="80" w:type="dxa"/>
              <w:end w:w="95" w:type="dxa"/>
            </w:tcMar>
            <w:vAlign w:val="center"/>
          </w:tcPr>
          <w:p>
            <w:r>
              <w:rPr>
                <w:rFonts w:ascii="Lato" w:hAnsi="Lato"/>
                <w:sz w:val="17"/>
              </w:rPr>
              <w:t>The system can improve or retire candidates without blind retrying</w:t>
            </w:r>
          </w:p>
        </w:tc>
      </w:tr>
      <w:tr>
        <w:tc>
          <w:tcPr>
            <w:tcW w:type="dxa" w:w="936"/>
            <w:tcMar>
              <w:top w:w="80" w:type="dxa"/>
              <w:start w:w="95" w:type="dxa"/>
              <w:bottom w:w="80" w:type="dxa"/>
              <w:end w:w="95" w:type="dxa"/>
            </w:tcMar>
            <w:vAlign w:val="center"/>
            <w:shd w:fill="EEF7F5"/>
          </w:tcPr>
          <w:p>
            <w:pPr>
              <w:jc w:val="center"/>
            </w:pPr>
            <w:r>
              <w:rPr>
                <w:rFonts w:ascii="Lato" w:hAnsi="Lato"/>
                <w:b/>
                <w:color w:val="16786D"/>
                <w:sz w:val="17"/>
              </w:rPr>
              <w:t>11</w:t>
            </w:r>
          </w:p>
        </w:tc>
        <w:tc>
          <w:tcPr>
            <w:tcW w:type="dxa" w:w="2016"/>
            <w:tcMar>
              <w:top w:w="80" w:type="dxa"/>
              <w:start w:w="95" w:type="dxa"/>
              <w:bottom w:w="80" w:type="dxa"/>
              <w:end w:w="95" w:type="dxa"/>
            </w:tcMar>
            <w:vAlign w:val="center"/>
          </w:tcPr>
          <w:p>
            <w:r>
              <w:rPr>
                <w:rFonts w:ascii="Lato" w:hAnsi="Lato"/>
                <w:sz w:val="17"/>
              </w:rPr>
              <w:t>Structural alpha search + ensemble</w:t>
            </w:r>
          </w:p>
        </w:tc>
        <w:tc>
          <w:tcPr>
            <w:tcW w:type="dxa" w:w="3600"/>
            <w:tcMar>
              <w:top w:w="80" w:type="dxa"/>
              <w:start w:w="95" w:type="dxa"/>
              <w:bottom w:w="80" w:type="dxa"/>
              <w:end w:w="95" w:type="dxa"/>
            </w:tcMar>
            <w:vAlign w:val="center"/>
          </w:tcPr>
          <w:p>
            <w:r>
              <w:rPr>
                <w:rFonts w:ascii="Lato" w:hAnsi="Lato"/>
                <w:sz w:val="17"/>
              </w:rPr>
              <w:t>Add search over tail depth, exclusions, composite value metrics, and refresh timing. Combine promoted factors in a linear benchmark; optionally add a LightGBM prototype.</w:t>
            </w:r>
          </w:p>
        </w:tc>
        <w:tc>
          <w:tcPr>
            <w:tcW w:type="dxa" w:w="2304"/>
            <w:tcMar>
              <w:top w:w="80" w:type="dxa"/>
              <w:start w:w="95" w:type="dxa"/>
              <w:bottom w:w="80" w:type="dxa"/>
              <w:end w:w="95" w:type="dxa"/>
            </w:tcMar>
            <w:vAlign w:val="center"/>
          </w:tcPr>
          <w:p>
            <w:r>
              <w:rPr>
                <w:rFonts w:ascii="Lato" w:hAnsi="Lato"/>
                <w:sz w:val="17"/>
              </w:rPr>
              <w:t>Structural-alpha library and composite alpha score</w:t>
            </w:r>
          </w:p>
        </w:tc>
        <w:tc>
          <w:tcPr>
            <w:tcW w:type="dxa" w:w="2232"/>
            <w:tcMar>
              <w:top w:w="80" w:type="dxa"/>
              <w:start w:w="95" w:type="dxa"/>
              <w:bottom w:w="80" w:type="dxa"/>
              <w:end w:w="95" w:type="dxa"/>
            </w:tcMar>
            <w:vAlign w:val="center"/>
          </w:tcPr>
          <w:p>
            <w:r>
              <w:rPr>
                <w:rFonts w:ascii="Lato" w:hAnsi="Lato"/>
                <w:sz w:val="17"/>
              </w:rPr>
              <w:t>The platform can compare formula alpha vs structural alpha vs combined alpha</w:t>
            </w:r>
          </w:p>
        </w:tc>
      </w:tr>
      <w:tr>
        <w:tc>
          <w:tcPr>
            <w:tcW w:type="dxa" w:w="936"/>
            <w:tcMar>
              <w:top w:w="80" w:type="dxa"/>
              <w:start w:w="95" w:type="dxa"/>
              <w:bottom w:w="80" w:type="dxa"/>
              <w:end w:w="95" w:type="dxa"/>
            </w:tcMar>
            <w:vAlign w:val="center"/>
          </w:tcPr>
          <w:p>
            <w:pPr>
              <w:jc w:val="center"/>
            </w:pPr>
            <w:r>
              <w:rPr>
                <w:rFonts w:ascii="Lato" w:hAnsi="Lato"/>
                <w:b/>
                <w:color w:val="16786D"/>
                <w:sz w:val="17"/>
              </w:rPr>
              <w:t>12</w:t>
            </w:r>
          </w:p>
        </w:tc>
        <w:tc>
          <w:tcPr>
            <w:tcW w:type="dxa" w:w="2016"/>
            <w:tcMar>
              <w:top w:w="80" w:type="dxa"/>
              <w:start w:w="95" w:type="dxa"/>
              <w:bottom w:w="80" w:type="dxa"/>
              <w:end w:w="95" w:type="dxa"/>
            </w:tcMar>
            <w:vAlign w:val="center"/>
          </w:tcPr>
          <w:p>
            <w:r>
              <w:rPr>
                <w:rFonts w:ascii="Lato" w:hAnsi="Lato"/>
                <w:sz w:val="17"/>
              </w:rPr>
              <w:t>Portfolio integration and reporting</w:t>
            </w:r>
          </w:p>
        </w:tc>
        <w:tc>
          <w:tcPr>
            <w:tcW w:type="dxa" w:w="3600"/>
            <w:tcMar>
              <w:top w:w="80" w:type="dxa"/>
              <w:start w:w="95" w:type="dxa"/>
              <w:bottom w:w="80" w:type="dxa"/>
              <w:end w:w="95" w:type="dxa"/>
            </w:tcMar>
            <w:vAlign w:val="center"/>
          </w:tcPr>
          <w:p>
            <w:r>
              <w:rPr>
                <w:rFonts w:ascii="Lato" w:hAnsi="Lato"/>
                <w:sz w:val="17"/>
              </w:rPr>
              <w:t>Connect composite alpha to the optimizer, run a risk-controlled long-short backtest, produce attribution and module-level reports, and finalize the proposal/storyboard.</w:t>
            </w:r>
          </w:p>
        </w:tc>
        <w:tc>
          <w:tcPr>
            <w:tcW w:type="dxa" w:w="2304"/>
            <w:tcMar>
              <w:top w:w="80" w:type="dxa"/>
              <w:start w:w="95" w:type="dxa"/>
              <w:bottom w:w="80" w:type="dxa"/>
              <w:end w:w="95" w:type="dxa"/>
            </w:tcMar>
            <w:vAlign w:val="center"/>
          </w:tcPr>
          <w:p>
            <w:r>
              <w:rPr>
                <w:rFonts w:ascii="Lato" w:hAnsi="Lato"/>
                <w:sz w:val="17"/>
              </w:rPr>
              <w:t>Working V1 portfolio result and final report pack</w:t>
            </w:r>
          </w:p>
        </w:tc>
        <w:tc>
          <w:tcPr>
            <w:tcW w:type="dxa" w:w="2232"/>
            <w:tcMar>
              <w:top w:w="80" w:type="dxa"/>
              <w:start w:w="95" w:type="dxa"/>
              <w:bottom w:w="80" w:type="dxa"/>
              <w:end w:w="95" w:type="dxa"/>
            </w:tcMar>
            <w:vAlign w:val="center"/>
          </w:tcPr>
          <w:p>
            <w:r>
              <w:rPr>
                <w:rFonts w:ascii="Lato" w:hAnsi="Lato"/>
                <w:sz w:val="17"/>
              </w:rPr>
              <w:t>End-to-end run works from data refresh to portfolio report with no manual stitching</w:t>
            </w:r>
          </w:p>
        </w:tc>
      </w:tr>
    </w:tbl>
    <w:p/>
    <w:p>
      <w:pPr>
        <w:pStyle w:val="Heading1"/>
      </w:pPr>
      <w:r>
        <w:t>4. Weekly operating rhythm</w:t>
      </w:r>
    </w:p>
    <w:p>
      <w:pPr/>
      <w:r>
        <w:t>A consistent rhythm makes the project manageable and prevents the agent layer from racing ahead of the infrastructure.</w:t>
      </w:r>
    </w:p>
    <w:p>
      <w:pPr>
        <w:ind w:left="288" w:hanging="202"/>
      </w:pPr>
      <w:r>
        <w:t xml:space="preserve">• </w:t>
      </w:r>
      <w:r>
        <w:t>Day 1–2: implement one module or one vertical slice.</w:t>
      </w:r>
    </w:p>
    <w:p>
      <w:pPr>
        <w:ind w:left="288" w:hanging="202"/>
      </w:pPr>
      <w:r>
        <w:t xml:space="preserve">• </w:t>
      </w:r>
      <w:r>
        <w:t>Day 3: write tests and deterministic sanity checks.</w:t>
      </w:r>
    </w:p>
    <w:p>
      <w:pPr>
        <w:ind w:left="288" w:hanging="202"/>
      </w:pPr>
      <w:r>
        <w:t xml:space="preserve">• </w:t>
      </w:r>
      <w:r>
        <w:t>Day 4: run one integrated experiment using only the modules that are stable.</w:t>
      </w:r>
    </w:p>
    <w:p>
      <w:pPr>
        <w:ind w:left="288" w:hanging="202"/>
      </w:pPr>
      <w:r>
        <w:t xml:space="preserve">• </w:t>
      </w:r>
      <w:r>
        <w:t>Day 5: review logs, write short notes on what failed, and decide the next week’s focus based on bottlenecks rather than novelty.</w:t>
      </w:r>
    </w:p>
    <w:p>
      <w:pPr>
        <w:pStyle w:val="Heading1"/>
      </w:pPr>
      <w:r>
        <w:t>5. Definition of a usable Version 1</w:t>
      </w:r>
    </w:p>
    <w:p>
      <w:pPr/>
      <w:r>
        <w:t>Version 1 should not be judged by whether it has every possible institutional feature. It should be judged by whether the platform already behaves like a coherent research system.</w:t>
      </w:r>
    </w:p>
    <w:p>
      <w:pPr>
        <w:ind w:left="288" w:hanging="202"/>
      </w:pPr>
      <w:r>
        <w:t xml:space="preserve">• </w:t>
      </w:r>
      <w:r>
        <w:t>A proposal produced by the generator is grounded, validated, built, evaluated, and either promoted or retired without manual glue code.</w:t>
      </w:r>
    </w:p>
    <w:p>
      <w:pPr>
        <w:ind w:left="288" w:hanging="202"/>
      </w:pPr>
      <w:r>
        <w:t xml:space="preserve">• </w:t>
      </w:r>
      <w:r>
        <w:t>The risk engine can explain whether a candidate is novel alpha or mainly known factor exposure.</w:t>
      </w:r>
    </w:p>
    <w:p>
      <w:pPr>
        <w:ind w:left="288" w:hanging="202"/>
      </w:pPr>
      <w:r>
        <w:t xml:space="preserve">• </w:t>
      </w:r>
      <w:r>
        <w:t>The structural-alpha module can test at least three construction levers in a disciplined way.</w:t>
      </w:r>
    </w:p>
    <w:p>
      <w:pPr>
        <w:ind w:left="288" w:hanging="202"/>
      </w:pPr>
      <w:r>
        <w:t xml:space="preserve">• </w:t>
      </w:r>
      <w:r>
        <w:t>The final long-short report is interpretable: factor/structure provenance, performance, risk exposures, turnover, and key failure causes are all visible.</w:t>
      </w:r>
    </w:p>
    <w:p>
      <w:pPr>
        <w:ind w:left="288" w:hanging="202"/>
      </w:pPr>
      <w:r>
        <w:t xml:space="preserve">• </w:t>
      </w:r>
      <w:r>
        <w:t>The codebase is modular enough that adding a richer data source or better optimizer changes one module, not the entire platform.</w:t>
      </w:r>
    </w:p>
    <w:p>
      <w:pPr>
        <w:pStyle w:val="Heading1"/>
      </w:pPr>
      <w:r>
        <w:t>6. After Version 1: upgrade points</w:t>
      </w:r>
    </w:p>
    <w:p>
      <w:pPr>
        <w:pStyle w:val="Heading2"/>
      </w:pPr>
      <w:r>
        <w:t>Data depth</w:t>
      </w:r>
    </w:p>
    <w:p>
      <w:pPr/>
      <w:r>
        <w:t>Add richer point-in-time fundamentals, alternative data, options signals, and eventually carefully integrated text/news features.</w:t>
      </w:r>
    </w:p>
    <w:p>
      <w:pPr>
        <w:pStyle w:val="Heading2"/>
      </w:pPr>
      <w:r>
        <w:t>Risk model depth</w:t>
      </w:r>
    </w:p>
    <w:p>
      <w:pPr/>
      <w:r>
        <w:t>Move from Barra-lite to stronger covariance estimation, region-aware or country-aware decomposition, and richer specific-risk controls.</w:t>
      </w:r>
    </w:p>
    <w:p>
      <w:pPr>
        <w:pStyle w:val="Heading2"/>
      </w:pPr>
      <w:r>
        <w:t>Agent specialization</w:t>
      </w:r>
    </w:p>
    <w:p>
      <w:pPr/>
      <w:r>
        <w:t>Split the generator into sub-agents by signal family or structural family; add a regime-aware planner and more sophisticated proposal diversity controls.</w:t>
      </w:r>
    </w:p>
    <w:p>
      <w:pPr>
        <w:pStyle w:val="Heading2"/>
      </w:pPr>
      <w:r>
        <w:t>Execution realism</w:t>
      </w:r>
    </w:p>
    <w:p>
      <w:pPr/>
      <w:r>
        <w:t>Add borrow-cost proxies, impact models, delayed fills, and AUM sensitivity curves to stress whether structural alpha survives scaling.</w:t>
      </w:r>
    </w:p>
    <w:p>
      <w:pPr>
        <w:pStyle w:val="Heading2"/>
      </w:pPr>
      <w:r>
        <w:t>Portfolio logic</w:t>
      </w:r>
    </w:p>
    <w:p>
      <w:pPr/>
      <w:r>
        <w:t>Upgrade from a single linear benchmark to regime-conditional ensembles, sparse model selection, and explicit capacity-aware allocation rules.</w:t>
      </w:r>
    </w:p>
    <w:p>
      <w:pPr>
        <w:pStyle w:val="Heading2"/>
      </w:pPr>
      <w:r>
        <w:t>Governance and interface</w:t>
      </w:r>
    </w:p>
    <w:p>
      <w:pPr/>
      <w:r>
        <w:t>Add dashboards, run summaries, promotion-committee reports, and eventually a monthly shadow-book process for live-like monitoring.</w:t>
      </w:r>
    </w:p>
    <w:p>
      <w:pPr>
        <w:pStyle w:val="Heading1"/>
      </w:pPr>
      <w:r>
        <w:t>7. Why the plan is promising</w:t>
      </w:r>
    </w:p>
    <w:p>
      <w:pPr/>
      <w:r>
        <w:t>This plan is promising because it does not depend on one heroic leap. It compounds progress through a sequence of modules that each increase the project’s value on their own. By week 4 you already have a reproducible data-and-ledger platform. By week 7 you already have a real evaluator. By week 10 the agent loop is no longer guesswork because it is grounded and failure-aware. By week 12 the platform can run an end-to-end research cycle and explain the resulting book. That makes the project attractive not only as a final artifact, but also as a progressive build where each stage is demonstrably useful.</w:t>
      </w:r>
    </w:p>
    <w:p>
      <w:pPr>
        <w:pStyle w:val="Callout"/>
      </w:pPr>
      <w:r>
        <w:rPr>
          <w:b/>
        </w:rPr>
        <w:t xml:space="preserve">Practical interpretation. </w:t>
      </w:r>
      <w:r>
        <w:t>The platform does not need super-advanced infrastructure to prove the core idea. It only needs enough discipline to make the workflow reliable, enough risk control to separate true alpha from common exposures, and enough implementation realism to reject fragile paper-only wins.</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Lato" w:hAnsi="Lato"/>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ato" w:hAnsi="Lato"/>
      <w:b/>
      <w:bCs/>
      <w:color w:val="1C487D"/>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16786D"/>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Lato" w:hAnsi="Lato"/>
      <w:b/>
      <w:bCs/>
      <w:color w:val="1C48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Lato" w:hAnsi="Lato"/>
      <w:b/>
      <w:color w:val="1C48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ato" w:hAnsi="Lato"/>
      <w:i w:val="0"/>
      <w:iCs/>
      <w:color w:val="586677"/>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basedOn w:val="Normal"/>
    <w:pPr>
      <w:spacing w:after="80"/>
    </w:pPr>
    <w:rPr>
      <w:rFonts w:ascii="Lato" w:hAnsi="Lato"/>
      <w:color w:val="586677"/>
      <w:sz w:val="17"/>
    </w:rPr>
  </w:style>
  <w:style w:type="paragraph" w:customStyle="1" w:styleId="Callout">
    <w:name w:val="Callout"/>
    <w:basedOn w:val="Normal"/>
    <w:pPr>
      <w:spacing w:after="160"/>
      <w:ind w:left="216" w:right="72"/>
    </w:pPr>
    <w:rPr>
      <w:rFonts w:ascii="Lato" w:hAnsi="Lato"/>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