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olor w:val="595959"/>
          <w:sz w:val="17"/>
          <w:szCs w:val="17"/>
        </w:rPr>
        <w:t xml:space="preserve">GERÜST für den frei formulierten Teil — kein Textentwurf</w:t>
      </w:r>
    </w:p>
    <w:p>
      <w:pPr>
        <w:spacing w:after="60"/>
      </w:pPr>
      <w:r>
        <w:rPr>
          <w:rFonts w:ascii="Calibri" w:cs="Calibri" w:eastAsia="Calibri" w:hAnsi="Calibri"/>
          <w:b/>
          <w:bCs/>
          <w:color w:val="1F3864"/>
          <w:sz w:val="30"/>
          <w:szCs w:val="30"/>
        </w:rPr>
        <w:t xml:space="preserve">Empfehlungsschreiben für eine DAAD-Stipendienbewerbung</w:t>
      </w:r>
    </w:p>
    <w:p>
      <w:pPr>
        <w:spacing w:after="220" w:before="0" w:line="276"/>
      </w:pPr>
      <w:r>
        <w:rPr>
          <w:rFonts w:ascii="Calibri" w:cs="Calibri" w:eastAsia="Calibri" w:hAnsi="Calibri"/>
          <w:color w:val="595959"/>
          <w:sz w:val="19"/>
          <w:szCs w:val="19"/>
        </w:rPr>
        <w:t xml:space="preserve">MPhil in Industrial Systems, Manufacture and Management · Institute for Manufacturing, Department of Engineering · University of Cambridge · Förderbeginn Oktober 2027</w:t>
      </w:r>
    </w:p>
    <w:tbl>
      <w:tblPr>
        <w:tblW w:type="dxa" w:w="9360"/>
        <w:tblBorders>
          <w:top w:val="single" w:color="BFC7D5" w:sz="2"/>
          <w:left w:val="single" w:color="1F3864" w:sz="18"/>
          <w:bottom w:val="single" w:color="BFC7D5" w:sz="2"/>
          <w:right w:val="single" w:color="BFC7D5" w:sz="2"/>
          <w:insideH w:val="none"/>
          <w:insideV w:val="none"/>
        </w:tblBorders>
      </w:tblPr>
      <w:tblGrid>
        <w:gridCol w:w="9360"/>
      </w:tblGrid>
      <w:tr>
        <w:tc>
          <w:tcPr>
            <w:tcW w:type="dxa" w:w="9360"/>
            <w:shd w:fill="F2F4F8" w:val="clear"/>
            <w:tcMar>
              <w:top w:type="dxa" w:w="140"/>
              <w:left w:type="dxa" w:w="180"/>
              <w:bottom w:type="dxa" w:w="140"/>
              <w:right w:type="dxa" w:w="180"/>
            </w:tcMar>
          </w:tcPr>
          <w:p>
            <w:pPr>
              <w:spacing w:after="60" w:before="0" w:line="276"/>
            </w:pPr>
            <w:r>
              <w:rPr>
                <w:rFonts w:ascii="Calibri" w:cs="Calibri" w:eastAsia="Calibri" w:hAnsi="Calibri"/>
                <w:b/>
                <w:bCs/>
                <w:color w:val="1F3864"/>
                <w:sz w:val="20"/>
                <w:szCs w:val="20"/>
              </w:rPr>
              <w:t xml:space="preserve">Wozu dieses Blatt</w:t>
            </w:r>
          </w:p>
          <w:p>
            <w:pPr>
              <w:spacing w:after="50" w:before="0" w:line="276"/>
            </w:pPr>
            <w:r>
              <w:rPr>
                <w:rFonts w:ascii="Calibri" w:cs="Calibri" w:eastAsia="Calibri" w:hAnsi="Calibri"/>
                <w:color w:val="333333"/>
                <w:sz w:val="19"/>
                <w:szCs w:val="19"/>
              </w:rPr>
              <w:t xml:space="preserve">Die Bewerbung besteht aus zwei Teilen: dem DAAD-Deckblatt und einem frei formulierten Empfehlungsschreiben auf Ihrem Briefbogen. Dieses Gerüst betrifft nur den zweiten Teil.</w:t>
            </w:r>
          </w:p>
          <w:p>
            <w:pPr>
              <w:spacing w:after="50" w:before="0" w:line="276"/>
            </w:pPr>
            <w:r>
              <w:rPr>
                <w:rFonts w:ascii="Calibri" w:cs="Calibri" w:eastAsia="Calibri" w:hAnsi="Calibri"/>
                <w:color w:val="333333"/>
                <w:sz w:val="19"/>
                <w:szCs w:val="19"/>
              </w:rPr>
              <w:t xml:space="preserve">Es enthält bewusst keinen vorformulierten Text. Die Gliederung folgt den drei Auswahlkriterien, die der DAAD auf Seite 2 des Deckblatts nennt — dort heißt es ausdrücklich: „Bitte beachten Sie diese Kriterien bei der Formulierung Ihres Empfehlungsschreibens.“</w:t>
            </w:r>
          </w:p>
          <w:p>
            <w:pPr>
              <w:spacing w:after="50" w:before="0" w:line="276"/>
            </w:pPr>
            <w:r>
              <w:rPr>
                <w:rFonts w:ascii="Calibri" w:cs="Calibri" w:eastAsia="Calibri" w:hAnsi="Calibri"/>
                <w:color w:val="333333"/>
                <w:sz w:val="19"/>
                <w:szCs w:val="19"/>
              </w:rPr>
              <w:t xml:space="preserve">Umfang etwa eine Seite. Sprache Deutsch. Unterschrift handschriftlich oder elektronisch.</w:t>
            </w:r>
          </w:p>
          <w:p>
            <w:pPr>
              <w:spacing w:after="50" w:before="0" w:line="276"/>
            </w:pPr>
            <w:r>
              <w:rPr>
                <w:rFonts w:ascii="Calibri" w:cs="Calibri" w:eastAsia="Calibri" w:hAnsi="Calibri"/>
                <w:color w:val="333333"/>
                <w:sz w:val="19"/>
                <w:szCs w:val="19"/>
              </w:rPr>
              <w:t xml:space="preserve">Rückgabe von Deckblatt und Schreiben an den Bewerber, der beides im DAAD-Portal hochlädt. Es gibt kein Gutachterportal und keinen E-Mail-Weg zum DAAD.</w:t>
            </w:r>
          </w:p>
          <w:p>
            <w:pPr>
              <w:spacing w:after="50" w:before="0" w:line="276"/>
            </w:pPr>
            <w:r>
              <w:rPr>
                <w:rFonts w:ascii="Calibri" w:cs="Calibri" w:eastAsia="Calibri" w:hAnsi="Calibri"/>
                <w:color w:val="333333"/>
                <w:sz w:val="19"/>
                <w:szCs w:val="19"/>
              </w:rPr>
              <w:t xml:space="preserve">Interne Frist: Dienstag, 22. September 2026.</w:t>
            </w:r>
          </w:p>
        </w:tc>
      </w:tr>
    </w:tbl>
    <w:p>
      <w:pPr>
        <w:spacing w:after="120" w:before="0" w:line="276"/>
      </w:pPr>
      <w:r>
        <w:rPr>
          <w:rFonts w:ascii="Calibri" w:cs="Calibri" w:eastAsia="Calibri" w:hAnsi="Calibri"/>
          <w:sz w:val="21"/>
          <w:szCs w:val="21"/>
        </w:rPr>
        <w:t xml:space="preserve"/>
      </w:r>
    </w:p>
    <w:tbl>
      <w:tblPr>
        <w:tblW w:type="dxa" w:w="9360"/>
        <w:tblBorders>
          <w:top w:val="single" w:color="BFC7D5" w:sz="2"/>
          <w:left w:val="single" w:color="1F3864" w:sz="18"/>
          <w:bottom w:val="single" w:color="BFC7D5" w:sz="2"/>
          <w:right w:val="single" w:color="BFC7D5" w:sz="2"/>
          <w:insideH w:val="none"/>
          <w:insideV w:val="none"/>
        </w:tblBorders>
      </w:tblPr>
      <w:tblGrid>
        <w:gridCol w:w="9360"/>
      </w:tblGrid>
      <w:tr>
        <w:tc>
          <w:tcPr>
            <w:tcW w:type="dxa" w:w="9360"/>
            <w:shd w:fill="FFF8E7" w:val="clear"/>
            <w:tcMar>
              <w:top w:type="dxa" w:w="140"/>
              <w:left w:type="dxa" w:w="180"/>
              <w:bottom w:type="dxa" w:w="140"/>
              <w:right w:type="dxa" w:w="180"/>
            </w:tcMar>
          </w:tcPr>
          <w:p>
            <w:pPr>
              <w:spacing w:after="60" w:before="0" w:line="276"/>
            </w:pPr>
            <w:r>
              <w:rPr>
                <w:rFonts w:ascii="Calibri" w:cs="Calibri" w:eastAsia="Calibri" w:hAnsi="Calibri"/>
                <w:b/>
                <w:bCs/>
                <w:color w:val="1F3864"/>
                <w:sz w:val="20"/>
                <w:szCs w:val="20"/>
              </w:rPr>
              <w:t xml:space="preserve">Zwei Dinge, die das Deckblatt bereits abfragt</w:t>
            </w:r>
          </w:p>
          <w:p>
            <w:pPr>
              <w:spacing w:after="50" w:before="0" w:line="276"/>
            </w:pPr>
            <w:r>
              <w:rPr>
                <w:rFonts w:ascii="Calibri" w:cs="Calibri" w:eastAsia="Calibri" w:hAnsi="Calibri"/>
                <w:color w:val="333333"/>
                <w:sz w:val="19"/>
                <w:szCs w:val="19"/>
              </w:rPr>
              <w:t xml:space="preserve">Ankreuzfeld „zählt zu den fachlich besten 5 % / 10 % / 20 % / 30 % / keine Aussage möglich“ — die Rangaussage selbst gehört also auf das Deckblatt, nicht in den Brief.</w:t>
            </w:r>
          </w:p>
          <w:p>
            <w:pPr>
              <w:spacing w:after="50" w:before="0" w:line="276"/>
            </w:pPr>
            <w:r>
              <w:rPr>
                <w:rFonts w:ascii="Calibri" w:cs="Calibri" w:eastAsia="Calibri" w:hAnsi="Calibri"/>
                <w:color w:val="333333"/>
                <w:sz w:val="19"/>
                <w:szCs w:val="19"/>
              </w:rPr>
              <w:t xml:space="preserve">Aber: Das Deckblatt verlangt zur Vergleichsgruppe ausdrücklich „bitte im frei formulierten Teil erläutern“. Die Größe und Art der Vergleichsgruppe muss daher in diesem Schreiben stehen — siehe Abschnitt 2.</w:t>
            </w:r>
          </w:p>
          <w:p>
            <w:pPr>
              <w:spacing w:after="50" w:before="0" w:line="276"/>
            </w:pPr>
            <w:r>
              <w:rPr>
                <w:rFonts w:ascii="Calibri" w:cs="Calibri" w:eastAsia="Calibri" w:hAnsi="Calibri"/>
                <w:color w:val="333333"/>
                <w:sz w:val="19"/>
                <w:szCs w:val="19"/>
              </w:rPr>
              <w:t xml:space="preserve">Ebenso bereits auf dem Deckblatt: „Ich kenne … gut / flüchtig seit ___“ und „aus dem folgenden Kontext“. Im Brief bitte nicht wiederholen, sondern vertiefen.</w:t>
            </w:r>
          </w:p>
        </w:tc>
      </w:tr>
    </w:tbl>
    <w:p>
      <w:pPr>
        <w:pBdr>
          <w:bottom w:val="single" w:color="BFC7D5" w:sz="6" w:space="4"/>
        </w:pBdr>
        <w:spacing w:after="80" w:before="300"/>
      </w:pPr>
      <w:r>
        <w:rPr>
          <w:rFonts w:ascii="Calibri" w:cs="Calibri" w:eastAsia="Calibri" w:hAnsi="Calibri"/>
          <w:b/>
          <w:bCs/>
          <w:color w:val="1F3864"/>
          <w:sz w:val="23"/>
          <w:szCs w:val="23"/>
        </w:rPr>
        <w:t xml:space="preserve">1. Betreff und Einstieg</w:t>
      </w:r>
      <w:r>
        <w:rPr>
          <w:rFonts w:ascii="Calibri" w:cs="Calibri" w:eastAsia="Calibri" w:hAnsi="Calibri"/>
          <w:i/>
          <w:iCs/>
          <w:color w:val="595959"/>
          <w:sz w:val="18"/>
          <w:szCs w:val="18"/>
        </w:rPr>
        <w:t xml:space="preserve">   2–3 Zeilen</w:t>
      </w:r>
    </w:p>
    <w:p>
      <w:pPr>
        <w:spacing w:after="60" w:line="264"/>
        <w:ind w:left="259"/>
      </w:pPr>
      <w:r>
        <w:rPr>
          <w:rFonts w:ascii="Calibri" w:cs="Calibri" w:eastAsia="Calibri" w:hAnsi="Calibri"/>
          <w:i/>
          <w:iCs/>
          <w:color w:val="595959"/>
          <w:sz w:val="19"/>
          <w:szCs w:val="19"/>
        </w:rPr>
        <w:t xml:space="preserve">– Vollständiger Name des Bewerbers und exakter Studiengang- und Universitätsname (siehe Kopf dieses Blattes).</w:t>
      </w:r>
    </w:p>
    <w:p>
      <w:pPr>
        <w:spacing w:after="60" w:line="264"/>
        <w:ind w:left="259"/>
      </w:pPr>
      <w:r>
        <w:rPr>
          <w:rFonts w:ascii="Calibri" w:cs="Calibri" w:eastAsia="Calibri" w:hAnsi="Calibri"/>
          <w:i/>
          <w:iCs/>
          <w:color w:val="595959"/>
          <w:sz w:val="19"/>
          <w:szCs w:val="19"/>
        </w:rPr>
        <w:t xml:space="preserve">– Ein falsch benannter Studiengang ist der formale Fehler, der ein Empfehlungsschreiben am schnellsten entwertet.</w:t>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single" w:color="BFC7D5" w:sz="6" w:space="4"/>
        </w:pBdr>
        <w:spacing w:after="80" w:before="300"/>
      </w:pPr>
      <w:r>
        <w:rPr>
          <w:rFonts w:ascii="Calibri" w:cs="Calibri" w:eastAsia="Calibri" w:hAnsi="Calibri"/>
          <w:b/>
          <w:bCs/>
          <w:color w:val="1F3864"/>
          <w:sz w:val="23"/>
          <w:szCs w:val="23"/>
        </w:rPr>
        <w:t xml:space="preserve">2. Kenntnisgrundlage und Vergleichsgruppe</w:t>
      </w:r>
      <w:r>
        <w:rPr>
          <w:rFonts w:ascii="Calibri" w:cs="Calibri" w:eastAsia="Calibri" w:hAnsi="Calibri"/>
          <w:i/>
          <w:iCs/>
          <w:color w:val="595959"/>
          <w:sz w:val="18"/>
          <w:szCs w:val="18"/>
        </w:rPr>
        <w:t xml:space="preserve">   2–4 Sätze · Pflichtangabe</w:t>
      </w:r>
    </w:p>
    <w:p>
      <w:pPr>
        <w:spacing w:after="60" w:line="264"/>
        <w:ind w:left="259"/>
      </w:pPr>
      <w:r>
        <w:rPr>
          <w:rFonts w:ascii="Calibri" w:cs="Calibri" w:eastAsia="Calibri" w:hAnsi="Calibri"/>
          <w:i/>
          <w:iCs/>
          <w:color w:val="595959"/>
          <w:sz w:val="19"/>
          <w:szCs w:val="19"/>
        </w:rPr>
        <w:t xml:space="preserve">– Nicht wiederholen, was auf dem Deckblatt steht — vertiefen: welche Lehrveranstaltungen, welche Betreuung, welcher Zeitraum, welche Art der Zusammenarbeit.</w:t>
      </w:r>
    </w:p>
    <w:p>
      <w:pPr>
        <w:spacing w:after="60" w:line="264"/>
        <w:ind w:left="259"/>
      </w:pPr>
      <w:r>
        <w:rPr>
          <w:rFonts w:ascii="Calibri" w:cs="Calibri" w:eastAsia="Calibri" w:hAnsi="Calibri"/>
          <w:i/>
          <w:iCs/>
          <w:color w:val="595959"/>
          <w:sz w:val="19"/>
          <w:szCs w:val="19"/>
        </w:rPr>
        <w:t xml:space="preserve">– PFLICHT laut Deckblatt: Größe und Art der Vergleichsgruppe erläutern, auf die sich Ihr Prozentwert bezieht (z. B. Jahrgang, Zahl der von Ihnen betreuten Abschlussarbeiten).</w:t>
      </w:r>
    </w:p>
    <w:p>
      <w:pPr>
        <w:spacing w:after="60" w:line="264"/>
        <w:ind w:left="259"/>
      </w:pPr>
      <w:r>
        <w:rPr>
          <w:rFonts w:ascii="Calibri" w:cs="Calibri" w:eastAsia="Calibri" w:hAnsi="Calibri"/>
          <w:i/>
          <w:iCs/>
          <w:color w:val="595959"/>
          <w:sz w:val="19"/>
          <w:szCs w:val="19"/>
        </w:rPr>
        <w:t xml:space="preserve">– Ohne diese Erläuterung ist der angekreuzte Prozentwert für die Kommission nicht interpretierbar.</w:t>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single" w:color="BFC7D5" w:sz="6" w:space="4"/>
        </w:pBdr>
        <w:spacing w:after="80" w:before="300"/>
      </w:pPr>
      <w:r>
        <w:rPr>
          <w:rFonts w:ascii="Calibri" w:cs="Calibri" w:eastAsia="Calibri" w:hAnsi="Calibri"/>
          <w:b/>
          <w:bCs/>
          <w:color w:val="1F3864"/>
          <w:sz w:val="23"/>
          <w:szCs w:val="23"/>
        </w:rPr>
        <w:t xml:space="preserve">3. Akademische Qualifikation</w:t>
      </w:r>
      <w:r>
        <w:rPr>
          <w:rFonts w:ascii="Calibri" w:cs="Calibri" w:eastAsia="Calibri" w:hAnsi="Calibri"/>
          <w:i/>
          <w:iCs/>
          <w:color w:val="595959"/>
          <w:sz w:val="18"/>
          <w:szCs w:val="18"/>
        </w:rPr>
        <w:t xml:space="preserve">   Kernstück · etwa 35 % · DAAD-Kriterium 1</w:t>
      </w:r>
    </w:p>
    <w:p>
      <w:pPr>
        <w:pBdr>
          <w:left w:val="single" w:color="8FA3C8" w:sz="12" w:space="8"/>
        </w:pBdr>
        <w:spacing w:after="70" w:line="264"/>
        <w:ind w:left="259"/>
      </w:pPr>
      <w:r>
        <w:rPr>
          <w:rFonts w:ascii="Calibri" w:cs="Calibri" w:eastAsia="Calibri" w:hAnsi="Calibri"/>
          <w:i/>
          <w:iCs/>
          <w:color w:val="2F4470"/>
          <w:sz w:val="19"/>
          <w:szCs w:val="19"/>
        </w:rPr>
        <w:t xml:space="preserve">„gemessen an Studienleistungen (Notendurchschnitt, Notenentwicklung), Studienverlauf, Kenntnissen der Unterrichts- oder Arbeitssprache, ggf. bereits vorliegenden wissenschaftlichen Leistungen“</w:t>
      </w:r>
    </w:p>
    <w:p>
      <w:pPr>
        <w:spacing w:after="60" w:line="264"/>
        <w:ind w:left="259"/>
      </w:pPr>
      <w:r>
        <w:rPr>
          <w:rFonts w:ascii="Calibri" w:cs="Calibri" w:eastAsia="Calibri" w:hAnsi="Calibri"/>
          <w:i/>
          <w:iCs/>
          <w:color w:val="595959"/>
          <w:sz w:val="19"/>
          <w:szCs w:val="19"/>
        </w:rPr>
        <w:t xml:space="preserve">– Notendurchschnitt UND Notenentwicklung — der DAAD nennt die Entwicklung ausdrücklich eigens.</w:t>
      </w:r>
    </w:p>
    <w:p>
      <w:pPr>
        <w:spacing w:after="60" w:line="264"/>
        <w:ind w:left="259"/>
      </w:pPr>
      <w:r>
        <w:rPr>
          <w:rFonts w:ascii="Calibri" w:cs="Calibri" w:eastAsia="Calibri" w:hAnsi="Calibri"/>
          <w:i/>
          <w:iCs/>
          <w:color w:val="595959"/>
          <w:sz w:val="19"/>
          <w:szCs w:val="19"/>
        </w:rPr>
        <w:t xml:space="preserve">– Bereits vorliegende wissenschaftliche Leistungen: die Bachelorarbeit — Problemwahl, Methode, Ergebnis, Umgang mit Rückschlägen, Qualität der schriftlichen Darstellung. Eine konkrete Episode, ausführlich erzählt, wirkt stärker als jede Reihe von Eigenschaftswörtern.</w:t>
      </w:r>
    </w:p>
    <w:p>
      <w:pPr>
        <w:spacing w:after="60" w:line="264"/>
        <w:ind w:left="259"/>
      </w:pPr>
      <w:r>
        <w:rPr>
          <w:rFonts w:ascii="Calibri" w:cs="Calibri" w:eastAsia="Calibri" w:hAnsi="Calibri"/>
          <w:i/>
          <w:iCs/>
          <w:color w:val="595959"/>
          <w:sz w:val="19"/>
          <w:szCs w:val="19"/>
        </w:rPr>
        <w:t xml:space="preserve">– Kenntnisse der Arbeitssprache: Wie schätzen Sie die Fähigkeit ein, ein englischsprachiges Studium auf diesem Niveau zu absolvieren? Woran machen Sie das fest?</w:t>
      </w:r>
    </w:p>
    <w:p>
      <w:pPr>
        <w:spacing w:after="60" w:line="264"/>
        <w:ind w:left="259"/>
      </w:pPr>
      <w:r>
        <w:rPr>
          <w:rFonts w:ascii="Calibri" w:cs="Calibri" w:eastAsia="Calibri" w:hAnsi="Calibri"/>
          <w:i/>
          <w:iCs/>
          <w:color w:val="595959"/>
          <w:sz w:val="19"/>
          <w:szCs w:val="19"/>
        </w:rPr>
        <w:t xml:space="preserve">– Studienverlauf: Ein Satz dazu, was ein praxisintegriertes duales Studium an der DHBW ist — Wechsel von Theorie- und Vollzeit-Praxisphasen. Für eine Kommission, die diese Hochschulform nicht kennt, ordnet dieser Satz die Leistung erst ein.</w:t>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single" w:color="BFC7D5" w:sz="6" w:space="4"/>
        </w:pBdr>
        <w:spacing w:after="80" w:before="300"/>
      </w:pPr>
      <w:r>
        <w:rPr>
          <w:rFonts w:ascii="Calibri" w:cs="Calibri" w:eastAsia="Calibri" w:hAnsi="Calibri"/>
          <w:b/>
          <w:bCs/>
          <w:color w:val="1F3864"/>
          <w:sz w:val="23"/>
          <w:szCs w:val="23"/>
        </w:rPr>
        <w:t xml:space="preserve">4. Qualität des Vorhabens</w:t>
      </w:r>
      <w:r>
        <w:rPr>
          <w:rFonts w:ascii="Calibri" w:cs="Calibri" w:eastAsia="Calibri" w:hAnsi="Calibri"/>
          <w:i/>
          <w:iCs/>
          <w:color w:val="595959"/>
          <w:sz w:val="18"/>
          <w:szCs w:val="18"/>
        </w:rPr>
        <w:t xml:space="preserve">   3–5 Sätze · DAAD-Kriterium 2 · setzt den Studienplan voraus</w:t>
      </w:r>
    </w:p>
    <w:p>
      <w:pPr>
        <w:pBdr>
          <w:left w:val="single" w:color="8FA3C8" w:sz="12" w:space="8"/>
        </w:pBdr>
        <w:spacing w:after="70" w:line="264"/>
        <w:ind w:left="259"/>
      </w:pPr>
      <w:r>
        <w:rPr>
          <w:rFonts w:ascii="Calibri" w:cs="Calibri" w:eastAsia="Calibri" w:hAnsi="Calibri"/>
          <w:i/>
          <w:iCs/>
          <w:color w:val="2F4470"/>
          <w:sz w:val="19"/>
          <w:szCs w:val="19"/>
        </w:rPr>
        <w:t xml:space="preserve">„gemessen an Studienplan, ggf. Einbettung des Vorhabens in den bisherigen Studienverlauf/Werdegang“</w:t>
      </w:r>
    </w:p>
    <w:p>
      <w:pPr>
        <w:spacing w:after="60" w:line="264"/>
        <w:ind w:left="259"/>
      </w:pPr>
      <w:r>
        <w:rPr>
          <w:rFonts w:ascii="Calibri" w:cs="Calibri" w:eastAsia="Calibri" w:hAnsi="Calibri"/>
          <w:i/>
          <w:iCs/>
          <w:color w:val="595959"/>
          <w:sz w:val="19"/>
          <w:szCs w:val="19"/>
        </w:rPr>
        <w:t xml:space="preserve">– Ist der vorgelegte Studienplan fachlich tragfähig?</w:t>
      </w:r>
    </w:p>
    <w:p>
      <w:pPr>
        <w:spacing w:after="60" w:line="264"/>
        <w:ind w:left="259"/>
      </w:pPr>
      <w:r>
        <w:rPr>
          <w:rFonts w:ascii="Calibri" w:cs="Calibri" w:eastAsia="Calibri" w:hAnsi="Calibri"/>
          <w:i/>
          <w:iCs/>
          <w:color w:val="595959"/>
          <w:sz w:val="19"/>
          <w:szCs w:val="19"/>
        </w:rPr>
        <w:t xml:space="preserve">– Einbettung: Wie folgt dieser Studiengang aus einem Wirtschaftsinformatik-Studium und einer Bachelorarbeit im Bereich KI?</w:t>
      </w:r>
    </w:p>
    <w:p>
      <w:pPr>
        <w:spacing w:after="60" w:line="264"/>
        <w:ind w:left="259"/>
      </w:pPr>
      <w:r>
        <w:rPr>
          <w:rFonts w:ascii="Calibri" w:cs="Calibri" w:eastAsia="Calibri" w:hAnsi="Calibri"/>
          <w:i/>
          <w:iCs/>
          <w:color w:val="595959"/>
          <w:sz w:val="19"/>
          <w:szCs w:val="19"/>
        </w:rPr>
        <w:t xml:space="preserve">– Trauen Sie dem Bewerber einen elfmonatigen, intensiven, industrienahen MPhil zu?</w:t>
      </w:r>
    </w:p>
    <w:p>
      <w:pPr>
        <w:spacing w:after="60" w:line="264"/>
        <w:ind w:left="259"/>
      </w:pPr>
      <w:r>
        <w:rPr>
          <w:rFonts w:ascii="Calibri" w:cs="Calibri" w:eastAsia="Calibri" w:hAnsi="Calibri"/>
          <w:i/>
          <w:iCs/>
          <w:color w:val="595959"/>
          <w:sz w:val="19"/>
          <w:szCs w:val="19"/>
        </w:rPr>
        <w:t xml:space="preserve">– Diesen Punkt kann nur ein Dritter beurteilen — der Bewerber kann ihn über sich selbst nicht sagen.</w:t>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single" w:color="BFC7D5" w:sz="6" w:space="4"/>
        </w:pBdr>
        <w:spacing w:after="80" w:before="300"/>
      </w:pPr>
      <w:r>
        <w:rPr>
          <w:rFonts w:ascii="Calibri" w:cs="Calibri" w:eastAsia="Calibri" w:hAnsi="Calibri"/>
          <w:b/>
          <w:bCs/>
          <w:color w:val="1F3864"/>
          <w:sz w:val="23"/>
          <w:szCs w:val="23"/>
        </w:rPr>
        <w:t xml:space="preserve">5. Potenzial</w:t>
      </w:r>
      <w:r>
        <w:rPr>
          <w:rFonts w:ascii="Calibri" w:cs="Calibri" w:eastAsia="Calibri" w:hAnsi="Calibri"/>
          <w:i/>
          <w:iCs/>
          <w:color w:val="595959"/>
          <w:sz w:val="18"/>
          <w:szCs w:val="18"/>
        </w:rPr>
        <w:t xml:space="preserve">   etwa 25 % · DAAD-Kriterium 3 · drei Unterpunkte</w:t>
      </w:r>
    </w:p>
    <w:p>
      <w:pPr>
        <w:pBdr>
          <w:left w:val="single" w:color="8FA3C8" w:sz="12" w:space="8"/>
        </w:pBdr>
        <w:spacing w:after="70" w:line="264"/>
        <w:ind w:left="259"/>
      </w:pPr>
      <w:r>
        <w:rPr>
          <w:rFonts w:ascii="Calibri" w:cs="Calibri" w:eastAsia="Calibri" w:hAnsi="Calibri"/>
          <w:i/>
          <w:iCs/>
          <w:color w:val="2F4470"/>
          <w:sz w:val="19"/>
          <w:szCs w:val="19"/>
        </w:rPr>
        <w:t xml:space="preserve">„gemessen an Motivation (fachliche und persönliche Gründe für den Auslandsaufenthalt), Perspektiven (Bedeutung des Auslandsaufenthalts für die weitere akademische, berufliche und persönliche Entwicklung) und außerfachlichem Engagement (außerfachliche Kenntnisse und Fähigkeiten, gesellschaftliches Engagement)“</w:t>
      </w:r>
    </w:p>
    <w:p>
      <w:pPr>
        <w:spacing w:after="60" w:line="264"/>
        <w:ind w:left="259"/>
      </w:pPr>
      <w:r>
        <w:rPr>
          <w:rFonts w:ascii="Calibri" w:cs="Calibri" w:eastAsia="Calibri" w:hAnsi="Calibri"/>
          <w:i/>
          <w:iCs/>
          <w:color w:val="595959"/>
          <w:sz w:val="19"/>
          <w:szCs w:val="19"/>
        </w:rPr>
        <w:t xml:space="preserve">– Motivation: Halten Sie die fachlichen und persönlichen Gründe für tragfähig — und woran haben Sie das beobachtet?</w:t>
      </w:r>
    </w:p>
    <w:p>
      <w:pPr>
        <w:spacing w:after="60" w:line="264"/>
        <w:ind w:left="259"/>
      </w:pPr>
      <w:r>
        <w:rPr>
          <w:rFonts w:ascii="Calibri" w:cs="Calibri" w:eastAsia="Calibri" w:hAnsi="Calibri"/>
          <w:i/>
          <w:iCs/>
          <w:color w:val="595959"/>
          <w:sz w:val="19"/>
          <w:szCs w:val="19"/>
        </w:rPr>
        <w:t xml:space="preserve">– Perspektiven: Was wird der Bewerber nach diesem Studium können, was er heute nicht kann? Nüchtern und begründet, keine Prophezeiung.</w:t>
      </w:r>
    </w:p>
    <w:p>
      <w:pPr>
        <w:spacing w:after="60" w:line="264"/>
        <w:ind w:left="259"/>
      </w:pPr>
      <w:r>
        <w:rPr>
          <w:rFonts w:ascii="Calibri" w:cs="Calibri" w:eastAsia="Calibri" w:hAnsi="Calibri"/>
          <w:i/>
          <w:iCs/>
          <w:color w:val="595959"/>
          <w:sz w:val="19"/>
          <w:szCs w:val="19"/>
        </w:rPr>
        <w:t xml:space="preserve">– Außerfachliches Engagement: nur Beobachtetes — etwa, dass erhebliche ehrenamtliche Verantwortung neben dem Studium lief und die Termine dennoch standen. Die Vereinsarbeit selbst haben Sie nicht beobachtet.</w:t>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single" w:color="BFC7D5" w:sz="6" w:space="4"/>
        </w:pBdr>
        <w:spacing w:after="80" w:before="300"/>
      </w:pPr>
      <w:r>
        <w:rPr>
          <w:rFonts w:ascii="Calibri" w:cs="Calibri" w:eastAsia="Calibri" w:hAnsi="Calibri"/>
          <w:b/>
          <w:bCs/>
          <w:color w:val="1F3864"/>
          <w:sz w:val="23"/>
          <w:szCs w:val="23"/>
        </w:rPr>
        <w:t xml:space="preserve">6. Befürwortung</w:t>
      </w:r>
      <w:r>
        <w:rPr>
          <w:rFonts w:ascii="Calibri" w:cs="Calibri" w:eastAsia="Calibri" w:hAnsi="Calibri"/>
          <w:i/>
          <w:iCs/>
          <w:color w:val="595959"/>
          <w:sz w:val="18"/>
          <w:szCs w:val="18"/>
        </w:rPr>
        <w:t xml:space="preserve">   1–2 Sätze · uneingeschränkt</w:t>
      </w:r>
    </w:p>
    <w:p>
      <w:pPr>
        <w:spacing w:after="60" w:line="264"/>
        <w:ind w:left="259"/>
      </w:pPr>
      <w:r>
        <w:rPr>
          <w:rFonts w:ascii="Calibri" w:cs="Calibri" w:eastAsia="Calibri" w:hAnsi="Calibri"/>
          <w:i/>
          <w:iCs/>
          <w:color w:val="595959"/>
          <w:sz w:val="19"/>
          <w:szCs w:val="19"/>
        </w:rPr>
        <w:t xml:space="preserve">– Der DAAD verlangt ein „unterstützendes“ Empfehlungsschreiben; ein relativierender Schluss erfüllt das formal nicht.</w:t>
      </w:r>
    </w:p>
    <w:p>
      <w:pPr>
        <w:spacing w:after="60" w:line="264"/>
        <w:ind w:left="259"/>
      </w:pPr>
      <w:r>
        <w:rPr>
          <w:rFonts w:ascii="Calibri" w:cs="Calibri" w:eastAsia="Calibri" w:hAnsi="Calibri"/>
          <w:i/>
          <w:iCs/>
          <w:color w:val="595959"/>
          <w:sz w:val="19"/>
          <w:szCs w:val="19"/>
        </w:rPr>
        <w:t xml:space="preserve">– Register: weder angloamerikanische Superlativketten noch deutsche Bescheidenheitsmarker wie „durchaus solide“ — Letzteres liest eine Kommission als Kritik.</w:t>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single" w:color="BFC7D5" w:sz="6" w:space="4"/>
        </w:pBdr>
        <w:spacing w:after="80" w:before="300"/>
      </w:pPr>
      <w:r>
        <w:rPr>
          <w:rFonts w:ascii="Calibri" w:cs="Calibri" w:eastAsia="Calibri" w:hAnsi="Calibri"/>
          <w:b/>
          <w:bCs/>
          <w:color w:val="1F3864"/>
          <w:sz w:val="23"/>
          <w:szCs w:val="23"/>
        </w:rPr>
        <w:t xml:space="preserve">7. Briefkopf, Datum, Unterschrift</w:t>
      </w:r>
      <w:r>
        <w:rPr>
          <w:rFonts w:ascii="Calibri" w:cs="Calibri" w:eastAsia="Calibri" w:hAnsi="Calibri"/>
          <w:i/>
          <w:iCs/>
          <w:color w:val="595959"/>
          <w:sz w:val="18"/>
          <w:szCs w:val="18"/>
        </w:rPr>
        <w:t xml:space="preserve">   laut Deckblatt vorgeschrieben</w:t>
      </w:r>
    </w:p>
    <w:p>
      <w:pPr>
        <w:spacing w:after="60" w:line="264"/>
        <w:ind w:left="259"/>
      </w:pPr>
      <w:r>
        <w:rPr>
          <w:rFonts w:ascii="Calibri" w:cs="Calibri" w:eastAsia="Calibri" w:hAnsi="Calibri"/>
          <w:i/>
          <w:iCs/>
          <w:color w:val="595959"/>
          <w:sz w:val="19"/>
          <w:szCs w:val="19"/>
        </w:rPr>
        <w:t xml:space="preserve">– Das Schreiben soll auf dem Briefbogen und mit Briefkopf des Instituts bzw. Lehrstuhls erstellt werden.</w:t>
      </w:r>
    </w:p>
    <w:p>
      <w:pPr>
        <w:spacing w:after="60" w:line="264"/>
        <w:ind w:left="259"/>
      </w:pPr>
      <w:r>
        <w:rPr>
          <w:rFonts w:ascii="Calibri" w:cs="Calibri" w:eastAsia="Calibri" w:hAnsi="Calibri"/>
          <w:i/>
          <w:iCs/>
          <w:color w:val="595959"/>
          <w:sz w:val="19"/>
          <w:szCs w:val="19"/>
        </w:rPr>
        <w:t xml:space="preserve">– Unterschrift handschriftlich oder elektronisch; Kontaktdaten für Rückfragen stehen bereits auf dem Deckblatt.</w:t>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pBdr>
          <w:bottom w:val="dotted" w:color="C9CFDB" w:sz="4" w:space="2"/>
        </w:pBdr>
        <w:spacing w:after="0" w:line="380"/>
      </w:pPr>
      <w:r>
        <w:rPr>
          <w:sz w:val="21"/>
          <w:szCs w:val="21"/>
        </w:rPr>
        <w:t xml:space="preserve"/>
      </w:r>
    </w:p>
    <w:p>
      <w:pPr>
        <w:spacing w:before="200"/>
      </w:pPr>
    </w:p>
    <w:tbl>
      <w:tblPr>
        <w:tblW w:type="dxa" w:w="9360"/>
        <w:tblBorders>
          <w:top w:val="single" w:color="BFC7D5" w:sz="2"/>
          <w:left w:val="single" w:color="1F3864" w:sz="18"/>
          <w:bottom w:val="single" w:color="BFC7D5" w:sz="2"/>
          <w:right w:val="single" w:color="BFC7D5" w:sz="2"/>
          <w:insideH w:val="none"/>
          <w:insideV w:val="none"/>
        </w:tblBorders>
      </w:tblPr>
      <w:tblGrid>
        <w:gridCol w:w="9360"/>
      </w:tblGrid>
      <w:tr>
        <w:tc>
          <w:tcPr>
            <w:tcW w:type="dxa" w:w="9360"/>
            <w:shd w:fill="FBEFEF" w:val="clear"/>
            <w:tcMar>
              <w:top w:type="dxa" w:w="140"/>
              <w:left w:type="dxa" w:w="180"/>
              <w:bottom w:type="dxa" w:w="140"/>
              <w:right w:type="dxa" w:w="180"/>
            </w:tcMar>
          </w:tcPr>
          <w:p>
            <w:pPr>
              <w:spacing w:after="60" w:before="0" w:line="276"/>
            </w:pPr>
            <w:r>
              <w:rPr>
                <w:rFonts w:ascii="Calibri" w:cs="Calibri" w:eastAsia="Calibri" w:hAnsi="Calibri"/>
                <w:b/>
                <w:bCs/>
                <w:color w:val="1F3864"/>
                <w:sz w:val="20"/>
                <w:szCs w:val="20"/>
              </w:rPr>
              <w:t xml:space="preserve">Bitte nicht aufnehmen</w:t>
            </w:r>
          </w:p>
          <w:p>
            <w:pPr>
              <w:spacing w:after="50" w:before="0" w:line="276"/>
            </w:pPr>
            <w:r>
              <w:rPr>
                <w:rFonts w:ascii="Calibri" w:cs="Calibri" w:eastAsia="Calibri" w:hAnsi="Calibri"/>
                <w:color w:val="333333"/>
                <w:sz w:val="19"/>
                <w:szCs w:val="19"/>
              </w:rPr>
              <w:t xml:space="preserve">Alles, was Sie nicht selbst beobachtet haben — insbesondere die Tätigkeit bei EY und Details der Vereinsarbeit.</w:t>
            </w:r>
          </w:p>
          <w:p>
            <w:pPr>
              <w:spacing w:after="50" w:before="0" w:line="276"/>
            </w:pPr>
            <w:r>
              <w:rPr>
                <w:rFonts w:ascii="Calibri" w:cs="Calibri" w:eastAsia="Calibri" w:hAnsi="Calibri"/>
                <w:color w:val="333333"/>
                <w:sz w:val="19"/>
                <w:szCs w:val="19"/>
              </w:rPr>
              <w:t xml:space="preserve">Das BCG-Praktikum als Erfahrung: Es beginnt erst im Januar 2027.</w:t>
            </w:r>
          </w:p>
          <w:p>
            <w:pPr>
              <w:spacing w:after="50" w:before="0" w:line="276"/>
            </w:pPr>
            <w:r>
              <w:rPr>
                <w:rFonts w:ascii="Calibri" w:cs="Calibri" w:eastAsia="Calibri" w:hAnsi="Calibri"/>
                <w:color w:val="333333"/>
                <w:sz w:val="19"/>
                <w:szCs w:val="19"/>
              </w:rPr>
              <w:t xml:space="preserve">Noten, Auszeichnungen oder Leistungen, die nicht in der Leistungsübersicht stehen.</w:t>
            </w:r>
          </w:p>
          <w:p>
            <w:pPr>
              <w:spacing w:after="50" w:before="0" w:line="276"/>
            </w:pPr>
            <w:r>
              <w:rPr>
                <w:rFonts w:ascii="Calibri" w:cs="Calibri" w:eastAsia="Calibri" w:hAnsi="Calibri"/>
                <w:color w:val="333333"/>
                <w:sz w:val="19"/>
                <w:szCs w:val="19"/>
              </w:rPr>
              <w:t xml:space="preserve">Eine Rangaussage ohne erläuterte Vergleichsgruppe — das Deckblatt verlangt die Erläuterung ausdrücklich.</w:t>
            </w:r>
          </w:p>
          <w:p>
            <w:pPr>
              <w:spacing w:after="50" w:before="0" w:line="276"/>
            </w:pPr>
            <w:r>
              <w:rPr>
                <w:rFonts w:ascii="Calibri" w:cs="Calibri" w:eastAsia="Calibri" w:hAnsi="Calibri"/>
                <w:color w:val="333333"/>
                <w:sz w:val="19"/>
                <w:szCs w:val="19"/>
              </w:rPr>
              <w:t xml:space="preserve">Aussagen zum Ausgang der Cambridge-Bewerbung.</w:t>
            </w:r>
          </w:p>
          <w:p>
            <w:pPr>
              <w:spacing w:after="50" w:before="0" w:line="276"/>
            </w:pPr>
            <w:r>
              <w:rPr>
                <w:rFonts w:ascii="Calibri" w:cs="Calibri" w:eastAsia="Calibri" w:hAnsi="Calibri"/>
                <w:color w:val="333333"/>
                <w:sz w:val="19"/>
                <w:szCs w:val="19"/>
              </w:rPr>
              <w:t xml:space="preserve">Eine Wiederholung des Motivationsschreibens — die Kommission liest beide Dokumente nebeneinander.</w:t>
            </w:r>
          </w:p>
        </w:tc>
      </w:tr>
    </w:tbl>
    <w:p>
      <w:pPr>
        <w:spacing w:after="100" w:before="0" w:line="276"/>
      </w:pPr>
      <w:r>
        <w:rPr>
          <w:rFonts w:ascii="Calibri" w:cs="Calibri" w:eastAsia="Calibri" w:hAnsi="Calibri"/>
          <w:sz w:val="21"/>
          <w:szCs w:val="21"/>
        </w:rPr>
        <w:t xml:space="preserve"/>
      </w:r>
    </w:p>
    <w:tbl>
      <w:tblPr>
        <w:tblW w:type="dxa" w:w="9360"/>
        <w:tblBorders>
          <w:top w:val="single" w:color="BFC7D5" w:sz="2"/>
          <w:left w:val="single" w:color="1F3864" w:sz="18"/>
          <w:bottom w:val="single" w:color="BFC7D5" w:sz="2"/>
          <w:right w:val="single" w:color="BFC7D5" w:sz="2"/>
          <w:insideH w:val="none"/>
          <w:insideV w:val="none"/>
        </w:tblBorders>
      </w:tblPr>
      <w:tblGrid>
        <w:gridCol w:w="9360"/>
      </w:tblGrid>
      <w:tr>
        <w:tc>
          <w:tcPr>
            <w:tcW w:type="dxa" w:w="9360"/>
            <w:shd w:fill="F2F4F8" w:val="clear"/>
            <w:tcMar>
              <w:top w:type="dxa" w:w="140"/>
              <w:left w:type="dxa" w:w="180"/>
              <w:bottom w:type="dxa" w:w="140"/>
              <w:right w:type="dxa" w:w="180"/>
            </w:tcMar>
          </w:tcPr>
          <w:p>
            <w:pPr>
              <w:spacing w:after="60" w:before="0" w:line="276"/>
            </w:pPr>
            <w:r>
              <w:rPr>
                <w:rFonts w:ascii="Calibri" w:cs="Calibri" w:eastAsia="Calibri" w:hAnsi="Calibri"/>
                <w:b/>
                <w:bCs/>
                <w:color w:val="1F3864"/>
                <w:sz w:val="20"/>
                <w:szCs w:val="20"/>
              </w:rPr>
              <w:t xml:space="preserve">Hinweis: Cambridge ist eine getrennte Anfrage</w:t>
            </w:r>
          </w:p>
          <w:p>
            <w:pPr>
              <w:spacing w:after="50" w:before="0" w:line="276"/>
            </w:pPr>
            <w:r>
              <w:rPr>
                <w:rFonts w:ascii="Calibri" w:cs="Calibri" w:eastAsia="Calibri" w:hAnsi="Calibri"/>
                <w:color w:val="333333"/>
                <w:sz w:val="19"/>
                <w:szCs w:val="19"/>
              </w:rPr>
              <w:t xml:space="preserve">Die Universität Cambridge verlangt zwei akademische Referenzen, die vertraulich und direkt vom Gutachter über das Cambridge Referee Portal eingereicht werden.</w:t>
            </w:r>
          </w:p>
          <w:p>
            <w:pPr>
              <w:spacing w:after="50" w:before="0" w:line="276"/>
            </w:pPr>
            <w:r>
              <w:rPr>
                <w:rFonts w:ascii="Calibri" w:cs="Calibri" w:eastAsia="Calibri" w:hAnsi="Calibri"/>
                <w:color w:val="333333"/>
                <w:sz w:val="19"/>
                <w:szCs w:val="19"/>
              </w:rPr>
              <w:t xml:space="preserve">Das ist ein anderes Dokument mit einer anderen Frist. Sie erhalten dafür eine automatisch generierte E-Mail.</w:t>
            </w:r>
          </w:p>
          <w:p>
            <w:pPr>
              <w:spacing w:after="50" w:before="0" w:line="276"/>
            </w:pPr>
            <w:r>
              <w:rPr>
                <w:rFonts w:ascii="Calibri" w:cs="Calibri" w:eastAsia="Calibri" w:hAnsi="Calibri"/>
                <w:color w:val="333333"/>
                <w:sz w:val="19"/>
                <w:szCs w:val="19"/>
              </w:rPr>
              <w:t xml:space="preserve">Für die Cambridge-Referenz erhalten Sie vom Bewerber keinerlei Textvorschlag — dort wäre das ein Integritätsverstoß.</w:t>
            </w:r>
          </w:p>
        </w:tc>
      </w:tr>
    </w:tbl>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2026-09-18T09:33:05.425Z</dcterms:created>
  <dcterms:modified xsi:type="dcterms:W3CDTF">2026-09-18T09:33:05.435Z</dcterms:modified>
</cp:coreProperties>
</file>

<file path=docProps/custom.xml><?xml version="1.0" encoding="utf-8"?>
<Properties xmlns="http://schemas.openxmlformats.org/officeDocument/2006/custom-properties" xmlns:vt="http://schemas.openxmlformats.org/officeDocument/2006/docPropsVTypes"/>
</file>