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0"/>
          <w:szCs w:val="30"/>
        </w:rPr>
        <w:t xml:space="preserve">Studienplan</w:t>
      </w:r>
    </w:p>
    <w:p>
      <w:pPr>
        <w:spacing w:after="30"/>
      </w:pPr>
      <w:r>
        <w:rPr>
          <w:rFonts w:ascii="Calibri" w:cs="Calibri" w:eastAsia="Calibri" w:hAnsi="Calibri"/>
          <w:sz w:val="21"/>
          <w:szCs w:val="21"/>
        </w:rPr>
        <w:t xml:space="preserve">Tim Rösch</w:t>
      </w:r>
    </w:p>
    <w:p>
      <w:pPr>
        <w:spacing w:after="240"/>
      </w:pPr>
      <w:r>
        <w:rPr>
          <w:rFonts w:ascii="Calibri" w:cs="Calibri" w:eastAsia="Calibri" w:hAnsi="Calibri"/>
          <w:color w:val="595959"/>
          <w:sz w:val="19"/>
          <w:szCs w:val="19"/>
        </w:rPr>
        <w:t xml:space="preserve">MPhil in Industrial Systems, Manufacture and Management · Institute for Manufacturing, Department of Engineering, University of Cambridge · Oktober 2027 bis September 2028</w:t>
      </w:r>
    </w:p>
    <w:p>
      <w:pPr>
        <w:pBdr>
          <w:bottom w:val="single" w:color="BFC7D5" w:sz="6" w:space="3"/>
        </w:pBdr>
        <w:spacing w:after="120" w:before="260"/>
      </w:pPr>
      <w:r>
        <w:rPr>
          <w:rFonts w:ascii="Calibri" w:cs="Calibri" w:eastAsia="Calibri" w:hAnsi="Calibri"/>
          <w:b/>
          <w:bCs/>
          <w:color w:val="1F3864"/>
          <w:sz w:val="23"/>
          <w:szCs w:val="23"/>
        </w:rPr>
        <w:t xml:space="preserve">1  Ausgangslage und Ziel des Auslandsstudiums</w:t>
      </w:r>
    </w:p>
    <w:p>
      <w:pPr>
        <w:spacing w:after="150" w:line="264"/>
        <w:jc w:val="both"/>
      </w:pPr>
      <w:r>
        <w:rPr>
          <w:rFonts w:ascii="Calibri" w:cs="Calibri" w:eastAsia="Calibri" w:hAnsi="Calibri"/>
          <w:sz w:val="21"/>
          <w:szCs w:val="21"/>
        </w:rPr>
        <w:t xml:space="preserve">Mein Studium der Wirtschaftsinformatik hat mich gelehrt, betriebliche Abläufe als etwas zu betrachten, das sich beschreiben, messen und verbessern lässt. Ich habe Prozesse formal modelliert, mit Petri-Netzen, ereignisgesteuerten Prozessketten und BPMN, ihre Leistung über Kennzahlen gesteuert und mit Process Mining aus den Datenspuren betrieblicher Systeme rekonstruiert, wie sie tatsächlich ablaufen und nicht, wie sie dokumentiert sind. Daneben habe ich programmiert und verteilte Systeme entwickelt, also auch die Seite kennengelernt, auf der solche Abläufe technisch entstehen.</w:t>
      </w:r>
    </w:p>
    <w:p>
      <w:pPr>
        <w:spacing w:after="150" w:line="264"/>
        <w:jc w:val="both"/>
      </w:pPr>
      <w:r>
        <w:rPr>
          <w:rFonts w:ascii="Calibri" w:cs="Calibri" w:eastAsia="Calibri" w:hAnsi="Calibri"/>
          <w:sz w:val="21"/>
          <w:szCs w:val="21"/>
        </w:rPr>
        <w:t xml:space="preserve">In den Praxisphasen bei EY-Parthenon habe ich diese Methoden auf industrielle Klienten angewendet, überwiegend in der Automobilbranche. Ich habe Marktsegmente und Erlösmodelle quantifiziert, in einer Financial Due Diligence die Volumen- und Preisannahmen eines globalen Automobilzulieferers geprüft und gemeinsam mit dessen Einkaufsleiter Beschaffungsprozess und Lieferantenbasis analysiert. In meiner Abschlussarbeit und einer anschließenden Rotation habe ich ein KI-gestütztes Prüfverfahren entwickelt, das Aussagen in Due-Diligence-Berichten gegen ihre Quellen abgleicht. Es erreichte an 139 Aussagen eine Bewertungsgenauigkeit von 94 Prozent und wurde in den laufenden Arbeitsablauf der Teams übernommen.</w:t>
      </w:r>
    </w:p>
    <w:p>
      <w:pPr>
        <w:spacing w:after="150" w:line="264"/>
        <w:jc w:val="both"/>
      </w:pPr>
      <w:r>
        <w:rPr>
          <w:rFonts w:ascii="Calibri" w:cs="Calibri" w:eastAsia="Calibri" w:hAnsi="Calibri"/>
          <w:sz w:val="21"/>
          <w:szCs w:val="21"/>
        </w:rPr>
        <w:t xml:space="preserve">Zwei Beobachtungen ziehen sich durch diese Arbeiten, und sie bestimmen mein Studienvorhaben.</w:t>
      </w:r>
    </w:p>
    <w:p>
      <w:pPr>
        <w:spacing w:after="150" w:line="264"/>
        <w:jc w:val="both"/>
      </w:pPr>
      <w:r>
        <w:rPr>
          <w:rFonts w:ascii="Calibri" w:cs="Calibri" w:eastAsia="Calibri" w:hAnsi="Calibri"/>
          <w:sz w:val="21"/>
          <w:szCs w:val="21"/>
        </w:rPr>
        <w:t xml:space="preserve">Die erste betrifft die Verlässlichkeit maschinell erzeugter Ergebnisse. Mein Prüfverfahren ist aus einem praktischen Problem entstanden: Ein Modell erzeugt Aussagen schneller, als ein Mensch sie nachvollziehen kann, und trotzdem wird auf ihrer Grundlage entschieden. Die Frage, wann man einem solchen Ergebnis trauen darf und woran sich das erkennen lässt, hat mich seither nicht losgelassen.</w:t>
      </w:r>
    </w:p>
    <w:p>
      <w:pPr>
        <w:spacing w:after="150" w:line="264"/>
        <w:jc w:val="both"/>
      </w:pPr>
      <w:r>
        <w:rPr>
          <w:rFonts w:ascii="Calibri" w:cs="Calibri" w:eastAsia="Calibri" w:hAnsi="Calibri"/>
          <w:sz w:val="21"/>
          <w:szCs w:val="21"/>
        </w:rPr>
        <w:t xml:space="preserve">Die zweite betrifft eine Grenze meiner Ausbildung. Ich konnte beschreiben, wie ein Unternehmen wirtschaftlich funktioniert, nicht aber, wie es physisch produziert. In der Expertensession zur Lieferantenbasis endete meine Urteilsfähigkeit genau dort, wo Fertigungsverfahren, Anlagenverfügbarkeit und Werkslayout beginnen. Die Kennzahl konnte ich hinterfragen, den Prozess dahinter nicht. Meine bisherige Ausbildung betrifft die Informationsebene betrieblicher Abläufe; die physische Ebene fehlt ihr.</w:t>
      </w:r>
    </w:p>
    <w:p>
      <w:pPr>
        <w:spacing w:after="150" w:line="264"/>
        <w:jc w:val="both"/>
      </w:pPr>
      <w:r>
        <w:rPr>
          <w:rFonts w:ascii="Calibri" w:cs="Calibri" w:eastAsia="Calibri" w:hAnsi="Calibri"/>
          <w:sz w:val="21"/>
          <w:szCs w:val="21"/>
        </w:rPr>
        <w:t xml:space="preserve">Mein Ziel für die zwölf Monate ergibt sich aus beidem: Ich will industrielle Wertschöpfung auf beiden Ebenen beurteilen können und dabei so weit in die Technologie hineinreichen, dass ich ihre Anwendbarkeit selbst einschätze und sie nicht von anderen übernehmen muss.</w:t>
      </w:r>
    </w:p>
    <w:p>
      <w:pPr>
        <w:pBdr>
          <w:bottom w:val="single" w:color="BFC7D5" w:sz="6" w:space="3"/>
        </w:pBdr>
        <w:spacing w:after="120" w:before="260"/>
      </w:pPr>
      <w:r>
        <w:rPr>
          <w:rFonts w:ascii="Calibri" w:cs="Calibri" w:eastAsia="Calibri" w:hAnsi="Calibri"/>
          <w:b/>
          <w:bCs/>
          <w:color w:val="1F3864"/>
          <w:sz w:val="23"/>
          <w:szCs w:val="23"/>
        </w:rPr>
        <w:t xml:space="preserve">2  Begründung der Programmwahl</w:t>
      </w:r>
    </w:p>
    <w:p>
      <w:pPr>
        <w:spacing w:after="150" w:line="264"/>
        <w:jc w:val="both"/>
      </w:pPr>
      <w:r>
        <w:rPr>
          <w:rFonts w:ascii="Calibri" w:cs="Calibri" w:eastAsia="Calibri" w:hAnsi="Calibri"/>
          <w:sz w:val="21"/>
          <w:szCs w:val="21"/>
        </w:rPr>
        <w:t xml:space="preserve">Ich habe mehrere Wege geprüft. Allgemeine Management-Masterprogramme kamen für mich nicht in Frage, weil sie zu breit angelegt sind. Sie hätten mir Methoden hinzugefügt, über die ich nach drei Jahren Beratungspraxis bereits verfüge, und die Lücke gelassen, die mich tatsächlich einschränkt. Wer heute über industrielle Digitalisierung entscheidet, muss die Technologie verstehen und nicht nur ihr Geschäftsmodell. Genau diese Verbindung suche ich.</w:t>
      </w:r>
    </w:p>
    <w:p>
      <w:pPr>
        <w:spacing w:after="150" w:line="264"/>
        <w:jc w:val="both"/>
      </w:pPr>
      <w:r>
        <w:rPr>
          <w:rFonts w:ascii="Calibri" w:cs="Calibri" w:eastAsia="Calibri" w:hAnsi="Calibri"/>
          <w:sz w:val="21"/>
          <w:szCs w:val="21"/>
        </w:rPr>
        <w:t xml:space="preserve">Deutsche Alternativen habe ich ebenfalls geprüft. Produktionstechnische Masterstudiengänge, etwa an der RWTH Aachen, der TU München oder der Universität Stuttgart, setzen in der Regel einen ingenieurwissenschaftlichen Bachelor voraus und führen fachlich tiefer, als es für meine Fragestellung nötig ist. Wirtschaftsingenieurwesen und Operations-Management-Programme gehen umgekehrt selten bis auf die Ebene der Fertigungsverfahren hinunter. Beide Wege verlangen eine Entscheidung zwischen technischer und betriebswirtschaftlicher Tiefe, und genau diese Trennung ist mein Problem, nicht meine Lösung.</w:t>
      </w:r>
    </w:p>
    <w:p>
      <w:pPr>
        <w:spacing w:after="150" w:line="264"/>
        <w:jc w:val="both"/>
      </w:pPr>
      <w:r>
        <w:rPr>
          <w:rFonts w:ascii="Calibri" w:cs="Calibri" w:eastAsia="Calibri" w:hAnsi="Calibri"/>
          <w:sz w:val="21"/>
          <w:szCs w:val="21"/>
        </w:rPr>
        <w:t xml:space="preserve">Der MPhil in Industrial Systems, Manufacture and Management verbindet beides in einem Curriculum: Fertigungsverfahren, Operations und Lieferkette, datenanalytische Modellierung und Geschäftsentwicklung, gekoppelt an vier Unternehmensprojekte, rund dreißig Werksbesuche und ein eigenständiges Forschungsprojekt innerhalb von zwölf Monaten. Diese Kombination habe ich im deutschsprachigen Raum nicht gefunden.</w:t>
      </w:r>
    </w:p>
    <w:p>
      <w:pPr>
        <w:spacing w:after="150" w:line="264"/>
        <w:jc w:val="both"/>
      </w:pPr>
      <w:r>
        <w:rPr>
          <w:rFonts w:ascii="Calibri" w:cs="Calibri" w:eastAsia="Calibri" w:hAnsi="Calibri"/>
          <w:sz w:val="21"/>
          <w:szCs w:val="21"/>
        </w:rPr>
        <w:t xml:space="preserve">Hinzu kommt das Institute for Manufacturing selbst. Seine Forschungsgruppen arbeiten an genau der Schnittstelle, die mich interessiert; die Gruppe Distributed Information and Automation etwa an verteilter Information und Automatisierung in der Produktion. Dass die Lehre von Personen getragen wird, die auf diesen Feldern forschen, ist für mich der entscheidende Unterschied zu einem Programm, das denselben Stoff lediglich vermittelt.</w:t>
      </w:r>
    </w:p>
    <w:p>
      <w:pPr>
        <w:spacing w:after="150" w:line="264"/>
        <w:jc w:val="both"/>
      </w:pPr>
      <w:r>
        <w:rPr>
          <w:rFonts w:ascii="Calibri" w:cs="Calibri" w:eastAsia="Calibri" w:hAnsi="Calibri"/>
          <w:sz w:val="21"/>
          <w:szCs w:val="21"/>
        </w:rPr>
        <w:t xml:space="preserve">Zum Zeitpunkt: Ich möchte diesen Schritt gehen, bevor ich mich beruflich festlege. Nach mehreren Jahren in der Beratung wäre die Spezialisierung bereits entschieden und ein Masterstudium eine Korrektur. Jetzt ist es eine Weichenstellung.</w:t>
      </w:r>
    </w:p>
    <w:p>
      <w:pPr>
        <w:pBdr>
          <w:bottom w:val="single" w:color="BFC7D5" w:sz="6" w:space="3"/>
        </w:pBdr>
        <w:spacing w:after="120" w:before="260"/>
      </w:pPr>
      <w:r>
        <w:rPr>
          <w:rFonts w:ascii="Calibri" w:cs="Calibri" w:eastAsia="Calibri" w:hAnsi="Calibri"/>
          <w:b/>
          <w:bCs/>
          <w:color w:val="1F3864"/>
          <w:sz w:val="23"/>
          <w:szCs w:val="23"/>
        </w:rPr>
        <w:t xml:space="preserve">3  Studienverlauf und geplante Lehrveranstaltungen</w:t>
      </w:r>
    </w:p>
    <w:p>
      <w:pPr>
        <w:spacing w:after="150" w:line="264"/>
        <w:jc w:val="both"/>
      </w:pPr>
      <w:r>
        <w:rPr>
          <w:rFonts w:ascii="Calibri" w:cs="Calibri" w:eastAsia="Calibri" w:hAnsi="Calibri"/>
          <w:sz w:val="21"/>
          <w:szCs w:val="21"/>
        </w:rPr>
        <w:t xml:space="preserve">Das Programm beginnt im Oktober mit einem Einführungsmodul, umfasst fünf Kernmodule und ein Wahlmodul und schließt nach elf Monaten Lehre und einem Monat Prüfung ab. Jedes Modul wird über eine eigenständige Coursework-Arbeit bewertet.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50"/>
        <w:gridCol w:w="4500"/>
        <w:gridCol w:w="1250"/>
      </w:tblGrid>
      <w:tr>
        <w:tc>
          <w:tcPr>
            <w:tcW w:type="dxa" w:w="2450"/>
            <w:tcBorders>
              <w:top w:val="single" w:color="BFC7D5" w:sz="2"/>
              <w:left w:val="single" w:color="BFC7D5" w:sz="2"/>
              <w:bottom w:val="single" w:color="BFC7D5" w:sz="2"/>
              <w:right w:val="single" w:color="BFC7D5" w:sz="2"/>
            </w:tcBorders>
            <w:shd w:fill="EDF0F5" w:val="clear"/>
            <w:tcMar>
              <w:top w:type="dxa" w:w="70"/>
              <w:left w:type="dxa" w:w="100"/>
              <w:bottom w:type="dxa" w:w="70"/>
              <w:right w:type="dxa" w:w="100"/>
            </w:tcMar>
          </w:tcPr>
          <w:p>
            <w:pPr>
              <w:spacing w:after="0" w:line="240"/>
            </w:pPr>
            <w:r>
              <w:rPr>
                <w:rFonts w:ascii="Calibri" w:cs="Calibri" w:eastAsia="Calibri" w:hAnsi="Calibri"/>
                <w:b/>
                <w:bCs/>
                <w:sz w:val="18"/>
                <w:szCs w:val="18"/>
              </w:rPr>
              <w:t xml:space="preserve">Modul</w:t>
            </w:r>
          </w:p>
        </w:tc>
        <w:tc>
          <w:tcPr>
            <w:tcW w:type="dxa" w:w="4500"/>
            <w:tcBorders>
              <w:top w:val="single" w:color="BFC7D5" w:sz="2"/>
              <w:left w:val="single" w:color="BFC7D5" w:sz="2"/>
              <w:bottom w:val="single" w:color="BFC7D5" w:sz="2"/>
              <w:right w:val="single" w:color="BFC7D5" w:sz="2"/>
            </w:tcBorders>
            <w:shd w:fill="EDF0F5" w:val="clear"/>
            <w:tcMar>
              <w:top w:type="dxa" w:w="70"/>
              <w:left w:type="dxa" w:w="100"/>
              <w:bottom w:type="dxa" w:w="70"/>
              <w:right w:type="dxa" w:w="100"/>
            </w:tcMar>
          </w:tcPr>
          <w:p>
            <w:pPr>
              <w:spacing w:after="0" w:line="240"/>
            </w:pPr>
            <w:r>
              <w:rPr>
                <w:rFonts w:ascii="Calibri" w:cs="Calibri" w:eastAsia="Calibri" w:hAnsi="Calibri"/>
                <w:b/>
                <w:bCs/>
                <w:sz w:val="18"/>
                <w:szCs w:val="18"/>
              </w:rPr>
              <w:t xml:space="preserve">Inhalt</w:t>
            </w:r>
          </w:p>
        </w:tc>
        <w:tc>
          <w:tcPr>
            <w:tcW w:type="dxa" w:w="1250"/>
            <w:tcBorders>
              <w:top w:val="single" w:color="BFC7D5" w:sz="2"/>
              <w:left w:val="single" w:color="BFC7D5" w:sz="2"/>
              <w:bottom w:val="single" w:color="BFC7D5" w:sz="2"/>
              <w:right w:val="single" w:color="BFC7D5" w:sz="2"/>
            </w:tcBorders>
            <w:shd w:fill="EDF0F5" w:val="clear"/>
            <w:tcMar>
              <w:top w:type="dxa" w:w="70"/>
              <w:left w:type="dxa" w:w="100"/>
              <w:bottom w:type="dxa" w:w="70"/>
              <w:right w:type="dxa" w:w="100"/>
            </w:tcMar>
          </w:tcPr>
          <w:p>
            <w:pPr>
              <w:spacing w:after="0" w:line="240"/>
            </w:pPr>
            <w:r>
              <w:rPr>
                <w:rFonts w:ascii="Calibri" w:cs="Calibri" w:eastAsia="Calibri" w:hAnsi="Calibri"/>
                <w:b/>
                <w:bCs/>
                <w:sz w:val="18"/>
                <w:szCs w:val="18"/>
              </w:rPr>
              <w:t xml:space="preserve">Leistung</w:t>
            </w:r>
          </w:p>
        </w:tc>
      </w:tr>
      <w:tr>
        <w:tc>
          <w:tcPr>
            <w:tcW w:type="dxa" w:w="24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M0  Introduction to ISMM</w:t>
            </w:r>
          </w:p>
        </w:tc>
        <w:tc>
          <w:tcPr>
            <w:tcW w:type="dxa" w:w="45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Aufbau und Prüfungslogik des Studiengangs, Beginn der Professional-Skills-Arbeit</w:t>
            </w:r>
          </w:p>
        </w:tc>
        <w:tc>
          <w:tcPr>
            <w:tcW w:type="dxa" w:w="12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w:t>
            </w:r>
          </w:p>
        </w:tc>
      </w:tr>
      <w:tr>
        <w:tc>
          <w:tcPr>
            <w:tcW w:type="dxa" w:w="24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M1  Manufacturing Processes</w:t>
            </w:r>
          </w:p>
        </w:tc>
        <w:tc>
          <w:tcPr>
            <w:tcW w:type="dxa" w:w="45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Kritische Fertigungsverfahren und ihre Auswirkungen auf die Produktion; Theorie und Prinzipien zur Entwicklung eines Fertigungssystems einschließlich der Verfahren der wichtigsten Industriewerkstoffe</w:t>
            </w:r>
          </w:p>
        </w:tc>
        <w:tc>
          <w:tcPr>
            <w:tcW w:type="dxa" w:w="12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Coursework</w:t>
            </w:r>
          </w:p>
        </w:tc>
      </w:tr>
      <w:tr>
        <w:tc>
          <w:tcPr>
            <w:tcW w:type="dxa" w:w="24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M2  Operations and Supply Chain Management</w:t>
            </w:r>
          </w:p>
        </w:tc>
        <w:tc>
          <w:tcPr>
            <w:tcW w:type="dxa" w:w="45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Beschaffung, vorgelagerte Lieferkette und Lieferantenkooperationen; Wertschöpfung innerhalb der Fabrik; Distribution und durchgängiges Supply-Chain-Management</w:t>
            </w:r>
          </w:p>
        </w:tc>
        <w:tc>
          <w:tcPr>
            <w:tcW w:type="dxa" w:w="12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Coursework</w:t>
            </w:r>
          </w:p>
        </w:tc>
      </w:tr>
      <w:tr>
        <w:tc>
          <w:tcPr>
            <w:tcW w:type="dxa" w:w="24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M3  Data and Modelling</w:t>
            </w:r>
          </w:p>
        </w:tc>
        <w:tc>
          <w:tcPr>
            <w:tcW w:type="dxa" w:w="45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Datenanalyse und Modellierung für Fertigungsdaten: Stichprobenbildung, Regression, Data Mining, Simulation, Sensitivitätsanalyse; Erkennen von Annahmen und Grenzen der Verfahren</w:t>
            </w:r>
          </w:p>
        </w:tc>
        <w:tc>
          <w:tcPr>
            <w:tcW w:type="dxa" w:w="12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Coursework</w:t>
            </w:r>
          </w:p>
        </w:tc>
      </w:tr>
      <w:tr>
        <w:tc>
          <w:tcPr>
            <w:tcW w:type="dxa" w:w="24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M4  New Business Development</w:t>
            </w:r>
          </w:p>
        </w:tc>
        <w:tc>
          <w:tcPr>
            <w:tcW w:type="dxa" w:w="45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Entrepreneurship, Unternehmensstrategie, Vertrieb und Marketing, Design Innovation</w:t>
            </w:r>
          </w:p>
        </w:tc>
        <w:tc>
          <w:tcPr>
            <w:tcW w:type="dxa" w:w="12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Coursework</w:t>
            </w:r>
          </w:p>
        </w:tc>
      </w:tr>
      <w:tr>
        <w:tc>
          <w:tcPr>
            <w:tcW w:type="dxa" w:w="24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M5  Research Methods</w:t>
            </w:r>
          </w:p>
        </w:tc>
        <w:tc>
          <w:tcPr>
            <w:tcW w:type="dxa" w:w="45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Wesen wissenschaftlichen Wissens, evidenzgestützte Argumentation und Literaturarbeit, Auswahl von Forschungsmethoden, Erhebung und Verwendung von Daten</w:t>
            </w:r>
          </w:p>
        </w:tc>
        <w:tc>
          <w:tcPr>
            <w:tcW w:type="dxa" w:w="12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Coursework</w:t>
            </w:r>
          </w:p>
        </w:tc>
      </w:tr>
      <w:tr>
        <w:tc>
          <w:tcPr>
            <w:tcW w:type="dxa" w:w="24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Wahlmodul</w:t>
            </w:r>
          </w:p>
        </w:tc>
        <w:tc>
          <w:tcPr>
            <w:tcW w:type="dxa" w:w="45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Wird nach der Einführungsphase im Gespräch mit dem Studiengang gewählt; eine Festlegung zwölf Monate im Voraus erscheint mir nicht seriös</w:t>
            </w:r>
          </w:p>
        </w:tc>
        <w:tc>
          <w:tcPr>
            <w:tcW w:type="dxa" w:w="125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Coursework</w:t>
            </w:r>
          </w:p>
        </w:tc>
      </w:tr>
    </w:tbl>
    <w:p>
      <w:pPr>
        <w:spacing w:after="130"/>
      </w:pPr>
    </w:p>
    <w:p>
      <w:pPr>
        <w:spacing w:after="150" w:line="264"/>
        <w:jc w:val="both"/>
      </w:pPr>
      <w:r>
        <w:rPr>
          <w:rFonts w:ascii="Calibri" w:cs="Calibri" w:eastAsia="Calibri" w:hAnsi="Calibri"/>
          <w:sz w:val="21"/>
          <w:szCs w:val="21"/>
        </w:rPr>
        <w:t xml:space="preserve">Zur Frage der Credit Points: Cambridge weist für den MPhil keine ECTS aus. Der Arbeitsaufwand entspricht einem vollen Masterjahr in Vollzeit. Bewertet wird über sechs Coursework-Arbeiten, eine Bewertung je Industrieprojekt, einen integrierenden Abschlussessay und die Dissertation von bis zu 15.000 Wörtern. Ich gebe deshalb die jeweilige Prüfungsform an und rechne keine Punktzahl um.</w:t>
      </w:r>
    </w:p>
    <w:p>
      <w:pPr>
        <w:spacing w:after="80" w:before="160"/>
      </w:pPr>
      <w:r>
        <w:rPr>
          <w:rFonts w:ascii="Calibri" w:cs="Calibri" w:eastAsia="Calibri" w:hAnsi="Calibri"/>
          <w:b/>
          <w:bCs/>
          <w:sz w:val="21"/>
          <w:szCs w:val="21"/>
        </w:rPr>
        <w:t xml:space="preserve">Praxisanteile und zeitlicher Ablauf</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100"/>
      </w:tblGrid>
      <w:tr>
        <w:tc>
          <w:tcPr>
            <w:tcW w:type="dxa" w:w="1700"/>
            <w:tcBorders>
              <w:top w:val="single" w:color="BFC7D5" w:sz="2"/>
              <w:left w:val="single" w:color="BFC7D5" w:sz="2"/>
              <w:bottom w:val="single" w:color="BFC7D5" w:sz="2"/>
              <w:right w:val="single" w:color="BFC7D5" w:sz="2"/>
            </w:tcBorders>
            <w:shd w:fill="EDF0F5" w:val="clear"/>
            <w:tcMar>
              <w:top w:type="dxa" w:w="70"/>
              <w:left w:type="dxa" w:w="100"/>
              <w:bottom w:type="dxa" w:w="70"/>
              <w:right w:type="dxa" w:w="100"/>
            </w:tcMar>
          </w:tcPr>
          <w:p>
            <w:pPr>
              <w:spacing w:after="0" w:line="240"/>
            </w:pPr>
            <w:r>
              <w:rPr>
                <w:rFonts w:ascii="Calibri" w:cs="Calibri" w:eastAsia="Calibri" w:hAnsi="Calibri"/>
                <w:b/>
                <w:bCs/>
                <w:sz w:val="18"/>
                <w:szCs w:val="18"/>
              </w:rPr>
              <w:t xml:space="preserve">Zeitraum</w:t>
            </w:r>
          </w:p>
        </w:tc>
        <w:tc>
          <w:tcPr>
            <w:tcW w:type="dxa" w:w="4400"/>
            <w:tcBorders>
              <w:top w:val="single" w:color="BFC7D5" w:sz="2"/>
              <w:left w:val="single" w:color="BFC7D5" w:sz="2"/>
              <w:bottom w:val="single" w:color="BFC7D5" w:sz="2"/>
              <w:right w:val="single" w:color="BFC7D5" w:sz="2"/>
            </w:tcBorders>
            <w:shd w:fill="EDF0F5" w:val="clear"/>
            <w:tcMar>
              <w:top w:type="dxa" w:w="70"/>
              <w:left w:type="dxa" w:w="100"/>
              <w:bottom w:type="dxa" w:w="70"/>
              <w:right w:type="dxa" w:w="100"/>
            </w:tcMar>
          </w:tcPr>
          <w:p>
            <w:pPr>
              <w:spacing w:after="0" w:line="240"/>
            </w:pPr>
            <w:r>
              <w:rPr>
                <w:rFonts w:ascii="Calibri" w:cs="Calibri" w:eastAsia="Calibri" w:hAnsi="Calibri"/>
                <w:b/>
                <w:bCs/>
                <w:sz w:val="18"/>
                <w:szCs w:val="18"/>
              </w:rPr>
              <w:t xml:space="preserve">Inhalt</w:t>
            </w:r>
          </w:p>
        </w:tc>
        <w:tc>
          <w:tcPr>
            <w:tcW w:type="dxa" w:w="2100"/>
            <w:tcBorders>
              <w:top w:val="single" w:color="BFC7D5" w:sz="2"/>
              <w:left w:val="single" w:color="BFC7D5" w:sz="2"/>
              <w:bottom w:val="single" w:color="BFC7D5" w:sz="2"/>
              <w:right w:val="single" w:color="BFC7D5" w:sz="2"/>
            </w:tcBorders>
            <w:shd w:fill="EDF0F5" w:val="clear"/>
            <w:tcMar>
              <w:top w:type="dxa" w:w="70"/>
              <w:left w:type="dxa" w:w="100"/>
              <w:bottom w:type="dxa" w:w="70"/>
              <w:right w:type="dxa" w:w="100"/>
            </w:tcMar>
          </w:tcPr>
          <w:p>
            <w:pPr>
              <w:spacing w:after="0" w:line="240"/>
            </w:pPr>
            <w:r>
              <w:rPr>
                <w:rFonts w:ascii="Calibri" w:cs="Calibri" w:eastAsia="Calibri" w:hAnsi="Calibri"/>
                <w:b/>
                <w:bCs/>
                <w:sz w:val="18"/>
                <w:szCs w:val="18"/>
              </w:rPr>
              <w:t xml:space="preserve">Leistung</w:t>
            </w:r>
          </w:p>
        </w:tc>
      </w:tr>
      <w:tr>
        <w:tc>
          <w:tcPr>
            <w:tcW w:type="dxa" w:w="17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Okt 2027</w:t>
            </w:r>
          </w:p>
        </w:tc>
        <w:tc>
          <w:tcPr>
            <w:tcW w:type="dxa" w:w="44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Einführungsmodul M0</w:t>
            </w:r>
          </w:p>
        </w:tc>
        <w:tc>
          <w:tcPr>
            <w:tcW w:type="dxa" w:w="21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w:t>
            </w:r>
          </w:p>
        </w:tc>
      </w:tr>
      <w:tr>
        <w:tc>
          <w:tcPr>
            <w:tcW w:type="dxa" w:w="17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Okt–Dez 2027</w:t>
            </w:r>
          </w:p>
        </w:tc>
        <w:tc>
          <w:tcPr>
            <w:tcW w:type="dxa" w:w="44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Kernmodule; Projekt P1 über zwei Wochen im Zweierteam zu Supply Chain und Operations; Industriebesuche</w:t>
            </w:r>
          </w:p>
        </w:tc>
        <w:tc>
          <w:tcPr>
            <w:tcW w:type="dxa" w:w="21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Coursework, Projektbericht</w:t>
            </w:r>
          </w:p>
        </w:tc>
      </w:tr>
      <w:tr>
        <w:tc>
          <w:tcPr>
            <w:tcW w:type="dxa" w:w="17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Jan–Mrz 2028</w:t>
            </w:r>
          </w:p>
        </w:tc>
        <w:tc>
          <w:tcPr>
            <w:tcW w:type="dxa" w:w="44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Kernmodule; P2 über zwei Wochen; P3 an einem Tag pro Woche über sechs Wochen bei kleinen Unternehmen; P4 über zwei Wochen zu Strategie und Marketing</w:t>
            </w:r>
          </w:p>
        </w:tc>
        <w:tc>
          <w:tcPr>
            <w:tcW w:type="dxa" w:w="21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Coursework, Projektberichte</w:t>
            </w:r>
          </w:p>
        </w:tc>
      </w:tr>
      <w:tr>
        <w:tc>
          <w:tcPr>
            <w:tcW w:type="dxa" w:w="17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Apr/Mai 2028</w:t>
            </w:r>
          </w:p>
        </w:tc>
        <w:tc>
          <w:tcPr>
            <w:tcW w:type="dxa" w:w="44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Auslandsstudienreise mit Themenschwerpunkt</w:t>
            </w:r>
          </w:p>
        </w:tc>
        <w:tc>
          <w:tcPr>
            <w:tcW w:type="dxa" w:w="21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Bericht, Debrief-Seminar</w:t>
            </w:r>
          </w:p>
        </w:tc>
      </w:tr>
      <w:tr>
        <w:tc>
          <w:tcPr>
            <w:tcW w:type="dxa" w:w="17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Apr–Aug 2028</w:t>
            </w:r>
          </w:p>
        </w:tc>
        <w:tc>
          <w:tcPr>
            <w:tcW w:type="dxa" w:w="44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Forschungsprojekt über fünfzehn Wochen</w:t>
            </w:r>
          </w:p>
        </w:tc>
        <w:tc>
          <w:tcPr>
            <w:tcW w:type="dxa" w:w="21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Dissertation, bis 15.000 Wörter</w:t>
            </w:r>
          </w:p>
        </w:tc>
      </w:tr>
      <w:tr>
        <w:tc>
          <w:tcPr>
            <w:tcW w:type="dxa" w:w="17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Aug/Sep 2028</w:t>
            </w:r>
          </w:p>
        </w:tc>
        <w:tc>
          <w:tcPr>
            <w:tcW w:type="dxa" w:w="44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Forschungskonferenz, Abschlussprüfungen</w:t>
            </w:r>
          </w:p>
        </w:tc>
        <w:tc>
          <w:tcPr>
            <w:tcW w:type="dxa" w:w="2100"/>
            <w:tcBorders>
              <w:top w:val="single" w:color="BFC7D5" w:sz="2"/>
              <w:left w:val="single" w:color="BFC7D5" w:sz="2"/>
              <w:bottom w:val="single" w:color="BFC7D5" w:sz="2"/>
              <w:right w:val="single" w:color="BFC7D5" w:sz="2"/>
            </w:tcBorders>
            <w:tcMar>
              <w:top w:type="dxa" w:w="70"/>
              <w:left w:type="dxa" w:w="100"/>
              <w:bottom w:type="dxa" w:w="70"/>
              <w:right w:type="dxa" w:w="100"/>
            </w:tcMar>
          </w:tcPr>
          <w:p>
            <w:pPr>
              <w:spacing w:after="0" w:line="240"/>
            </w:pPr>
            <w:r>
              <w:rPr>
                <w:rFonts w:ascii="Calibri" w:cs="Calibri" w:eastAsia="Calibri" w:hAnsi="Calibri"/>
                <w:b w:val="false"/>
                <w:bCs w:val="false"/>
                <w:sz w:val="18"/>
                <w:szCs w:val="18"/>
              </w:rPr>
              <w:t xml:space="preserve">Präsentation, integrierender Essay</w:t>
            </w:r>
          </w:p>
        </w:tc>
      </w:tr>
    </w:tbl>
    <w:p>
      <w:pPr>
        <w:spacing w:after="130"/>
      </w:pPr>
    </w:p>
    <w:p>
      <w:pPr>
        <w:spacing w:after="150" w:line="264"/>
        <w:jc w:val="both"/>
      </w:pPr>
      <w:r>
        <w:rPr>
          <w:rFonts w:ascii="Calibri" w:cs="Calibri" w:eastAsia="Calibri" w:hAnsi="Calibri"/>
          <w:sz w:val="21"/>
          <w:szCs w:val="21"/>
        </w:rPr>
        <w:t xml:space="preserve">Die Industrieprojekte enden jeweils mit einer Präsentation vor der Geschäftsleitung des Gastunternehmens und einer knappen Executive Summary. Soweit die Zuteilung es zulässt, möchte ich meine Projekte auf Produktionsplanung, Bestandsoptimierung und Instandhaltung richten, weil dort Daten und physischer Prozess unmittelbar zusammentreffen. Einbringen kann ich die Fähigkeit, in kurzer Zeit ein Problem zu rahmen und ein Ergebnis für ein Führungsgremium aufzubereiten; fünf Rotationen bei EY-Parthenon und eine Expert Placement in Singapur waren im Kern nichts anderes.</w:t>
      </w:r>
    </w:p>
    <w:p>
      <w:pPr>
        <w:spacing w:after="150" w:line="264"/>
        <w:jc w:val="both"/>
      </w:pPr>
      <w:r>
        <w:rPr>
          <w:rFonts w:ascii="Calibri" w:cs="Calibri" w:eastAsia="Calibri" w:hAnsi="Calibri"/>
          <w:sz w:val="21"/>
          <w:szCs w:val="21"/>
        </w:rPr>
        <w:t xml:space="preserve">Die rund dreißig Werksbesuche pro Jahr über Branchen von Aerospace über Automotive bis Pharma sind für mich der direkteste Weg, Fertigungswissen zu erwerben, das sich aus Unterlagen nicht erschließt. Jeder Besuch umfasst eine Unternehmenspräsentation, eine Werksführung und eine Aussprache mit dem Management. Ich habe in meiner bisherigen Arbeit viele Werke als Zahlenwerk gesehen und keines von innen.</w:t>
      </w:r>
    </w:p>
    <w:p>
      <w:pPr>
        <w:pBdr>
          <w:bottom w:val="single" w:color="BFC7D5" w:sz="6" w:space="3"/>
        </w:pBdr>
        <w:spacing w:after="120" w:before="260"/>
      </w:pPr>
      <w:r>
        <w:rPr>
          <w:rFonts w:ascii="Calibri" w:cs="Calibri" w:eastAsia="Calibri" w:hAnsi="Calibri"/>
          <w:b/>
          <w:bCs/>
          <w:color w:val="1F3864"/>
          <w:sz w:val="23"/>
          <w:szCs w:val="23"/>
        </w:rPr>
        <w:t xml:space="preserve">4  Forschungsinteresse</w:t>
      </w:r>
    </w:p>
    <w:p>
      <w:pPr>
        <w:spacing w:after="150" w:line="264"/>
        <w:jc w:val="both"/>
      </w:pPr>
      <w:r>
        <w:rPr>
          <w:rFonts w:ascii="Calibri" w:cs="Calibri" w:eastAsia="Calibri" w:hAnsi="Calibri"/>
          <w:sz w:val="21"/>
          <w:szCs w:val="21"/>
        </w:rPr>
        <w:t xml:space="preserve">Das Programm schließt mit einem individuellen Forschungsprojekt über fünfzehn Wochen ab, dessen Themen aus den Forschungsgruppen des Institute for Manufacturing stammen und das mit einer Präsentation auf einer Forschungskonferenz endet.</w:t>
      </w:r>
    </w:p>
    <w:p>
      <w:pPr>
        <w:spacing w:after="150" w:line="264"/>
        <w:jc w:val="both"/>
      </w:pPr>
      <w:r>
        <w:rPr>
          <w:rFonts w:ascii="Calibri" w:cs="Calibri" w:eastAsia="Calibri" w:hAnsi="Calibri"/>
          <w:sz w:val="21"/>
          <w:szCs w:val="21"/>
        </w:rPr>
        <w:t xml:space="preserve">Hier treffen die beiden Beobachtungen aus Abschnitt 1 zusammen. Mein Interesse richtet sich auf vernetzte Sensorik und vorausschauende Instandhaltung industrieller Anlagen. Daran beschäftigt mich weniger die Modellbildung selbst als die Frage, unter welchen Bedingungen ihre Ergebnisse im Betrieb tragfähig sind: wann eine Ausfallvorhersage belastbar genug ist, um einen Eingriff an einer laufenden Anlage zu rechtfertigen, und woran sich das erkennen lässt. Es ist dieselbe Frage nach der Verlässlichkeit maschinell erzeugter Ergebnisse, nur gestellt an einem physischen Gegenstand statt an einem Dokument.</w:t>
      </w:r>
    </w:p>
    <w:p>
      <w:pPr>
        <w:spacing w:after="150" w:line="264"/>
        <w:jc w:val="both"/>
      </w:pPr>
      <w:r>
        <w:rPr>
          <w:rFonts w:ascii="Calibri" w:cs="Calibri" w:eastAsia="Calibri" w:hAnsi="Calibri"/>
          <w:sz w:val="21"/>
          <w:szCs w:val="21"/>
        </w:rPr>
        <w:t xml:space="preserve">Eine Festlegung nehme ich bewusst nicht vor. Die Zuteilung der Forschungsprojekte liegt beim Programm und den Forschungsgruppen, und die Module Data and Modelling sowie Research Methods werden meine Fragestellung erst präzisieren. Das zweite ist dabei die methodische Voraussetzung. Meine Ausbildung ist praxisintegriert verlaufen, und meine Abschlussarbeit ist bislang die einzige längere wissenschaftliche Arbeit, die ich verfasst habe.</w:t>
      </w:r>
    </w:p>
    <w:p>
      <w:pPr>
        <w:pBdr>
          <w:bottom w:val="single" w:color="BFC7D5" w:sz="6" w:space="3"/>
        </w:pBdr>
        <w:spacing w:after="120" w:before="260"/>
      </w:pPr>
      <w:r>
        <w:rPr>
          <w:rFonts w:ascii="Calibri" w:cs="Calibri" w:eastAsia="Calibri" w:hAnsi="Calibri"/>
          <w:b/>
          <w:bCs/>
          <w:color w:val="1F3864"/>
          <w:sz w:val="23"/>
          <w:szCs w:val="23"/>
        </w:rPr>
        <w:t xml:space="preserve">5  Einordnung, Machbarkeit und Ausblick</w:t>
      </w:r>
    </w:p>
    <w:p>
      <w:pPr>
        <w:spacing w:after="80" w:before="160"/>
      </w:pPr>
      <w:r>
        <w:rPr>
          <w:rFonts w:ascii="Calibri" w:cs="Calibri" w:eastAsia="Calibri" w:hAnsi="Calibri"/>
          <w:b/>
          <w:bCs/>
          <w:sz w:val="21"/>
          <w:szCs w:val="21"/>
        </w:rPr>
        <w:t xml:space="preserve">Einordnung in den Studienverlauf</w:t>
      </w:r>
    </w:p>
    <w:p>
      <w:pPr>
        <w:spacing w:after="150" w:line="264"/>
        <w:jc w:val="both"/>
      </w:pPr>
      <w:r>
        <w:rPr>
          <w:rFonts w:ascii="Calibri" w:cs="Calibri" w:eastAsia="Calibri" w:hAnsi="Calibri"/>
          <w:sz w:val="21"/>
          <w:szCs w:val="21"/>
        </w:rPr>
        <w:t xml:space="preserve">Der MPhil ergänzt meine Ausbildung um die Ebene, die ihr fehlt, ohne die aufzugeben, die ich beherrsche. Wirtschaftsinformatik liefert die Informationsebene, ISMM die physische Produktionsebene. Das ist kein Fachwechsel. Prozessmodellierung, Programmierung, Datenanalyse und strukturierte Problembearbeitung sind genau die Voraussetzungen, auf denen das Programm aufbaut.</w:t>
      </w:r>
    </w:p>
    <w:p>
      <w:pPr>
        <w:spacing w:after="80" w:before="160"/>
      </w:pPr>
      <w:r>
        <w:rPr>
          <w:rFonts w:ascii="Calibri" w:cs="Calibri" w:eastAsia="Calibri" w:hAnsi="Calibri"/>
          <w:b/>
          <w:bCs/>
          <w:sz w:val="21"/>
          <w:szCs w:val="21"/>
        </w:rPr>
        <w:t xml:space="preserve">Machbarkeit</w:t>
      </w:r>
    </w:p>
    <w:p>
      <w:pPr>
        <w:spacing w:after="150" w:line="264"/>
        <w:jc w:val="both"/>
      </w:pPr>
      <w:r>
        <w:rPr>
          <w:rFonts w:ascii="Calibri" w:cs="Calibri" w:eastAsia="Calibri" w:hAnsi="Calibri"/>
          <w:sz w:val="21"/>
          <w:szCs w:val="21"/>
        </w:rPr>
        <w:t xml:space="preserve">Der Studiengang richtet sich an quantitativ ausgebildete Absolventinnen und Absolventen mit einschlägiger Praxiserfahrung. Beides bringe ich mit, wenn auch nicht aus einem ingenieurwissenschaftlichen Studium. Die Praxiserfahrung stammt aus einem dualen Studium mit drei Jahren Unternehmensphasen und fünf Rotationen, davon eine im Ausland.</w:t>
      </w:r>
    </w:p>
    <w:p>
      <w:pPr>
        <w:spacing w:after="150" w:line="264"/>
        <w:jc w:val="both"/>
      </w:pPr>
      <w:r>
        <w:rPr>
          <w:rFonts w:ascii="Calibri" w:cs="Calibri" w:eastAsia="Calibri" w:hAnsi="Calibri"/>
          <w:sz w:val="21"/>
          <w:szCs w:val="21"/>
        </w:rPr>
        <w:t xml:space="preserve">Das dichteste Element des Jahres ist die Verbindung aus Lehre, vier Projekten und Forschungsarbeit in zwölf Monaten. Ein duales Studium verläuft nach demselben Prinzip, nur über drei Jahre: Theoriephasen und Vollzeitphasen im Unternehmen im Wechsel, mit Prüfungen am Ende jeder Phase und ohne vorlesungsfreie Zeit dazwischen. Diese Arbeitsform ist mir vertraut.</w:t>
      </w:r>
    </w:p>
    <w:p>
      <w:pPr>
        <w:spacing w:after="150" w:line="264"/>
        <w:jc w:val="both"/>
      </w:pPr>
      <w:r>
        <w:rPr>
          <w:rFonts w:ascii="Calibri" w:cs="Calibri" w:eastAsia="Calibri" w:hAnsi="Calibri"/>
          <w:sz w:val="21"/>
          <w:szCs w:val="21"/>
        </w:rPr>
        <w:t xml:space="preserve">Die Zeit bis zum Studienbeginn nutze ich zur Vorbereitung. Ab Januar 2027 vertiefe ich im Rahmen eines Praktikums bei der Boston Consulting Group im Bereich Digital and Tech den Sektor Industrial Goods; im Frühjahr folgt ein Praktikum im Regionalbüro der Friedrich-Naumann-Stiftung in Washington, D.C. Parallel arbeite ich an den fertigungstechnischen Grundlagen, die mir fehlen.</w:t>
      </w:r>
    </w:p>
    <w:p>
      <w:pPr>
        <w:spacing w:after="80" w:before="160"/>
      </w:pPr>
      <w:r>
        <w:rPr>
          <w:rFonts w:ascii="Calibri" w:cs="Calibri" w:eastAsia="Calibri" w:hAnsi="Calibri"/>
          <w:b/>
          <w:bCs/>
          <w:sz w:val="21"/>
          <w:szCs w:val="21"/>
        </w:rPr>
        <w:t xml:space="preserve">Ausblick</w:t>
      </w:r>
    </w:p>
    <w:p>
      <w:pPr>
        <w:spacing w:after="150" w:line="264"/>
        <w:jc w:val="both"/>
      </w:pPr>
      <w:r>
        <w:rPr>
          <w:rFonts w:ascii="Calibri" w:cs="Calibri" w:eastAsia="Calibri" w:hAnsi="Calibri"/>
          <w:sz w:val="21"/>
          <w:szCs w:val="21"/>
        </w:rPr>
        <w:t xml:space="preserve">Nach dem Studium will ich mich an der Schnittstelle von Operations und digitaler Technologie spezialisieren, zunächst in der Strategieberatung, mit dem Ziel, in diesem Feld fachlich eigenständig zu arbeiten. Mittelfristig kann ich mir den Wechsel in ein Industrieunternehmen vorstellen. Der Bedarf ist absehbar: Die Verfahren sind vorhanden, aber ihre Einführung scheitert selten an der Technik und häufig daran, dass niemand beurteilen kann, ob ihren Ergebnissen zu trauen ist. Genau an dieser Stelle möchte ich arbeiten. Es ist dieselbe Frage, mit der dieser Plan beginnt, nur an ihrem praktischen Ende.</w:t>
      </w:r>
    </w:p>
    <w:sectPr>
      <w:pgSz w:w="11906" w:h="16838" w:orient="portrait"/>
      <w:pgMar w:top="1134" w:right="1134" w:bottom="1021"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2026-09-21T13:21:24.933Z</dcterms:created>
  <dcterms:modified xsi:type="dcterms:W3CDTF">2026-09-21T13:21:24.942Z</dcterms:modified>
</cp:coreProperties>
</file>

<file path=docProps/custom.xml><?xml version="1.0" encoding="utf-8"?>
<Properties xmlns="http://schemas.openxmlformats.org/officeDocument/2006/custom-properties" xmlns:vt="http://schemas.openxmlformats.org/officeDocument/2006/docPropsVTypes"/>
</file>