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595959"/>
          <w:sz w:val="17"/>
          <w:szCs w:val="17"/>
        </w:rPr>
        <w:t xml:space="preserve">ARBEITSUNTERLAGE FÜR DIE GUTACHTERIN / DEN GUTACHTER</w:t>
      </w:r>
    </w:p>
    <w:p>
      <w:pPr>
        <w:spacing w:after="60"/>
      </w:pPr>
      <w:r>
        <w:rPr>
          <w:rFonts w:ascii="Calibri" w:cs="Calibri" w:eastAsia="Calibri" w:hAnsi="Calibri"/>
          <w:b/>
          <w:bCs/>
          <w:color w:val="1F3864"/>
          <w:sz w:val="32"/>
          <w:szCs w:val="32"/>
        </w:rPr>
        <w:t xml:space="preserve">DAAD-Empfehlungsschreiben</w:t>
      </w:r>
    </w:p>
    <w:p>
      <w:pPr>
        <w:spacing w:after="220" w:before="0" w:line="276"/>
      </w:pPr>
      <w:r>
        <w:rPr>
          <w:rFonts w:ascii="Calibri" w:cs="Calibri" w:eastAsia="Calibri" w:hAnsi="Calibri"/>
          <w:color w:val="595959"/>
          <w:sz w:val="19"/>
          <w:szCs w:val="19"/>
        </w:rPr>
        <w:t xml:space="preserve">Bewerber: Tim Rösch · MPhil in Industrial Systems, Manufacture and Management · Institute for Manufacturing, Department of Engineering, University of Cambridge · Förderbeginn Oktober 2027</w:t>
      </w: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2F4F8" w:val="clear"/>
            <w:tcMar>
              <w:top w:type="dxa" w:w="140"/>
              <w:left w:type="dxa" w:w="180"/>
              <w:bottom w:type="dxa" w:w="140"/>
              <w:right w:type="dxa" w:w="180"/>
            </w:tcMar>
          </w:tcPr>
          <w:p>
            <w:pPr>
              <w:spacing w:after="60" w:before="0" w:line="276"/>
            </w:pPr>
            <w:r>
              <w:rPr>
                <w:rFonts w:ascii="Calibri" w:cs="Calibri" w:eastAsia="Calibri" w:hAnsi="Calibri"/>
                <w:b/>
                <w:bCs/>
                <w:color w:val="1F3864"/>
                <w:sz w:val="20"/>
                <w:szCs w:val="20"/>
              </w:rPr>
              <w:t xml:space="preserve">Die Bewerbung besteht aus zwei Teilen</w:t>
            </w:r>
          </w:p>
          <w:p>
            <w:pPr>
              <w:spacing w:after="50" w:before="0" w:line="276"/>
            </w:pPr>
            <w:r>
              <w:rPr>
                <w:rFonts w:ascii="Calibri" w:cs="Calibri" w:eastAsia="Calibri" w:hAnsi="Calibri"/>
                <w:color w:val="333333"/>
                <w:sz w:val="19"/>
                <w:szCs w:val="19"/>
              </w:rPr>
              <w:t xml:space="preserve">TEIL A — das frei formulierte Empfehlungsschreiben auf Ihrem Institutsbriefbogen. Gerüst ab Abschnitt 1.</w:t>
            </w:r>
          </w:p>
          <w:p>
            <w:pPr>
              <w:spacing w:after="50" w:before="0" w:line="276"/>
            </w:pPr>
            <w:r>
              <w:rPr>
                <w:rFonts w:ascii="Calibri" w:cs="Calibri" w:eastAsia="Calibri" w:hAnsi="Calibri"/>
                <w:color w:val="333333"/>
                <w:sz w:val="19"/>
                <w:szCs w:val="19"/>
              </w:rPr>
              <w:t xml:space="preserve">TEIL B — das DAAD-Deckblatt, Seite 3, mit sechs auszufüllenden Feldern. Textvorschläge dazu auf der letzten Seite.</w:t>
            </w:r>
          </w:p>
          <w:p>
            <w:pPr>
              <w:spacing w:after="50" w:before="0" w:line="276"/>
            </w:pPr>
            <w:r>
              <w:rPr>
                <w:rFonts w:ascii="Calibri" w:cs="Calibri" w:eastAsia="Calibri" w:hAnsi="Calibri"/>
                <w:color w:val="333333"/>
                <w:sz w:val="19"/>
                <w:szCs w:val="19"/>
              </w:rPr>
              <w:t xml:space="preserve">Beides geht an den Bewerber zurück, der es im DAAD-Portal hochlädt. Es gibt kein Gutachterportal und keinen E-Mail-Weg zum DAAD.</w:t>
            </w:r>
          </w:p>
          <w:p>
            <w:pPr>
              <w:spacing w:after="50" w:before="0" w:line="276"/>
            </w:pPr>
            <w:r>
              <w:rPr>
                <w:rFonts w:ascii="Calibri" w:cs="Calibri" w:eastAsia="Calibri" w:hAnsi="Calibri"/>
                <w:color w:val="333333"/>
                <w:sz w:val="19"/>
                <w:szCs w:val="19"/>
              </w:rPr>
              <w:t xml:space="preserve">Umfang des Schreibens etwa eine Seite (450–550 Wörter). Sprache Deutsch. Unterschrift handschriftlich oder elektronisch.</w:t>
            </w:r>
          </w:p>
          <w:p>
            <w:pPr>
              <w:spacing w:after="50" w:before="0" w:line="276"/>
            </w:pPr>
            <w:r>
              <w:rPr>
                <w:rFonts w:ascii="Calibri" w:cs="Calibri" w:eastAsia="Calibri" w:hAnsi="Calibri"/>
                <w:color w:val="333333"/>
                <w:sz w:val="19"/>
                <w:szCs w:val="19"/>
              </w:rPr>
              <w:t xml:space="preserve">Interne Frist: Dienstag, 22. September 2026. DAAD-Frist: 25. September 2026.</w:t>
            </w:r>
          </w:p>
        </w:tc>
      </w:tr>
    </w:tbl>
    <w:p>
      <w:pPr>
        <w:spacing w:after="120" w:before="0" w:line="276"/>
      </w:pPr>
      <w:r>
        <w:rPr>
          <w:rFonts w:ascii="Calibri" w:cs="Calibri" w:eastAsia="Calibri" w:hAnsi="Calibri"/>
          <w:sz w:val="21"/>
          <w:szCs w:val="21"/>
        </w:rPr>
        <w:t xml:space="preserve"/>
      </w: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FF8E7" w:val="clear"/>
            <w:tcMar>
              <w:top w:type="dxa" w:w="140"/>
              <w:left w:type="dxa" w:w="180"/>
              <w:bottom w:type="dxa" w:w="140"/>
              <w:right w:type="dxa" w:w="180"/>
            </w:tcMar>
          </w:tcPr>
          <w:p>
            <w:pPr>
              <w:spacing w:after="60" w:before="0" w:line="276"/>
            </w:pPr>
            <w:r>
              <w:rPr>
                <w:rFonts w:ascii="Calibri" w:cs="Calibri" w:eastAsia="Calibri" w:hAnsi="Calibri"/>
                <w:b/>
                <w:bCs/>
                <w:color w:val="1F3864"/>
                <w:sz w:val="20"/>
                <w:szCs w:val="20"/>
              </w:rPr>
              <w:t xml:space="preserve">Gliederungsgrundlage</w:t>
            </w:r>
          </w:p>
          <w:p>
            <w:pPr>
              <w:spacing w:after="50" w:before="0" w:line="276"/>
            </w:pPr>
            <w:r>
              <w:rPr>
                <w:rFonts w:ascii="Calibri" w:cs="Calibri" w:eastAsia="Calibri" w:hAnsi="Calibri"/>
                <w:color w:val="333333"/>
                <w:sz w:val="19"/>
                <w:szCs w:val="19"/>
              </w:rPr>
              <w:t xml:space="preserve">Die folgende Gliederung folgt den drei Auswahlkriterien, die der DAAD auf Seite 2 des Deckblatts nennt. Dort heißt es ausdrücklich: „Bitte beachten Sie diese Kriterien bei der Formulierung Ihres Empfehlungsschreibens.“</w:t>
            </w:r>
          </w:p>
          <w:p>
            <w:pPr>
              <w:spacing w:after="50" w:before="0" w:line="276"/>
            </w:pPr>
            <w:r>
              <w:rPr>
                <w:rFonts w:ascii="Calibri" w:cs="Calibri" w:eastAsia="Calibri" w:hAnsi="Calibri"/>
                <w:color w:val="333333"/>
                <w:sz w:val="19"/>
                <w:szCs w:val="19"/>
              </w:rPr>
              <w:t xml:space="preserve">Die Auswahlkommissionen sind ehrenamtlich besetzt, überwiegend mit Hochschullehrenden anderer Fachrichtungen. Fachbegriffe sollten daher kurz eingeordnet werden.</w:t>
            </w:r>
          </w:p>
          <w:p>
            <w:pPr>
              <w:spacing w:after="50" w:before="0" w:line="276"/>
            </w:pPr>
            <w:r>
              <w:rPr>
                <w:rFonts w:ascii="Calibri" w:cs="Calibri" w:eastAsia="Calibri" w:hAnsi="Calibri"/>
                <w:color w:val="333333"/>
                <w:sz w:val="19"/>
                <w:szCs w:val="19"/>
              </w:rPr>
              <w:t xml:space="preserve">Grün umrandete Absätze sind Formulierungsvorschläge des Bewerbers — als Angebot, nicht als Vorgabe. Sie ändern oder verwerfen sie nach Belieben.</w:t>
            </w:r>
          </w:p>
        </w:tc>
      </w:tr>
    </w:tbl>
    <w:p>
      <w:r>
        <w:br w:type="page"/>
      </w:r>
    </w:p>
    <w:p>
      <w:pPr>
        <w:spacing w:after="160" w:before="80"/>
      </w:pPr>
      <w:r>
        <w:rPr>
          <w:rFonts w:ascii="Calibri" w:cs="Calibri" w:eastAsia="Calibri" w:hAnsi="Calibri"/>
          <w:b/>
          <w:bCs/>
          <w:color w:val="1F3864"/>
          <w:sz w:val="27"/>
          <w:szCs w:val="27"/>
        </w:rPr>
        <w:t xml:space="preserve">Teil A — Gerüst für das frei formulierte Schreiben</w:t>
      </w:r>
    </w:p>
    <w:p>
      <w:pPr>
        <w:pBdr>
          <w:bottom w:val="single" w:color="BFC7D5" w:sz="6" w:space="4"/>
        </w:pBdr>
        <w:spacing w:after="80" w:before="280"/>
      </w:pPr>
      <w:r>
        <w:rPr>
          <w:rFonts w:ascii="Calibri" w:cs="Calibri" w:eastAsia="Calibri" w:hAnsi="Calibri"/>
          <w:b/>
          <w:bCs/>
          <w:color w:val="1F3864"/>
          <w:sz w:val="23"/>
          <w:szCs w:val="23"/>
        </w:rPr>
        <w:t xml:space="preserve">1  Briefkopf und Betreff</w:t>
      </w:r>
      <w:r>
        <w:rPr>
          <w:rFonts w:ascii="Calibri" w:cs="Calibri" w:eastAsia="Calibri" w:hAnsi="Calibri"/>
          <w:i/>
          <w:iCs/>
          <w:color w:val="595959"/>
          <w:sz w:val="18"/>
          <w:szCs w:val="18"/>
        </w:rPr>
        <w:t xml:space="preserve">   2 Zeilen</w:t>
      </w:r>
    </w:p>
    <w:p>
      <w:pPr>
        <w:spacing w:after="60" w:line="264"/>
        <w:ind w:left="259"/>
      </w:pPr>
      <w:r>
        <w:rPr>
          <w:rFonts w:ascii="Calibri" w:cs="Calibri" w:eastAsia="Calibri" w:hAnsi="Calibri"/>
          <w:i/>
          <w:iCs/>
          <w:color w:val="595959"/>
          <w:sz w:val="19"/>
          <w:szCs w:val="19"/>
        </w:rPr>
        <w:t xml:space="preserve">– Institutsbriefbogen mit Briefkopf — das Deckblatt verlangt dies ausdrücklich.</w:t>
      </w:r>
    </w:p>
    <w:p>
      <w:pPr>
        <w:spacing w:after="60" w:line="264"/>
        <w:ind w:left="259"/>
      </w:pPr>
      <w:r>
        <w:rPr>
          <w:rFonts w:ascii="Calibri" w:cs="Calibri" w:eastAsia="Calibri" w:hAnsi="Calibri"/>
          <w:i/>
          <w:iCs/>
          <w:color w:val="595959"/>
          <w:sz w:val="19"/>
          <w:szCs w:val="19"/>
        </w:rPr>
        <w:t xml:space="preserve">– Vollständiger Name des Bewerbers und exakter Studiengang- sowie Universitätsname (siehe Kopf dieser Unterlage).</w:t>
      </w:r>
    </w:p>
    <w:p>
      <w:pPr>
        <w:spacing w:after="70" w:line="264"/>
        <w:ind w:left="259"/>
      </w:pPr>
      <w:r>
        <w:rPr>
          <w:rFonts w:ascii="Calibri" w:cs="Calibri" w:eastAsia="Calibri" w:hAnsi="Calibri"/>
          <w:i/>
          <w:iCs/>
          <w:color w:val="9C3A34"/>
          <w:sz w:val="19"/>
          <w:szCs w:val="19"/>
        </w:rPr>
        <w:t xml:space="preserve">! Ein falsch benannter Studiengang ist der formale Fehler, der ein Empfehlungsschreiben am schnellsten entwertet.</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2  Kenntnisgrundlage und Vergleichsgruppe</w:t>
      </w:r>
      <w:r>
        <w:rPr>
          <w:rFonts w:ascii="Calibri" w:cs="Calibri" w:eastAsia="Calibri" w:hAnsi="Calibri"/>
          <w:i/>
          <w:iCs/>
          <w:color w:val="595959"/>
          <w:sz w:val="18"/>
          <w:szCs w:val="18"/>
        </w:rPr>
        <w:t xml:space="preserve">   ca. 70 Wörter · Pflichtangabe laut Deckblatt</w:t>
      </w:r>
    </w:p>
    <w:p>
      <w:pPr>
        <w:pBdr>
          <w:left w:val="single" w:color="8FA3C8" w:sz="12" w:space="8"/>
        </w:pBdr>
        <w:spacing w:after="80" w:line="264"/>
        <w:ind w:left="259"/>
      </w:pPr>
      <w:r>
        <w:rPr>
          <w:rFonts w:ascii="Calibri" w:cs="Calibri" w:eastAsia="Calibri" w:hAnsi="Calibri"/>
          <w:i/>
          <w:iCs/>
          <w:color w:val="2F4470"/>
          <w:sz w:val="19"/>
          <w:szCs w:val="19"/>
        </w:rPr>
        <w:t xml:space="preserve">Deckblatt, Seite 3: „Größe der Vergleichsgruppe (bitte im frei formulierten Teil erläutern)“</w:t>
      </w:r>
    </w:p>
    <w:p>
      <w:pPr>
        <w:spacing w:after="60" w:line="264"/>
        <w:ind w:left="259"/>
      </w:pPr>
      <w:r>
        <w:rPr>
          <w:rFonts w:ascii="Calibri" w:cs="Calibri" w:eastAsia="Calibri" w:hAnsi="Calibri"/>
          <w:i/>
          <w:iCs/>
          <w:color w:val="595959"/>
          <w:sz w:val="19"/>
          <w:szCs w:val="19"/>
        </w:rPr>
        <w:t xml:space="preserve">– Worauf bezieht sich der auf dem Deckblatt angekreuzte Prozentwert? Zahl der von Ihnen unterrichteten Studierenden und Zeitraum Ihrer Lehrtätigkeit.</w:t>
      </w:r>
    </w:p>
    <w:p>
      <w:pPr>
        <w:spacing w:after="60" w:line="264"/>
        <w:ind w:left="259"/>
      </w:pPr>
      <w:r>
        <w:rPr>
          <w:rFonts w:ascii="Calibri" w:cs="Calibri" w:eastAsia="Calibri" w:hAnsi="Calibri"/>
          <w:i/>
          <w:iCs/>
          <w:color w:val="595959"/>
          <w:sz w:val="19"/>
          <w:szCs w:val="19"/>
        </w:rPr>
        <w:t xml:space="preserve">– Kontext vertiefen, nicht das Deckblatt wiederholen: Modul, Studienjahr, Prüfungsform, ergänzende fachliche Gespräche.</w:t>
      </w:r>
    </w:p>
    <w:p>
      <w:pPr>
        <w:spacing w:after="70" w:line="264"/>
        <w:ind w:left="259"/>
      </w:pPr>
      <w:r>
        <w:rPr>
          <w:rFonts w:ascii="Calibri" w:cs="Calibri" w:eastAsia="Calibri" w:hAnsi="Calibri"/>
          <w:i/>
          <w:iCs/>
          <w:color w:val="9C3A34"/>
          <w:sz w:val="19"/>
          <w:szCs w:val="19"/>
        </w:rPr>
        <w:t xml:space="preserve">! Ein Prozentwert ohne erläuterte Vergleichsgruppe ist für die Kommission nicht interpretierbar — das Kreuz verfällt.</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3  Akademische Qualifikation</w:t>
      </w:r>
      <w:r>
        <w:rPr>
          <w:rFonts w:ascii="Calibri" w:cs="Calibri" w:eastAsia="Calibri" w:hAnsi="Calibri"/>
          <w:i/>
          <w:iCs/>
          <w:color w:val="595959"/>
          <w:sz w:val="18"/>
          <w:szCs w:val="18"/>
        </w:rPr>
        <w:t xml:space="preserve">   ca. 160 Wörter · größter Block · DAAD-Kriterium 1</w:t>
      </w:r>
    </w:p>
    <w:p>
      <w:pPr>
        <w:pBdr>
          <w:left w:val="single" w:color="8FA3C8" w:sz="12" w:space="8"/>
        </w:pBdr>
        <w:spacing w:after="80" w:line="264"/>
        <w:ind w:left="259"/>
      </w:pPr>
      <w:r>
        <w:rPr>
          <w:rFonts w:ascii="Calibri" w:cs="Calibri" w:eastAsia="Calibri" w:hAnsi="Calibri"/>
          <w:i/>
          <w:iCs/>
          <w:color w:val="2F4470"/>
          <w:sz w:val="19"/>
          <w:szCs w:val="19"/>
        </w:rPr>
        <w:t xml:space="preserve">„gemessen an Studienleistungen (Notendurchschnitt, Notenentwicklung), Studienverlauf, Kenntnissen der Unterrichts- oder Arbeitssprache, ggf. bereits vorliegenden wissenschaftlichen Leistungen“</w:t>
      </w:r>
    </w:p>
    <w:p>
      <w:pPr>
        <w:spacing w:after="60" w:line="264"/>
        <w:ind w:left="259"/>
      </w:pPr>
      <w:r>
        <w:rPr>
          <w:rFonts w:ascii="Calibri" w:cs="Calibri" w:eastAsia="Calibri" w:hAnsi="Calibri"/>
          <w:i/>
          <w:iCs/>
          <w:color w:val="595959"/>
          <w:sz w:val="19"/>
          <w:szCs w:val="19"/>
        </w:rPr>
        <w:t xml:space="preserve">– Note im Modul „Geschäftsprozesse und deren Umsetzung“ (W3WI_106, 3. Studienjahr) sowie — soweit Ihnen bekannt — die Notenentwicklung. Der DAAD nennt die Entwicklung eigens.</w:t>
      </w:r>
    </w:p>
    <w:p>
      <w:pPr>
        <w:spacing w:after="60" w:line="264"/>
        <w:ind w:left="259"/>
      </w:pPr>
      <w:r>
        <w:rPr>
          <w:rFonts w:ascii="Calibri" w:cs="Calibri" w:eastAsia="Calibri" w:hAnsi="Calibri"/>
          <w:i/>
          <w:iCs/>
          <w:color w:val="595959"/>
          <w:sz w:val="19"/>
          <w:szCs w:val="19"/>
        </w:rPr>
        <w:t xml:space="preserve">– Fachlicher Kern: Prozessmodellierung, Prozessoptimierung, Process Mining, Business Process Reengineering, Lean Management. Konnte der Bewerber beurteilen, welche Methode in einer konkreten betrieblichen Situation trägt — und woran haben Sie das festgestellt?</w:t>
      </w:r>
    </w:p>
    <w:p>
      <w:pPr>
        <w:spacing w:after="60" w:line="264"/>
        <w:ind w:left="259"/>
      </w:pPr>
      <w:r>
        <w:rPr>
          <w:rFonts w:ascii="Calibri" w:cs="Calibri" w:eastAsia="Calibri" w:hAnsi="Calibri"/>
          <w:i/>
          <w:iCs/>
          <w:color w:val="595959"/>
          <w:sz w:val="19"/>
          <w:szCs w:val="19"/>
        </w:rPr>
        <w:t xml:space="preserve">– Kenntnisse der Arbeitssprache: Trauen Sie ihm ein englischsprachiges Studium auf diesem Niveau zu? Diese Einschätzung ist besonders wichtig, da noch kein Sprachzertifikat vorliegt.</w:t>
      </w:r>
    </w:p>
    <w:p>
      <w:pPr>
        <w:spacing w:after="60" w:line="264"/>
        <w:ind w:left="259"/>
      </w:pPr>
      <w:r>
        <w:rPr>
          <w:rFonts w:ascii="Calibri" w:cs="Calibri" w:eastAsia="Calibri" w:hAnsi="Calibri"/>
          <w:i/>
          <w:iCs/>
          <w:color w:val="595959"/>
          <w:sz w:val="19"/>
          <w:szCs w:val="19"/>
        </w:rPr>
        <w:t xml:space="preserve">– Ein Satz zum Studienverlauf: Das duale Studium an der DHBW ist praxisintegriert und wechselt zwischen Theorie- und Vollzeit-Praxisphasen. Für eine fachfremde Kommission ordnet erst dieser Satz die Leistung ein.</w:t>
      </w:r>
    </w:p>
    <w:p>
      <w:pPr>
        <w:spacing w:after="70" w:line="264"/>
        <w:ind w:left="259"/>
      </w:pPr>
      <w:r>
        <w:rPr>
          <w:rFonts w:ascii="Calibri" w:cs="Calibri" w:eastAsia="Calibri" w:hAnsi="Calibri"/>
          <w:i/>
          <w:iCs/>
          <w:color w:val="9C3A34"/>
          <w:sz w:val="19"/>
          <w:szCs w:val="19"/>
        </w:rPr>
        <w:t xml:space="preserve">! Eine Klausur belegt keine eigenständige Forschungsleistung — bitte nicht so darstellen. Die Bachelorarbeit zur KI-gestützten Faktenprüfung ggf. als inhaltlich bekannt erwähnen, nicht als von Ihnen betreut.</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4  Qualität des Vorhabens</w:t>
      </w:r>
      <w:r>
        <w:rPr>
          <w:rFonts w:ascii="Calibri" w:cs="Calibri" w:eastAsia="Calibri" w:hAnsi="Calibri"/>
          <w:i/>
          <w:iCs/>
          <w:color w:val="595959"/>
          <w:sz w:val="18"/>
          <w:szCs w:val="18"/>
        </w:rPr>
        <w:t xml:space="preserve">   ca. 120 Wörter · DAAD-Kriterium 2</w:t>
      </w:r>
    </w:p>
    <w:p>
      <w:pPr>
        <w:pBdr>
          <w:left w:val="single" w:color="8FA3C8" w:sz="12" w:space="8"/>
        </w:pBdr>
        <w:spacing w:after="80" w:line="264"/>
        <w:ind w:left="259"/>
      </w:pPr>
      <w:r>
        <w:rPr>
          <w:rFonts w:ascii="Calibri" w:cs="Calibri" w:eastAsia="Calibri" w:hAnsi="Calibri"/>
          <w:i/>
          <w:iCs/>
          <w:color w:val="2F4470"/>
          <w:sz w:val="19"/>
          <w:szCs w:val="19"/>
        </w:rPr>
        <w:t xml:space="preserve">„gemessen an Studienplan, ggf. Einbettung des Vorhabens in den bisherigen Studienverlauf/Werdegang“</w:t>
      </w:r>
    </w:p>
    <w:p>
      <w:pPr>
        <w:spacing w:after="60" w:line="264"/>
        <w:ind w:left="259"/>
      </w:pPr>
      <w:r>
        <w:rPr>
          <w:rFonts w:ascii="Calibri" w:cs="Calibri" w:eastAsia="Calibri" w:hAnsi="Calibri"/>
          <w:i/>
          <w:iCs/>
          <w:color w:val="595959"/>
          <w:sz w:val="19"/>
          <w:szCs w:val="19"/>
        </w:rPr>
        <w:t xml:space="preserve">– Ist der beiliegende Studienplan fachlich tragfähig?</w:t>
      </w:r>
    </w:p>
    <w:p>
      <w:pPr>
        <w:spacing w:after="60" w:line="264"/>
        <w:ind w:left="259"/>
      </w:pPr>
      <w:r>
        <w:rPr>
          <w:rFonts w:ascii="Calibri" w:cs="Calibri" w:eastAsia="Calibri" w:hAnsi="Calibri"/>
          <w:i/>
          <w:iCs/>
          <w:color w:val="595959"/>
          <w:sz w:val="19"/>
          <w:szCs w:val="19"/>
        </w:rPr>
        <w:t xml:space="preserve">– Einbettung: Wie verhält sich der angestrebte Studiengang zu einer Ausbildung in Wirtschaftsinformatik mit Schwerpunkt Prozessgestaltung?</w:t>
      </w:r>
    </w:p>
    <w:p>
      <w:pPr>
        <w:spacing w:after="60" w:line="264"/>
        <w:ind w:left="259"/>
      </w:pPr>
      <w:r>
        <w:rPr>
          <w:rFonts w:ascii="Calibri" w:cs="Calibri" w:eastAsia="Calibri" w:hAnsi="Calibri"/>
          <w:i/>
          <w:iCs/>
          <w:color w:val="595959"/>
          <w:sz w:val="19"/>
          <w:szCs w:val="19"/>
        </w:rPr>
        <w:t xml:space="preserve">– Eine mögliche Lesart, die Sie prüfen mögen: Die bisherige Ausbildung betrifft die Modellierung und Verbesserung von Geschäftsprozessen — die Informationsebene. Der MPhil ergänzt die physische Fertigungsebene: Fertigungsverfahren, Anlagen, Werksabläufe.</w:t>
      </w:r>
    </w:p>
    <w:p>
      <w:pPr>
        <w:spacing w:after="60" w:line="264"/>
        <w:ind w:left="259"/>
      </w:pPr>
      <w:r>
        <w:rPr>
          <w:rFonts w:ascii="Calibri" w:cs="Calibri" w:eastAsia="Calibri" w:hAnsi="Calibri"/>
          <w:i/>
          <w:iCs/>
          <w:color w:val="595959"/>
          <w:sz w:val="19"/>
          <w:szCs w:val="19"/>
        </w:rPr>
        <w:t xml:space="preserve">– Trauen Sie ihm ein elfmonatiges, forschungs- und industrienahes Masterstudium zu?</w:t>
      </w:r>
    </w:p>
    <w:p>
      <w:pPr>
        <w:spacing w:after="70" w:line="264"/>
        <w:ind w:left="259"/>
      </w:pPr>
      <w:r>
        <w:rPr>
          <w:rFonts w:ascii="Calibri" w:cs="Calibri" w:eastAsia="Calibri" w:hAnsi="Calibri"/>
          <w:i/>
          <w:iCs/>
          <w:color w:val="9C3A34"/>
          <w:sz w:val="19"/>
          <w:szCs w:val="19"/>
        </w:rPr>
        <w:t xml:space="preserve">! Diesen Abschnitt kann nur ein Dritter ausfüllen — der Bewerber kann ihn über sich selbst nicht glaubwürdig behaupten.</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5  Potenzial</w:t>
      </w:r>
      <w:r>
        <w:rPr>
          <w:rFonts w:ascii="Calibri" w:cs="Calibri" w:eastAsia="Calibri" w:hAnsi="Calibri"/>
          <w:i/>
          <w:iCs/>
          <w:color w:val="595959"/>
          <w:sz w:val="18"/>
          <w:szCs w:val="18"/>
        </w:rPr>
        <w:t xml:space="preserve">   ca. 110 Wörter · DAAD-Kriterium 3 · drei Unterpunkte</w:t>
      </w:r>
    </w:p>
    <w:p>
      <w:pPr>
        <w:pBdr>
          <w:left w:val="single" w:color="8FA3C8" w:sz="12" w:space="8"/>
        </w:pBdr>
        <w:spacing w:after="80" w:line="264"/>
        <w:ind w:left="259"/>
      </w:pPr>
      <w:r>
        <w:rPr>
          <w:rFonts w:ascii="Calibri" w:cs="Calibri" w:eastAsia="Calibri" w:hAnsi="Calibri"/>
          <w:i/>
          <w:iCs/>
          <w:color w:val="2F4470"/>
          <w:sz w:val="19"/>
          <w:szCs w:val="19"/>
        </w:rPr>
        <w:t xml:space="preserve">„gemessen an Motivation (fachliche und persönliche Gründe für den Auslandsaufenthalt), Perspektiven (Bedeutung des Auslandsaufenthalts für die weitere akademische, berufliche und persönliche Entwicklung) und außerfachlichem Engagement“</w:t>
      </w:r>
    </w:p>
    <w:p>
      <w:pPr>
        <w:spacing w:after="60" w:line="264"/>
        <w:ind w:left="259"/>
      </w:pPr>
      <w:r>
        <w:rPr>
          <w:rFonts w:ascii="Calibri" w:cs="Calibri" w:eastAsia="Calibri" w:hAnsi="Calibri"/>
          <w:i/>
          <w:iCs/>
          <w:color w:val="595959"/>
          <w:sz w:val="19"/>
          <w:szCs w:val="19"/>
        </w:rPr>
        <w:t xml:space="preserve">– Motivation: Halten Sie die fachlichen und persönlichen Gründe für tragfähig? Worauf stützen Sie das — etwa auf die gemeinsamen Gespräche zum Vorhaben?</w:t>
      </w:r>
    </w:p>
    <w:p>
      <w:pPr>
        <w:spacing w:after="60" w:line="264"/>
        <w:ind w:left="259"/>
      </w:pPr>
      <w:r>
        <w:rPr>
          <w:rFonts w:ascii="Calibri" w:cs="Calibri" w:eastAsia="Calibri" w:hAnsi="Calibri"/>
          <w:i/>
          <w:iCs/>
          <w:color w:val="595959"/>
          <w:sz w:val="19"/>
          <w:szCs w:val="19"/>
        </w:rPr>
        <w:t xml:space="preserve">– Perspektiven: Was wird der Bewerber nach diesem Studium können, was er heute nicht kann? Nüchtern und begründet.</w:t>
      </w:r>
    </w:p>
    <w:p>
      <w:pPr>
        <w:spacing w:after="60" w:line="264"/>
        <w:ind w:left="259"/>
      </w:pPr>
      <w:r>
        <w:rPr>
          <w:rFonts w:ascii="Calibri" w:cs="Calibri" w:eastAsia="Calibri" w:hAnsi="Calibri"/>
          <w:i/>
          <w:iCs/>
          <w:color w:val="595959"/>
          <w:sz w:val="19"/>
          <w:szCs w:val="19"/>
        </w:rPr>
        <w:t xml:space="preserve">– Außerfachliches Engagement: Bitte nur Beobachtetes. Belastbar ist etwa, dass das in der Bewerbung dokumentierte ehrenamtliche Engagement neben dem Studium lief, ohne dass die fachliche Leistung in Ihrem Modul darunter litt.</w:t>
      </w:r>
    </w:p>
    <w:p>
      <w:pPr>
        <w:spacing w:after="70" w:line="264"/>
        <w:ind w:left="259"/>
      </w:pPr>
      <w:r>
        <w:rPr>
          <w:rFonts w:ascii="Calibri" w:cs="Calibri" w:eastAsia="Calibri" w:hAnsi="Calibri"/>
          <w:i/>
          <w:iCs/>
          <w:color w:val="9C3A34"/>
          <w:sz w:val="19"/>
          <w:szCs w:val="19"/>
        </w:rPr>
        <w:t xml:space="preserve">! Vereinsämter, die Sie nur vom Hörensagen kennen, bitte nicht aufzählen.</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6  Befürwortung</w:t>
      </w:r>
      <w:r>
        <w:rPr>
          <w:rFonts w:ascii="Calibri" w:cs="Calibri" w:eastAsia="Calibri" w:hAnsi="Calibri"/>
          <w:i/>
          <w:iCs/>
          <w:color w:val="595959"/>
          <w:sz w:val="18"/>
          <w:szCs w:val="18"/>
        </w:rPr>
        <w:t xml:space="preserve">   ca. 30 Wörter · uneingeschränkt</w:t>
      </w:r>
    </w:p>
    <w:p>
      <w:pPr>
        <w:spacing w:after="60" w:line="264"/>
        <w:ind w:left="259"/>
      </w:pPr>
      <w:r>
        <w:rPr>
          <w:rFonts w:ascii="Calibri" w:cs="Calibri" w:eastAsia="Calibri" w:hAnsi="Calibri"/>
          <w:i/>
          <w:iCs/>
          <w:color w:val="595959"/>
          <w:sz w:val="19"/>
          <w:szCs w:val="19"/>
        </w:rPr>
        <w:t xml:space="preserve">– Der DAAD verlangt ein „unterstützendes“ Empfehlungsschreiben; ein relativierender Schluss erfüllt das formal nicht.</w:t>
      </w:r>
    </w:p>
    <w:p>
      <w:pPr>
        <w:spacing w:after="60" w:line="264"/>
        <w:ind w:left="259"/>
      </w:pPr>
      <w:r>
        <w:rPr>
          <w:rFonts w:ascii="Calibri" w:cs="Calibri" w:eastAsia="Calibri" w:hAnsi="Calibri"/>
          <w:i/>
          <w:iCs/>
          <w:color w:val="595959"/>
          <w:sz w:val="19"/>
          <w:szCs w:val="19"/>
        </w:rPr>
        <w:t xml:space="preserve">– Register: weder angloamerikanische Superlativketten noch deutsche Bescheidenheitsmarker wie „durchaus solide“ — Letzteres liest eine Kommission als Kritik.</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7  Datum und Unterschrift</w:t>
      </w:r>
      <w:r>
        <w:rPr>
          <w:rFonts w:ascii="Calibri" w:cs="Calibri" w:eastAsia="Calibri" w:hAnsi="Calibri"/>
          <w:i/>
          <w:iCs/>
          <w:color w:val="595959"/>
          <w:sz w:val="18"/>
          <w:szCs w:val="18"/>
        </w:rPr>
        <w:t xml:space="preserve">   laut Deckblatt</w:t>
      </w:r>
    </w:p>
    <w:p>
      <w:pPr>
        <w:spacing w:after="60" w:line="264"/>
        <w:ind w:left="259"/>
      </w:pPr>
      <w:r>
        <w:rPr>
          <w:rFonts w:ascii="Calibri" w:cs="Calibri" w:eastAsia="Calibri" w:hAnsi="Calibri"/>
          <w:i/>
          <w:iCs/>
          <w:color w:val="595959"/>
          <w:sz w:val="19"/>
          <w:szCs w:val="19"/>
        </w:rPr>
        <w:t xml:space="preserve">– Handschriftlich oder elektronisch; Kontaktdaten für Rückfragen stehen bereits auf dem Deckblatt.</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spacing w:before="200"/>
      </w:pP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BEFEF" w:val="clear"/>
            <w:tcMar>
              <w:top w:type="dxa" w:w="140"/>
              <w:left w:type="dxa" w:w="180"/>
              <w:bottom w:type="dxa" w:w="140"/>
              <w:right w:type="dxa" w:w="180"/>
            </w:tcMar>
          </w:tcPr>
          <w:p>
            <w:pPr>
              <w:spacing w:after="60" w:before="0" w:line="276"/>
            </w:pPr>
            <w:r>
              <w:rPr>
                <w:rFonts w:ascii="Calibri" w:cs="Calibri" w:eastAsia="Calibri" w:hAnsi="Calibri"/>
                <w:b/>
                <w:bCs/>
                <w:color w:val="1F3864"/>
                <w:sz w:val="20"/>
                <w:szCs w:val="20"/>
              </w:rPr>
              <w:t xml:space="preserve">Bitte nicht aufnehmen</w:t>
            </w:r>
          </w:p>
          <w:p>
            <w:pPr>
              <w:spacing w:after="50" w:before="0" w:line="276"/>
            </w:pPr>
            <w:r>
              <w:rPr>
                <w:rFonts w:ascii="Calibri" w:cs="Calibri" w:eastAsia="Calibri" w:hAnsi="Calibri"/>
                <w:color w:val="333333"/>
                <w:sz w:val="19"/>
                <w:szCs w:val="19"/>
              </w:rPr>
              <w:t xml:space="preserve">Die Tätigkeit des Bewerbers bei EY und Details seiner Vereinsarbeit — beides haben Sie nicht beobachtet.</w:t>
            </w:r>
          </w:p>
          <w:p>
            <w:pPr>
              <w:spacing w:after="50" w:before="0" w:line="276"/>
            </w:pPr>
            <w:r>
              <w:rPr>
                <w:rFonts w:ascii="Calibri" w:cs="Calibri" w:eastAsia="Calibri" w:hAnsi="Calibri"/>
                <w:color w:val="333333"/>
                <w:sz w:val="19"/>
                <w:szCs w:val="19"/>
              </w:rPr>
              <w:t xml:space="preserve">Das BCG-Praktikum als Erfahrung: Es beginnt erst im Januar 2027.</w:t>
            </w:r>
          </w:p>
          <w:p>
            <w:pPr>
              <w:spacing w:after="50" w:before="0" w:line="276"/>
            </w:pPr>
            <w:r>
              <w:rPr>
                <w:rFonts w:ascii="Calibri" w:cs="Calibri" w:eastAsia="Calibri" w:hAnsi="Calibri"/>
                <w:color w:val="333333"/>
                <w:sz w:val="19"/>
                <w:szCs w:val="19"/>
              </w:rPr>
              <w:t xml:space="preserve">Noten, Auszeichnungen oder Leistungen, die nicht in der Leistungsübersicht stehen.</w:t>
            </w:r>
          </w:p>
          <w:p>
            <w:pPr>
              <w:spacing w:after="50" w:before="0" w:line="276"/>
            </w:pPr>
            <w:r>
              <w:rPr>
                <w:rFonts w:ascii="Calibri" w:cs="Calibri" w:eastAsia="Calibri" w:hAnsi="Calibri"/>
                <w:color w:val="333333"/>
                <w:sz w:val="19"/>
                <w:szCs w:val="19"/>
              </w:rPr>
              <w:t xml:space="preserve">Eine Rangaussage ohne erläuterte Vergleichsgruppe.</w:t>
            </w:r>
          </w:p>
          <w:p>
            <w:pPr>
              <w:spacing w:after="50" w:before="0" w:line="276"/>
            </w:pPr>
            <w:r>
              <w:rPr>
                <w:rFonts w:ascii="Calibri" w:cs="Calibri" w:eastAsia="Calibri" w:hAnsi="Calibri"/>
                <w:color w:val="333333"/>
                <w:sz w:val="19"/>
                <w:szCs w:val="19"/>
              </w:rPr>
              <w:t xml:space="preserve">Aussagen zum Ausgang der Cambridge-Bewerbung.</w:t>
            </w:r>
          </w:p>
          <w:p>
            <w:pPr>
              <w:spacing w:after="50" w:before="0" w:line="276"/>
            </w:pPr>
            <w:r>
              <w:rPr>
                <w:rFonts w:ascii="Calibri" w:cs="Calibri" w:eastAsia="Calibri" w:hAnsi="Calibri"/>
                <w:color w:val="333333"/>
                <w:sz w:val="19"/>
                <w:szCs w:val="19"/>
              </w:rPr>
              <w:t xml:space="preserve">Eine Wiederholung des Motivationsschreibens — die Kommission liest beide Dokumente nebeneinander.</w:t>
            </w:r>
          </w:p>
        </w:tc>
      </w:tr>
    </w:tbl>
    <w:p>
      <w:r>
        <w:br w:type="page"/>
      </w:r>
    </w:p>
    <w:p>
      <w:pPr>
        <w:spacing w:after="160" w:before="80"/>
      </w:pPr>
      <w:r>
        <w:rPr>
          <w:rFonts w:ascii="Calibri" w:cs="Calibri" w:eastAsia="Calibri" w:hAnsi="Calibri"/>
          <w:b/>
          <w:bCs/>
          <w:color w:val="1F3864"/>
          <w:sz w:val="27"/>
          <w:szCs w:val="27"/>
        </w:rPr>
        <w:t xml:space="preserve">Teil B — Deckblatt, Seite 3: die sechs Felder</w:t>
      </w:r>
    </w:p>
    <w:p>
      <w:pPr>
        <w:spacing w:after="160" w:before="0" w:line="276"/>
      </w:pPr>
      <w:r>
        <w:rPr>
          <w:rFonts w:ascii="Calibri" w:cs="Calibri" w:eastAsia="Calibri" w:hAnsi="Calibri"/>
          <w:color w:val="595959"/>
          <w:sz w:val="19"/>
          <w:szCs w:val="19"/>
        </w:rPr>
        <w:t xml:space="preserve">Textvorschläge des Bewerbers. Die eckigen Klammern kann nur die Gutachterin bzw. der Gutachter füllen.</w:t>
      </w:r>
    </w:p>
    <w:p>
      <w:pPr>
        <w:pBdr>
          <w:bottom w:val="single" w:color="BFC7D5" w:sz="6" w:space="4"/>
        </w:pBdr>
        <w:spacing w:after="80" w:before="280"/>
      </w:pPr>
      <w:r>
        <w:rPr>
          <w:rFonts w:ascii="Calibri" w:cs="Calibri" w:eastAsia="Calibri" w:hAnsi="Calibri"/>
          <w:b/>
          <w:bCs/>
          <w:color w:val="1F3864"/>
          <w:sz w:val="23"/>
          <w:szCs w:val="23"/>
        </w:rPr>
        <w:t xml:space="preserve">B1  „Ich kenne … gut / flüchtig seit ___“</w:t>
      </w:r>
    </w:p>
    <w:p>
      <w:pPr>
        <w:spacing w:after="60" w:line="264"/>
        <w:ind w:left="259"/>
      </w:pPr>
      <w:r>
        <w:rPr>
          <w:rFonts w:ascii="Calibri" w:cs="Calibri" w:eastAsia="Calibri" w:hAnsi="Calibri"/>
          <w:i/>
          <w:iCs/>
          <w:color w:val="595959"/>
          <w:sz w:val="19"/>
          <w:szCs w:val="19"/>
        </w:rPr>
        <w:t xml:space="preserve">– Ihre Einschätzung. Bei einem Modul zuzüglich mehrerer fachlicher Gespräche ist „gut“ vertretbar — die Entscheidung liegt bei Ihnen.</w:t>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B2  „Ich kenne sie/ihn aus dem folgenden Kontext“</w:t>
      </w:r>
    </w:p>
    <w:p>
      <w:pPr>
        <w:pBdr>
          <w:left w:val="single" w:color="7FA87F" w:sz="12" w:space="8"/>
        </w:pBdr>
        <w:spacing w:after="90" w:line="280"/>
        <w:ind w:left="259"/>
      </w:pPr>
      <w:r>
        <w:rPr>
          <w:rFonts w:ascii="Calibri" w:cs="Calibri" w:eastAsia="Calibri" w:hAnsi="Calibri"/>
          <w:color w:val="24471F"/>
          <w:sz w:val="20"/>
          <w:szCs w:val="20"/>
        </w:rPr>
        <w:t xml:space="preserve">Lehrveranstaltung und Prüfung im Modul „Geschäftsprozesse und deren Umsetzung“ (W3WI_106, 3. Studienjahr) sowie mehrere persönliche fachliche Gespräche, unter anderem zu seinem Studienvorhaben in Cambridge.</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B3  „Zusammenfassung des frei formulierten Empfehlungsschreibens“</w:t>
      </w:r>
    </w:p>
    <w:p>
      <w:pPr>
        <w:spacing w:after="70" w:line="264"/>
        <w:ind w:left="259"/>
      </w:pPr>
      <w:r>
        <w:rPr>
          <w:rFonts w:ascii="Calibri" w:cs="Calibri" w:eastAsia="Calibri" w:hAnsi="Calibri"/>
          <w:i/>
          <w:iCs/>
          <w:color w:val="9C3A34"/>
          <w:sz w:val="19"/>
          <w:szCs w:val="19"/>
        </w:rPr>
        <w:t xml:space="preserve">! Dieses Feld und B5 dürfen nicht denselben Text enthalten: B3 referiert den Brief, B5 ist Ihr Urteil.</w:t>
      </w:r>
    </w:p>
    <w:p>
      <w:pPr>
        <w:pBdr>
          <w:left w:val="single" w:color="7FA87F" w:sz="12" w:space="8"/>
        </w:pBdr>
        <w:spacing w:after="90" w:line="280"/>
        <w:ind w:left="259"/>
      </w:pPr>
      <w:r>
        <w:rPr>
          <w:rFonts w:ascii="Calibri" w:cs="Calibri" w:eastAsia="Calibri" w:hAnsi="Calibri"/>
          <w:color w:val="24471F"/>
          <w:sz w:val="20"/>
          <w:szCs w:val="20"/>
        </w:rPr>
        <w:t xml:space="preserve">Das Schreiben belegt die fachliche Leistung von Herrn Rösch im Bereich der Prozessmodellierung und -optimierung, ordnet seinen Rang in eine Vergleichsgruppe von über tausend unterrichteten Studierenden ein und begründet, warum der angestrebte MPhil in Industrial Systems, Manufacture and Management seine bisherige Ausbildung folgerichtig um die fertigungstechnische Ebene ergänzt.</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B4  Ankreuzfeld und Größe der Vergleichsgruppe</w:t>
      </w:r>
    </w:p>
    <w:p>
      <w:pPr>
        <w:spacing w:after="60" w:line="264"/>
        <w:ind w:left="259"/>
      </w:pPr>
      <w:r>
        <w:rPr>
          <w:rFonts w:ascii="Calibri" w:cs="Calibri" w:eastAsia="Calibri" w:hAnsi="Calibri"/>
          <w:i/>
          <w:iCs/>
          <w:color w:val="595959"/>
          <w:sz w:val="19"/>
          <w:szCs w:val="19"/>
        </w:rPr>
        <w:t xml:space="preserve">– Angekreuzt werden kann 5 %, 10 %, 20 %, 30 % oder „keine Aussage möglich“.</w:t>
      </w:r>
    </w:p>
    <w:p>
      <w:pPr>
        <w:spacing w:after="60" w:line="264"/>
        <w:ind w:left="259"/>
      </w:pPr>
      <w:r>
        <w:rPr>
          <w:rFonts w:ascii="Calibri" w:cs="Calibri" w:eastAsia="Calibri" w:hAnsi="Calibri"/>
          <w:i/>
          <w:iCs/>
          <w:color w:val="595959"/>
          <w:sz w:val="19"/>
          <w:szCs w:val="19"/>
        </w:rPr>
        <w:t xml:space="preserve">– Die Größe der Vergleichsgruppe wird hier eingetragen und zusätzlich in Abschnitt 2 des Briefes erläutert.</w:t>
      </w:r>
    </w:p>
    <w:p>
      <w:pPr>
        <w:spacing w:after="70" w:line="264"/>
        <w:ind w:left="259"/>
      </w:pPr>
      <w:r>
        <w:rPr>
          <w:rFonts w:ascii="Calibri" w:cs="Calibri" w:eastAsia="Calibri" w:hAnsi="Calibri"/>
          <w:i/>
          <w:iCs/>
          <w:color w:val="9C3A34"/>
          <w:sz w:val="19"/>
          <w:szCs w:val="19"/>
        </w:rPr>
        <w:t xml:space="preserve">! Ein überzeugtes Kreuz bei 10 % wirkt stärker als ein zögerndes bei 5 %. Die Einschätzung ist allein Ihre.</w:t>
      </w:r>
    </w:p>
    <w:p>
      <w:pPr>
        <w:pBdr>
          <w:bottom w:val="dotted" w:color="C9CFDB" w:sz="4" w:space="2"/>
        </w:pBdr>
        <w:spacing w:after="0" w:line="380"/>
      </w:pPr>
      <w:r>
        <w:rPr>
          <w:sz w:val="21"/>
          <w:szCs w:val="21"/>
        </w:rPr>
        <w:t xml:space="preserve"/>
      </w:r>
    </w:p>
    <w:p>
      <w:pPr>
        <w:pBdr>
          <w:bottom w:val="dotted" w:color="C9CFDB" w:sz="4" w:space="2"/>
        </w:pBdr>
        <w:spacing w:after="0" w:line="380"/>
      </w:pPr>
      <w:r>
        <w:rPr>
          <w:sz w:val="21"/>
          <w:szCs w:val="21"/>
        </w:rPr>
        <w:t xml:space="preserve"/>
      </w:r>
    </w:p>
    <w:p>
      <w:pPr>
        <w:pBdr>
          <w:bottom w:val="single" w:color="BFC7D5" w:sz="6" w:space="4"/>
        </w:pBdr>
        <w:spacing w:after="80" w:before="280"/>
      </w:pPr>
      <w:r>
        <w:rPr>
          <w:rFonts w:ascii="Calibri" w:cs="Calibri" w:eastAsia="Calibri" w:hAnsi="Calibri"/>
          <w:b/>
          <w:bCs/>
          <w:color w:val="1F3864"/>
          <w:sz w:val="23"/>
          <w:szCs w:val="23"/>
        </w:rPr>
        <w:t xml:space="preserve">B5  „Meine Gesamteinschätzung zusammengefasst“</w:t>
      </w:r>
      <w:r>
        <w:rPr>
          <w:rFonts w:ascii="Calibri" w:cs="Calibri" w:eastAsia="Calibri" w:hAnsi="Calibri"/>
          <w:i/>
          <w:iCs/>
          <w:color w:val="595959"/>
          <w:sz w:val="18"/>
          <w:szCs w:val="18"/>
        </w:rPr>
        <w:t xml:space="preserve">   zwei Varianten zur Auswahl</w:t>
      </w:r>
    </w:p>
    <w:p>
      <w:pPr>
        <w:spacing w:after="60" w:before="0" w:line="276"/>
      </w:pPr>
      <w:r>
        <w:rPr>
          <w:rFonts w:ascii="Calibri" w:cs="Calibri" w:eastAsia="Calibri" w:hAnsi="Calibri"/>
          <w:b/>
          <w:bCs/>
          <w:color w:val="595959"/>
          <w:sz w:val="19"/>
          <w:szCs w:val="19"/>
        </w:rPr>
        <w:t xml:space="preserve">Variante A — kompakt:</w:t>
      </w:r>
    </w:p>
    <w:p>
      <w:pPr>
        <w:pBdr>
          <w:left w:val="single" w:color="7FA87F" w:sz="12" w:space="8"/>
        </w:pBdr>
        <w:spacing w:after="90" w:line="280"/>
        <w:ind w:left="259"/>
      </w:pPr>
      <w:r>
        <w:rPr>
          <w:rFonts w:ascii="Calibri" w:cs="Calibri" w:eastAsia="Calibri" w:hAnsi="Calibri"/>
          <w:color w:val="24471F"/>
          <w:sz w:val="20"/>
          <w:szCs w:val="20"/>
        </w:rPr>
        <w:t xml:space="preserve">Herr Rösch gehört nach meiner Einschätzung zu den fachlich besten fünf Prozent der über tausend Studierenden, die ich in [Anzahl] Jahren unterrichtet habe. Ich habe ihn im Modul „Geschäftsprozesse und deren Umsetzung“ (3. Studienjahr, Note [__]) erlebt, das Prozessmodellierung, Prozessoptimierung, Process Mining und Ansätze des Lean Managements behandelt. Der von ihm angestrebte MPhil in Industrial Systems, Manufacture and Management setzt genau hier an: Seine bisherige Ausbildung befähigt ihn, Leistungsprozesse zu modellieren und zu verbessern — das Cambridge-Programm erweitert dies um die physische Fertigungsebene, die ihm bislang fehlt. Ich halte diesen Schritt fachlich für folgerichtig und befürworte die Förderung ohne Einschränkung.</w:t>
      </w:r>
    </w:p>
    <w:p>
      <w:pPr>
        <w:spacing w:after="60" w:before="60" w:line="276"/>
      </w:pPr>
      <w:r>
        <w:rPr>
          <w:rFonts w:ascii="Calibri" w:cs="Calibri" w:eastAsia="Calibri" w:hAnsi="Calibri"/>
          <w:b/>
          <w:bCs/>
          <w:color w:val="595959"/>
          <w:sz w:val="19"/>
          <w:szCs w:val="19"/>
        </w:rPr>
        <w:t xml:space="preserve">Variante B — ausführlich:</w:t>
      </w:r>
    </w:p>
    <w:p>
      <w:pPr>
        <w:pBdr>
          <w:left w:val="single" w:color="7FA87F" w:sz="12" w:space="8"/>
        </w:pBdr>
        <w:spacing w:after="90" w:line="280"/>
        <w:ind w:left="259"/>
      </w:pPr>
      <w:r>
        <w:rPr>
          <w:rFonts w:ascii="Calibri" w:cs="Calibri" w:eastAsia="Calibri" w:hAnsi="Calibri"/>
          <w:color w:val="24471F"/>
          <w:sz w:val="20"/>
          <w:szCs w:val="20"/>
        </w:rPr>
        <w:t xml:space="preserve">Ich habe Herrn Rösch im Modul „Geschäftsprozesse und deren Umsetzung“ (W3WI_106, 3. Studienjahr) unterrichtet, das er mit der Note [__] abschloss. Nach meiner Einschätzung gehört er zu den fachlich besten fünf Prozent der über tausend Studierenden meiner bisherigen Lehrtätigkeit; die Vergleichsgruppe erläutere ich im beiliegenden Schreiben.</w:t>
      </w:r>
    </w:p>
    <w:p>
      <w:pPr>
        <w:pBdr>
          <w:left w:val="single" w:color="7FA87F" w:sz="12" w:space="8"/>
        </w:pBdr>
        <w:spacing w:after="90" w:line="280"/>
        <w:ind w:left="259"/>
      </w:pPr>
      <w:r>
        <w:rPr>
          <w:rFonts w:ascii="Calibri" w:cs="Calibri" w:eastAsia="Calibri" w:hAnsi="Calibri"/>
          <w:color w:val="24471F"/>
          <w:sz w:val="20"/>
          <w:szCs w:val="20"/>
        </w:rPr>
        <w:t xml:space="preserve">Das Modul vermittelt die formale Modellierung von Leistungsprozessen, Prozessoptimierung und Business Process Reengineering, Process Mining sowie Ansätze des Lean Managements. Herr Rösch beherrschte diese Methoden nicht nur formal, sondern konnte beurteilen, welche von ihnen in einer konkreten betrieblichen Situation trägt.</w:t>
      </w:r>
    </w:p>
    <w:p>
      <w:pPr>
        <w:pBdr>
          <w:left w:val="single" w:color="7FA87F" w:sz="12" w:space="8"/>
        </w:pBdr>
        <w:spacing w:after="90" w:line="280"/>
        <w:ind w:left="259"/>
      </w:pPr>
      <w:r>
        <w:rPr>
          <w:rFonts w:ascii="Calibri" w:cs="Calibri" w:eastAsia="Calibri" w:hAnsi="Calibri"/>
          <w:color w:val="24471F"/>
          <w:sz w:val="20"/>
          <w:szCs w:val="20"/>
        </w:rPr>
        <w:t xml:space="preserve">Damit besitzt er die analytische Grundlage des Studiengangs, den er anstrebt. Der MPhil verbindet Operations und Supply Chain mit datenbasierter Modellierung und den Fertigungsverfahren selbst. Für die ersten beiden Bereiche bringt Herr Rösch eine belastbare Vorbildung mit, ergänzt um die datenanalytische Arbeit seiner Bachelorarbeit zur KI-gestützten Faktenprüfung, die mir inhaltlich bekannt ist. Was ihm fehlt und was dieses Studium ihm gibt, ist die Verbindung zur physischen Produktion. Sein Studienplan adressiert diese Lücke gezielt.</w:t>
      </w:r>
    </w:p>
    <w:p>
      <w:pPr>
        <w:pBdr>
          <w:left w:val="single" w:color="7FA87F" w:sz="12" w:space="8"/>
        </w:pBdr>
        <w:spacing w:after="90" w:line="280"/>
        <w:ind w:left="259"/>
      </w:pPr>
      <w:r>
        <w:rPr>
          <w:rFonts w:ascii="Calibri" w:cs="Calibri" w:eastAsia="Calibri" w:hAnsi="Calibri"/>
          <w:color w:val="24471F"/>
          <w:sz w:val="20"/>
          <w:szCs w:val="20"/>
        </w:rPr>
        <w:t xml:space="preserve">Ich halte ihn für in der Lage, ein einjähriges, forschungs- und industrienahes Masterstudium in englischer Sprache erfolgreich abzuschließen, und befürworte die Förderung nachdrücklich.</w:t>
      </w:r>
    </w:p>
    <w:p>
      <w:pPr>
        <w:pBdr>
          <w:bottom w:val="single" w:color="BFC7D5" w:sz="6" w:space="4"/>
        </w:pBdr>
        <w:spacing w:after="80" w:before="280"/>
      </w:pPr>
      <w:r>
        <w:rPr>
          <w:rFonts w:ascii="Calibri" w:cs="Calibri" w:eastAsia="Calibri" w:hAnsi="Calibri"/>
          <w:b/>
          <w:bCs/>
          <w:color w:val="1F3864"/>
          <w:sz w:val="23"/>
          <w:szCs w:val="23"/>
        </w:rPr>
        <w:t xml:space="preserve">B6  Datum und Unterschrift</w:t>
      </w:r>
    </w:p>
    <w:p>
      <w:pPr>
        <w:spacing w:after="60" w:line="264"/>
        <w:ind w:left="259"/>
      </w:pPr>
      <w:r>
        <w:rPr>
          <w:rFonts w:ascii="Calibri" w:cs="Calibri" w:eastAsia="Calibri" w:hAnsi="Calibri"/>
          <w:i/>
          <w:iCs/>
          <w:color w:val="595959"/>
          <w:sz w:val="19"/>
          <w:szCs w:val="19"/>
        </w:rPr>
        <w:t xml:space="preserve">– Handschriftlich oder elektronisch.</w:t>
      </w:r>
    </w:p>
    <w:p>
      <w:pPr>
        <w:spacing w:before="200"/>
      </w:pP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2F4F8" w:val="clear"/>
            <w:tcMar>
              <w:top w:type="dxa" w:w="140"/>
              <w:left w:type="dxa" w:w="180"/>
              <w:bottom w:type="dxa" w:w="140"/>
              <w:right w:type="dxa" w:w="180"/>
            </w:tcMar>
          </w:tcPr>
          <w:p>
            <w:pPr>
              <w:spacing w:after="60" w:before="0" w:line="276"/>
            </w:pPr>
            <w:r>
              <w:rPr>
                <w:rFonts w:ascii="Calibri" w:cs="Calibri" w:eastAsia="Calibri" w:hAnsi="Calibri"/>
                <w:b/>
                <w:bCs/>
                <w:color w:val="1F3864"/>
                <w:sz w:val="20"/>
                <w:szCs w:val="20"/>
              </w:rPr>
              <w:t xml:space="preserve">Hinweis: Cambridge ist eine getrennte Anfrage</w:t>
            </w:r>
          </w:p>
          <w:p>
            <w:pPr>
              <w:spacing w:after="50" w:before="0" w:line="276"/>
            </w:pPr>
            <w:r>
              <w:rPr>
                <w:rFonts w:ascii="Calibri" w:cs="Calibri" w:eastAsia="Calibri" w:hAnsi="Calibri"/>
                <w:color w:val="333333"/>
                <w:sz w:val="19"/>
                <w:szCs w:val="19"/>
              </w:rPr>
              <w:t xml:space="preserve">Die Universität Cambridge verlangt zwei akademische Referenzen, die vertraulich und direkt von der Gutachterin bzw. dem Gutachter über das Cambridge Referee Portal eingereicht werden.</w:t>
            </w:r>
          </w:p>
          <w:p>
            <w:pPr>
              <w:spacing w:after="50" w:before="0" w:line="276"/>
            </w:pPr>
            <w:r>
              <w:rPr>
                <w:rFonts w:ascii="Calibri" w:cs="Calibri" w:eastAsia="Calibri" w:hAnsi="Calibri"/>
                <w:color w:val="333333"/>
                <w:sz w:val="19"/>
                <w:szCs w:val="19"/>
              </w:rPr>
              <w:t xml:space="preserve">Das ist ein anderes Dokument mit einer anderen Frist. Sie erhalten dafür eine automatisch generierte E-Mail von einer Ihnen unbekannten Absenderadresse.</w:t>
            </w:r>
          </w:p>
          <w:p>
            <w:pPr>
              <w:spacing w:after="50" w:before="0" w:line="276"/>
            </w:pPr>
            <w:r>
              <w:rPr>
                <w:rFonts w:ascii="Calibri" w:cs="Calibri" w:eastAsia="Calibri" w:hAnsi="Calibri"/>
                <w:color w:val="333333"/>
                <w:sz w:val="19"/>
                <w:szCs w:val="19"/>
              </w:rPr>
              <w:t xml:space="preserve">Für die Cambridge-Referenz erhalten Sie vom Bewerber keinerlei Textvorschlag — dort wäre das ein Integritätsverstoß.</w:t>
            </w:r>
          </w:p>
        </w:tc>
      </w:tr>
    </w:tbl>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2026-09-18T12:33:56.432Z</dcterms:created>
  <dcterms:modified xsi:type="dcterms:W3CDTF">2026-09-18T12:33:56.442Z</dcterms:modified>
</cp:coreProperties>
</file>

<file path=docProps/custom.xml><?xml version="1.0" encoding="utf-8"?>
<Properties xmlns="http://schemas.openxmlformats.org/officeDocument/2006/custom-properties" xmlns:vt="http://schemas.openxmlformats.org/officeDocument/2006/docPropsVTypes"/>
</file>