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154"/>
        <w:gridCol w:w="2200"/>
      </w:tblGrid>
      <w:tr>
        <w:trPr>
          <w:cantSplit/>
        </w:trPr>
        <w:tc>
          <w:tcPr>
            <w:tcW w:type="dxa" w:w="7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2"/>
                <w:szCs w:val="32"/>
              </w:rPr>
              <w:t xml:space="preserve">Tim Rösch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Stuttgart, Deutschland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tim.roeschkh@gmail.com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+49 176 47299077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125730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Persönliche Daten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Geburtsdatum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[Geburtsdatum]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Geburtsort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[Geburtsort]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Staatsangehörigkeit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[Staatsangehörigkeit]</w:t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Akademische Ausbildung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Okt 2023 – Sep 2026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Duale Hochschule Baden-Württemberg, Stuttgart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Bachelor of Science in Wirtschaftsinformatik (International Management for Business &amp; IT)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Duales Studium im dreimonatigen Wechsel von Theorie- und Praxisphasen; dualer Partner: EY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Notendurchschnitt 1,3; 197 von 210 Credits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Bachelorarbeit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KI-gestütztes Prüftool für Due-Diligence-Berichte; 12 Credits, Note 1,0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Studentisches Projekt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Business Lead des studentischen KI-Startups Academic Flow, Team mit 15 Mitgliedern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Sep 2020 – Jul 2023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Fritz-Erler-Schule, Wirtschaftsgymnasium, Tuttlingen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Abitur, Notendurchschnitt 1,2, Rang 3 von 104; Sonderauszeichnung im Fach Informatik</w:t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Berufserfahrung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Jan 2027 – Mär 2027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Boston Consulting Group, Stuttgart (künftig)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Angehender Praktikant, Digital &amp; Tech, Sektor Industrial Goods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Okt 2023 – Sep 2026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EY / EY-Parthenon, duales Studium, Deutschland und Singapur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Mär 2026 – Mai 2026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6. Rotation: Strategy Consulting, Data, Analytics &amp; AI Hub, Stuttgart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Entwicklung eines KI-gestützten Prüfverfahrens für Aussagen in Due-Diligence-Berichten bis zur Einsatzreife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Sep 2025 – Nov 2025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5. Rotation: Strategy Consulting, Expert Placement, Singapur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Als erster Student für dieses Expert Placement ausgewählt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Quantifizierung von Wachstumspotenzialen für Automobilkonzerne in Saudi-Arabien und Indonesien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KI-Workshop mit Führungskräften aus Schifffahrt und Automobilindustrie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Mai 2025 – Aug 2025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4. Rotation: M&amp;A, Financial Due Diligence, Stuttgart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Prüfung von Absatz- und Preisannahmen sowie Analyse von Beschaffung und Lieferantenstruktur bei einem globalen Automobilzulieferer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Dez 2024 – Feb 2025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3. Rotation: Business Consulting, Global Business Services, München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Standortanalyse für ein Shared Service Center in Malaysia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PMO über 12 Wochen für vier Workstreams mit rund 20 Mandantenmitarbeitenden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Jan 2024 – Aug 2024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1. und 2. Rotation: Business Consulting, Value &amp; Performance Management, Stuttgart</w:t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Stipendien und Auszeichnungen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Mär 2025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Stipendiat der Friedrich-Naumann-Stiftung für die Freiheit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Begabtenförderungswerk; Aufnahme unter den besten 10 % der Bewerber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Jul 2023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Stipendiat von e-fellows.net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Aufnahme unter den besten 10 % der Bewerber</w:t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Ehrenamtliches Engagement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Mär 2025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Vorstand, Sport Gemeinschaft Kirchen-Hausen e. V.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Verein mit 362 Mitgliedern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Sep 2023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Kassierer, Jugendclub Kirchen-Hausen e. V.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Verein mit 180 Mitgliedern; Verwaltung eines Vereinsvermögens von 40.000 €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  <w:highlight w:val="yellow"/>
                <w:highlightCs w:val="yellow"/>
              </w:rPr>
              <w:t xml:space="preserve">[Zeitraum]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Jugendwart, örtlicher Angelverein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Jugendfischertage etwa alle drei Wochen</w:t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Sprachkenntnisse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Deutsch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Muttersprache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Englisch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Verhandlungssicher; </w:t>
            </w: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[Zertifikat und Jahr]</w:t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IT- und Methodenkenntnisse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Programmierung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Python, Java, SQL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Analyse und Modellierung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Excel (Financial Modelling), SAP Analytics Cloud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Weitere Werkzeuge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Jira, PowerPoint</w:t>
            </w:r>
          </w:p>
        </w:tc>
      </w:tr>
    </w:tbl>
    <w:p>
      <w:pPr>
        <w:pBdr>
          <w:bottom w:val="single" w:color="BFC7D5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Interessen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Fußball, Angeln, Tourenski</w:t>
            </w:r>
          </w:p>
        </w:tc>
      </w:tr>
    </w:tbl>
    <w:p>
      <w:pPr>
        <w:spacing w:after="0" w:before="400" w:line="264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Stuttgart, </w:t>
      </w:r>
      <w:r>
        <w:rPr>
          <w:rFonts w:ascii="Calibri" w:cs="Calibri" w:eastAsia="Calibri" w:hAnsi="Calibri"/>
          <w:b w:val="false"/>
          <w:bCs w:val="false"/>
          <w:sz w:val="22"/>
          <w:szCs w:val="22"/>
          <w:highlight w:val="yellow"/>
          <w:highlightCs w:val="yellow"/>
        </w:rPr>
        <w:t xml:space="preserve">[Datum]</w:t>
      </w:r>
    </w:p>
    <w:sectPr>
      <w:pgSz w:w="11906" w:h="16838" w:orient="portrait"/>
      <w:pgMar w:top="1134" w:right="1134" w:bottom="1021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673fe69a8741880eff39275977676f15ffcdcd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2026-09-21T18:42:20.913Z</dcterms:created>
  <dcterms:modified xsi:type="dcterms:W3CDTF">2026-09-21T18:42:20.913Z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