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Quality Standard</w:t>
      </w:r>
    </w:p>
    <w:p>
      <w:r>
        <w:t>Sample Publication Output</w:t>
      </w:r>
    </w:p>
    <w:p>
      <w:r>
        <w:t>Canonical source: docs/Standards/Document-Quality-Standard.md</w:t>
      </w:r>
    </w:p>
    <w:p>
      <w:r>
        <w:t>Publication status: Release 0.6 repeatability validation sample. Markdown in Git remains canonical.</w:t>
      </w:r>
    </w:p>
    <w:p/>
    <w:p>
      <w:pPr>
        <w:pStyle w:val="Heading1"/>
      </w:pPr>
      <w:r>
        <w:t>Send Manna Too LLC Document Quality Standard</w:t>
      </w:r>
    </w:p>
    <w:p>
      <w:pPr>
        <w:pStyle w:val="Heading2"/>
      </w:pPr>
      <w:r>
        <w:t>1. Document Control</w:t>
      </w:r>
    </w:p>
    <w:p>
      <w:r>
        <w:t>Version: 0.1</w:t>
      </w:r>
    </w:p>
    <w:p>
      <w:r>
        <w:t>Status: Approved</w:t>
      </w:r>
    </w:p>
    <w:p>
      <w:r>
        <w:t>Owner: Send Manna Too LLC</w:t>
      </w:r>
    </w:p>
    <w:p>
      <w:r>
        <w:t>Canonical Source: Markdown in Git repository</w:t>
      </w:r>
    </w:p>
    <w:p>
      <w:r>
        <w:t>Applies To: All Send Manna Too LLC Business Governance Framework documents and final deliverables</w:t>
      </w:r>
    </w:p>
    <w:p>
      <w:r>
        <w:t>Effective Date: 2026-07-08</w:t>
      </w:r>
    </w:p>
    <w:p>
      <w:r>
        <w:t>Review Cycle: At least annually or upon material governance, business, legal, commercial, or publication-format change</w:t>
      </w:r>
    </w:p>
    <w:p>
      <w:pPr>
        <w:pStyle w:val="Heading2"/>
      </w:pPr>
      <w:r>
        <w:t>2. Purpose</w:t>
      </w:r>
    </w:p>
    <w:p>
      <w:r>
        <w:t>This standard defines the quality, review, validation, evidence, writing, and publication requirements for Send Manna Too LLC framework documents and final deliverables.</w:t>
      </w:r>
    </w:p>
    <w:p>
      <w:r>
        <w:t>The purpose is to ensure documents are accurate, clear, concise, evidence-based, executive-ready, legally careful, commercially disciplined, and suitable for review by clients, partners, counsel, procurement, regulators, and leadership.</w:t>
      </w:r>
    </w:p>
    <w:p>
      <w:pPr>
        <w:pStyle w:val="Heading2"/>
      </w:pPr>
      <w:r>
        <w:t>3. Scope</w:t>
      </w:r>
    </w:p>
    <w:p>
      <w:r>
        <w:t>This standard applies to governance documents, advisory documents, standards, frameworks, procedures, playbooks, templates, checklists, scripts, records, and final publication outputs maintained or produced by Send Manna Too LLC.</w:t>
      </w:r>
    </w:p>
    <w:p>
      <w:r>
        <w:t>This standard does not define document hierarchy, document placement, document type classification, or conflict-resolution order. Those requirements belong in the Document Hierarchy Standard.</w:t>
      </w:r>
    </w:p>
    <w:p>
      <w:pPr>
        <w:pStyle w:val="Heading2"/>
      </w:pPr>
      <w:r>
        <w:t>4. Relationship to the Constitution and Document Hierarchy Standard</w:t>
      </w:r>
    </w:p>
    <w:p>
      <w:r>
        <w:t>The Send Manna Too LLC Constitution is the highest internal governance authority for the framework.</w:t>
      </w:r>
    </w:p>
    <w:p>
      <w:r>
        <w:t>The Document Hierarchy Standard defines how documents are classified, placed, named, and controlled.</w:t>
      </w:r>
    </w:p>
    <w:p>
      <w:r>
        <w:t>This Document Quality Standard defines how documents must be written, reviewed, validated, and prepared for final publication.</w:t>
      </w:r>
    </w:p>
    <w:p>
      <w:r>
        <w:t>If this standard conflicts with the Constitution, the Constitution controls. If this standard conflicts with the Document Hierarchy Standard on classification or placement, the Document Hierarchy Standard controls.</w:t>
      </w:r>
    </w:p>
    <w:p>
      <w:pPr>
        <w:pStyle w:val="Heading2"/>
      </w:pPr>
      <w:r>
        <w:t>5. Quality Principles</w:t>
      </w:r>
    </w:p>
    <w:p>
      <w:r>
        <w:t>Documents must reflect the following quality principles:</w:t>
      </w:r>
    </w:p>
    <w:p>
      <w:pPr>
        <w:pStyle w:val="ListBullet"/>
      </w:pPr>
      <w:r>
        <w:t>Integrity before growth.</w:t>
      </w:r>
    </w:p>
    <w:p>
      <w:pPr>
        <w:pStyle w:val="ListBullet"/>
      </w:pPr>
      <w:r>
        <w:t>Evidence before opinion.</w:t>
      </w:r>
    </w:p>
    <w:p>
      <w:pPr>
        <w:pStyle w:val="ListBullet"/>
      </w:pPr>
      <w:r>
        <w:t>Governance before execution.</w:t>
      </w:r>
    </w:p>
    <w:p>
      <w:pPr>
        <w:pStyle w:val="ListBullet"/>
      </w:pPr>
      <w:r>
        <w:t>Quality before speed.</w:t>
      </w:r>
    </w:p>
    <w:p>
      <w:pPr>
        <w:pStyle w:val="ListBullet"/>
      </w:pPr>
      <w:r>
        <w:t>Simplicity before complexity.</w:t>
      </w:r>
    </w:p>
    <w:p>
      <w:pPr>
        <w:pStyle w:val="ListBullet"/>
      </w:pPr>
      <w:r>
        <w:t>Consistency before customization.</w:t>
      </w:r>
    </w:p>
    <w:p>
      <w:pPr>
        <w:pStyle w:val="ListBullet"/>
      </w:pPr>
      <w:r>
        <w:t>Plain English.</w:t>
      </w:r>
    </w:p>
    <w:p>
      <w:pPr>
        <w:pStyle w:val="ListBullet"/>
      </w:pPr>
      <w:r>
        <w:t>Executive-quality writing.</w:t>
      </w:r>
    </w:p>
    <w:p>
      <w:pPr>
        <w:pStyle w:val="ListBullet"/>
      </w:pPr>
      <w:r>
        <w:t>One source of truth.</w:t>
      </w:r>
    </w:p>
    <w:p>
      <w:pPr>
        <w:pStyle w:val="ListBullet"/>
      </w:pPr>
      <w:r>
        <w:t>No duplicate guidance.</w:t>
      </w:r>
    </w:p>
    <w:p>
      <w:pPr>
        <w:pStyle w:val="ListBullet"/>
      </w:pPr>
      <w:r>
        <w:t>One primary purpose per document.</w:t>
      </w:r>
    </w:p>
    <w:p>
      <w:pPr>
        <w:pStyle w:val="ListBullet"/>
      </w:pPr>
      <w:r>
        <w:t>Professional independence.</w:t>
      </w:r>
    </w:p>
    <w:p>
      <w:pPr>
        <w:pStyle w:val="ListBullet"/>
      </w:pPr>
      <w:r>
        <w:t>Commercial integrity.</w:t>
      </w:r>
    </w:p>
    <w:p>
      <w:pPr>
        <w:pStyle w:val="Heading2"/>
      </w:pPr>
      <w:r>
        <w:t>6. Required Document Attributes</w:t>
      </w:r>
    </w:p>
    <w:p>
      <w:r>
        <w:t>Each document must be clear about its purpose, scope, owner, status, canonical source, applicability, and review cycle.</w:t>
      </w:r>
    </w:p>
    <w:p>
      <w:r>
        <w:t>Each document must have one primary purpose and must align with the applicable document type defined in the Document Hierarchy Standard.</w:t>
      </w:r>
    </w:p>
    <w:p>
      <w:r>
        <w:t>Each document must use clear headings, concise language, and a structure appropriate to its purpose.</w:t>
      </w:r>
    </w:p>
    <w:p>
      <w:r>
        <w:t>Each document must avoid unnecessary bloat, vague assertions, unsupported claims, and duplicative guidance.</w:t>
      </w:r>
    </w:p>
    <w:p>
      <w:r>
        <w:t>Each document must be understandable to an informed executive, reviewer, client, partner, or control owner without requiring unnecessary interpretation.</w:t>
      </w:r>
    </w:p>
    <w:p>
      <w:pPr>
        <w:pStyle w:val="Heading2"/>
      </w:pPr>
      <w:r>
        <w:t>7. Content Quality Rules</w:t>
      </w:r>
    </w:p>
    <w:p>
      <w:r>
        <w:t>Content must be accurate, relevant, concise, and purpose-specific.</w:t>
      </w:r>
    </w:p>
    <w:p>
      <w:r>
        <w:t>Content must use plain English and avoid unnecessary jargon.</w:t>
      </w:r>
    </w:p>
    <w:p>
      <w:r>
        <w:t>Content must distinguish mandatory requirements from recommendations, examples, observations, and optional guidance.</w:t>
      </w:r>
    </w:p>
    <w:p>
      <w:r>
        <w:t>Content must not duplicate guidance that belongs in another document. When related guidance is needed, the document should reference the canonical source.</w:t>
      </w:r>
    </w:p>
    <w:p>
      <w:r>
        <w:t>Content must be written so that reasonable objections, limitations, and implementation risks are anticipated where relevant.</w:t>
      </w:r>
    </w:p>
    <w:p>
      <w:pPr>
        <w:pStyle w:val="Heading2"/>
      </w:pPr>
      <w:r>
        <w:t>8. Evidence and Source Rules</w:t>
      </w:r>
    </w:p>
    <w:p>
      <w:r>
        <w:t>Documents must distinguish facts, assumptions, inferences, recommendations, and residual risks where relevant.</w:t>
      </w:r>
    </w:p>
    <w:p>
      <w:r>
        <w:t>Facts must be supported by reliable evidence when they are material to a decision, recommendation, risk position, or client deliverable.</w:t>
      </w:r>
    </w:p>
    <w:p>
      <w:r>
        <w:t>Primary sources should be preferred when available. Secondary sources may be used when appropriate and reliable. Unsupported claims must be avoided.</w:t>
      </w:r>
    </w:p>
    <w:p>
      <w:r>
        <w:t>Source currency must be considered when laws, regulations, standards, market facts, technical facts, pricing, or external requirements may have changed.</w:t>
      </w:r>
    </w:p>
    <w:p>
      <w:r>
        <w:t>Internal framework documents must be traceable to the canonical Markdown source in Git.</w:t>
      </w:r>
    </w:p>
    <w:p>
      <w:pPr>
        <w:pStyle w:val="Heading2"/>
      </w:pPr>
      <w:r>
        <w:t>9. Facts, Assumptions, Inferences, Recommendations, and Residual Risk</w:t>
      </w:r>
    </w:p>
    <w:p>
      <w:r>
        <w:t>Facts are statements supported by evidence.</w:t>
      </w:r>
    </w:p>
    <w:p>
      <w:r>
        <w:t>Assumptions are accepted inputs that have not been fully verified.</w:t>
      </w:r>
    </w:p>
    <w:p>
      <w:r>
        <w:t>Inferences are reasoned conclusions drawn from facts, assumptions, or evidence.</w:t>
      </w:r>
    </w:p>
    <w:p>
      <w:r>
        <w:t>Recommendations are proposed actions or decisions.</w:t>
      </w:r>
    </w:p>
    <w:p>
      <w:r>
        <w:t>Residual risks are remaining risks after known controls, recommendations, limitations, or constraints are considered.</w:t>
      </w:r>
    </w:p>
    <w:p>
      <w:r>
        <w:t>Documents must label these categories when failure to distinguish them could create confusion, legal exposure, commercial exposure, or decision risk.</w:t>
      </w:r>
    </w:p>
    <w:p>
      <w:pPr>
        <w:pStyle w:val="Heading2"/>
      </w:pPr>
      <w:r>
        <w:t>10. Legal, Commercial, and Promise-Control Rules</w:t>
      </w:r>
    </w:p>
    <w:p>
      <w:r>
        <w:t>Documents must avoid unsupported guarantees, compliance warranties, breach-prevention promises, or commitments that exceed signed agreements or approved scope.</w:t>
      </w:r>
    </w:p>
    <w:p>
      <w:r>
        <w:t>Documents must not imply that Send Manna Too LLC provides legal advice unless the firm has obtained appropriate legal review and authority to do so.</w:t>
      </w:r>
    </w:p>
    <w:p>
      <w:r>
        <w:t>Documents must preserve professional independence and commercial integrity.</w:t>
      </w:r>
    </w:p>
    <w:p>
      <w:r>
        <w:t>Documents must disclose or manage material assumptions, limitations, conflicts, and scope boundaries where relevant.</w:t>
      </w:r>
    </w:p>
    <w:p>
      <w:r>
        <w:t>Client-facing and partner-facing documents must use careful language that supports trust without creating unsupported obligations.</w:t>
      </w:r>
    </w:p>
    <w:p>
      <w:pPr>
        <w:pStyle w:val="Heading2"/>
      </w:pPr>
      <w:r>
        <w:t>11. Review Gate Requirements</w:t>
      </w:r>
    </w:p>
    <w:p>
      <w:r>
        <w:t>Documents must follow the approved development lifecycle unless an exception is documented, justified, and approved.</w:t>
      </w:r>
    </w:p>
    <w:p>
      <w:r>
        <w:t>The standard lifecycle is planning, outline review, draft, technical review, executive review, red team review, editorial review, approval, Git commit, GitHub push, and baseline.</w:t>
      </w:r>
    </w:p>
    <w:p>
      <w:r>
        <w:t>Technical review must validate structure, scope alignment, document placement, file path, headings, links where applicable, and repository status.</w:t>
      </w:r>
    </w:p>
    <w:p>
      <w:r>
        <w:t>Executive review must validate clarity, usefulness, tone, business relevance, and decision-readiness.</w:t>
      </w:r>
    </w:p>
    <w:p>
      <w:r>
        <w:t>Red team review must challenge assumptions, legal exposure, commercial exposure, ambiguity, duplicate guidance, overreach, and misuse risk.</w:t>
      </w:r>
    </w:p>
    <w:p>
      <w:r>
        <w:t>Editorial review must validate grammar, spelling, punctuation, consistency, formatting, concision, and plain-English readability.</w:t>
      </w:r>
    </w:p>
    <w:p>
      <w:pPr>
        <w:pStyle w:val="Heading2"/>
      </w:pPr>
      <w:r>
        <w:t>12. Technical Validation Requirements</w:t>
      </w:r>
    </w:p>
    <w:p>
      <w:r>
        <w:t>Before commit, Markdown documents must be checked for expected location, expected headings, non-ASCII characters, trailing whitespace, and unintended file changes.</w:t>
      </w:r>
    </w:p>
    <w:p>
      <w:r>
        <w:t>New files must be reviewed with Git diff before commit.</w:t>
      </w:r>
    </w:p>
    <w:p>
      <w:r>
        <w:t>Repository status must be checked before and after commit.</w:t>
      </w:r>
    </w:p>
    <w:p>
      <w:r>
        <w:t>After push, local and remote branches must be confirmed as synchronized.</w:t>
      </w:r>
    </w:p>
    <w:p>
      <w:r>
        <w:t>Technical validation results should be sufficient for a later reviewer to understand what was changed and why.</w:t>
      </w:r>
    </w:p>
    <w:p>
      <w:pPr>
        <w:pStyle w:val="Heading2"/>
      </w:pPr>
      <w:r>
        <w:t>13. Publication and Final Deliverable Requirements</w:t>
      </w:r>
    </w:p>
    <w:p>
      <w:r>
        <w:t>Markdown in Git remains the canonical source for framework documents.</w:t>
      </w:r>
    </w:p>
    <w:p>
      <w:r>
        <w:t>Word, PDF, PowerPoint, and other formatted outputs are publication formats and must remain traceable to the canonical Markdown source unless a documented exception states otherwise.</w:t>
      </w:r>
    </w:p>
    <w:p>
      <w:r>
        <w:t>Final client-facing, partner-facing, executive, or publication-ready deliverables must use a controlled publication format where technically practical.</w:t>
      </w:r>
    </w:p>
    <w:p>
      <w:r>
        <w:t>Final publication-ready deliverables must include the Send Manna Too LLC logo in the header where the format supports headers.</w:t>
      </w:r>
    </w:p>
    <w:p>
      <w:r>
        <w:t>Final publication-ready deliverables must include a footer confidentiality marking: Property and Confidential.</w:t>
      </w:r>
    </w:p>
    <w:p>
      <w:r>
        <w:t>Final publication-ready deliverables must include page numbering in the format: Page 1 of X Pages, where the format supports page numbering.</w:t>
      </w:r>
    </w:p>
    <w:p>
      <w:r>
        <w:t>Publication-format requirements apply to final outputs. They do not make Word, PDF, or PowerPoint the authoritative source.</w:t>
      </w:r>
    </w:p>
    <w:p>
      <w:pPr>
        <w:pStyle w:val="Heading2"/>
      </w:pPr>
      <w:r>
        <w:t>14. Acceptance Criteria</w:t>
      </w:r>
    </w:p>
    <w:p>
      <w:r>
        <w:t>A document is acceptable when it is accurate, clear, concise, purpose-specific, non-duplicative, aligned to the Constitution, aligned to the Document Hierarchy Standard, and technically validated.</w:t>
      </w:r>
    </w:p>
    <w:p>
      <w:r>
        <w:t>A final deliverable is acceptable when it is publication-ready, grammatically clean, properly marked where applicable, traceable to its source, and free from unsupported claims or unintended commitments.</w:t>
      </w:r>
    </w:p>
    <w:p>
      <w:r>
        <w:t>A document must not be approved if it creates duplicate guidance, unclear authority, unsupported promises, unexplained assumptions, unmanaged conflicts, or avoidable legal or commercial exposure.</w:t>
      </w:r>
    </w:p>
    <w:p>
      <w:pPr>
        <w:pStyle w:val="Heading2"/>
      </w:pPr>
      <w:r>
        <w:t>15. Exceptions</w:t>
      </w:r>
    </w:p>
    <w:p>
      <w:r>
        <w:t>Exceptions to this standard must be documented, justified, and approved.</w:t>
      </w:r>
    </w:p>
    <w:p>
      <w:r>
        <w:t>Exceptions must not compromise the Constitution, source-of-truth control, confidentiality, professional integrity, commercial integrity, or document traceability.</w:t>
      </w:r>
    </w:p>
    <w:p>
      <w:r>
        <w:t>Recurring exceptions may indicate that the quality standard, publication templates, or review process should be updated.</w:t>
      </w:r>
    </w:p>
    <w:p>
      <w:pPr>
        <w:pStyle w:val="Heading2"/>
      </w:pPr>
      <w:r>
        <w:t>16. Approval</w:t>
      </w:r>
    </w:p>
    <w:p>
      <w:r>
        <w:t>Approved By: Timothy Simmons / Send Manna Too LLC</w:t>
      </w:r>
    </w:p>
    <w:p>
      <w:r>
        <w:t>Approval Date: 2026-07-08</w:t>
      </w:r>
    </w:p>
    <w:p>
      <w:r>
        <w:t>Effective Date: 2026-07-08</w:t>
      </w:r>
    </w:p>
    <w:p>
      <w:r>
        <w:t>This standard remains in draft status until approved and committed as part of the Release 0.1 foundation baseline.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080" w:bottom="1080" w:left="1080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left"/>
    </w:pPr>
    <w:r>
      <w:t>Property and Confidential</w:t>
    </w:r>
    <w:r>
      <w:tab/>
    </w: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  <w:r>
      <w:t xml:space="preserve"> Pages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43000" cy="50028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MT-V2-Horizontal-Premium-Lock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50028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Send Manna Too LLC Document Quality Standard Sample Publication</dc:title>
  <dc:subject>Release 0.6 publication repeatability validation sample</dc:subject>
  <dc:creator>Send Manna Too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