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Hierarchy Standard</w:t>
      </w:r>
    </w:p>
    <w:p>
      <w:r>
        <w:t>Sample Publication Output</w:t>
      </w:r>
    </w:p>
    <w:p>
      <w:r>
        <w:t>Canonical source: docs/Standards/Document-Hierarchy-Standard.md</w:t>
      </w:r>
    </w:p>
    <w:p>
      <w:r>
        <w:t>Publication status: Release 0.5 operating use test sample. Markdown in Git remains canonical.</w:t>
      </w:r>
    </w:p>
    <w:p>
      <w:r>
        <w:br w:type="page"/>
      </w:r>
    </w:p>
    <w:p>
      <w:pPr>
        <w:pStyle w:val="Heading1"/>
      </w:pPr>
      <w:r>
        <w:t>Send Manna Too LLC Document Hierarchy Standard</w:t>
      </w:r>
    </w:p>
    <w:p>
      <w:pPr>
        <w:pStyle w:val="Heading2"/>
      </w:pPr>
      <w:r>
        <w:t>1. Document Control</w:t>
      </w:r>
    </w:p>
    <w:p>
      <w:r>
        <w:t>Version: 0.1</w:t>
      </w:r>
    </w:p>
    <w:p>
      <w:r>
        <w:t>Status: Approved</w:t>
      </w:r>
    </w:p>
    <w:p>
      <w:r>
        <w:t>Owner: Send Manna Too LLC</w:t>
      </w:r>
    </w:p>
    <w:p>
      <w:r>
        <w:t>Canonical Source: Markdown in Git repository</w:t>
      </w:r>
    </w:p>
    <w:p>
      <w:r>
        <w:t>Applies To: All Send Manna Too LLC Business Governance Framework documents</w:t>
      </w:r>
    </w:p>
    <w:p>
      <w:r>
        <w:t>Effective Date: 2026-07-08</w:t>
      </w:r>
    </w:p>
    <w:p>
      <w:r>
        <w:t>Review Cycle: At least annually or upon material governance, business, legal, or operating-model change</w:t>
      </w:r>
    </w:p>
    <w:p>
      <w:pPr>
        <w:pStyle w:val="Heading2"/>
      </w:pPr>
      <w:r>
        <w:t>2. Purpose</w:t>
      </w:r>
    </w:p>
    <w:p>
      <w:r>
        <w:t>This standard defines the document hierarchy, document type definitions, placement rules, naming rules, conflict-resolution rules, and anti-duplication requirements for the Send Manna Too LLC Business Governance Framework.</w:t>
      </w:r>
    </w:p>
    <w:p>
      <w:r>
        <w:t>The purpose is to ensure each framework document has one clear role, one correct location, one primary purpose, and a controlled relationship to every other framework document.</w:t>
      </w:r>
    </w:p>
    <w:p>
      <w:pPr>
        <w:pStyle w:val="Heading2"/>
      </w:pPr>
      <w:r>
        <w:t>3. Scope</w:t>
      </w:r>
    </w:p>
    <w:p>
      <w:r>
        <w:t>This standard applies to governance documents, advisory framework documents, standards, procedures, playbooks, templates, checklists, scripts, records, and other framework artifacts maintained by Send Manna Too LLC.</w:t>
      </w:r>
    </w:p>
    <w:p>
      <w:r>
        <w:t>This standard does not define writing quality rules, publication formatting rules, logo requirements, confidentiality footer requirements, page-numbering requirements, or document review criteria. Those requirements belong in the Document Quality Standard or controlled publication templates.</w:t>
      </w:r>
    </w:p>
    <w:p>
      <w:pPr>
        <w:pStyle w:val="Heading2"/>
      </w:pPr>
      <w:r>
        <w:t>4. Relationship to the Constitution</w:t>
      </w:r>
    </w:p>
    <w:p>
      <w:r>
        <w:t>The Send Manna Too LLC Constitution is the highest internal governance authority for the framework.</w:t>
      </w:r>
    </w:p>
    <w:p>
      <w:r>
        <w:t>This standard implements the Constitution by defining how documents are classified, placed, named, and controlled within the approved hierarchy.</w:t>
      </w:r>
    </w:p>
    <w:p>
      <w:r>
        <w:t>If this standard conflicts with the Constitution, the Constitution controls unless a documented and approved exception states otherwise.</w:t>
      </w:r>
    </w:p>
    <w:p>
      <w:pPr>
        <w:pStyle w:val="Heading2"/>
      </w:pPr>
      <w:r>
        <w:t>5. Document Hierarchy</w:t>
      </w:r>
    </w:p>
    <w:p>
      <w:r>
        <w:t>The framework uses the following hierarchy:</w:t>
      </w:r>
    </w:p>
    <w:p>
      <w:pPr>
        <w:pStyle w:val="ListNumber"/>
      </w:pPr>
      <w:r>
        <w:t>Constitution</w:t>
      </w:r>
    </w:p>
    <w:p>
      <w:pPr>
        <w:pStyle w:val="ListNumber"/>
      </w:pPr>
      <w:r>
        <w:t>Policies</w:t>
      </w:r>
    </w:p>
    <w:p>
      <w:pPr>
        <w:pStyle w:val="ListNumber"/>
      </w:pPr>
      <w:r>
        <w:t>Standards</w:t>
      </w:r>
    </w:p>
    <w:p>
      <w:pPr>
        <w:pStyle w:val="ListNumber"/>
      </w:pPr>
      <w:r>
        <w:t>Frameworks</w:t>
      </w:r>
    </w:p>
    <w:p>
      <w:pPr>
        <w:pStyle w:val="ListNumber"/>
      </w:pPr>
      <w:r>
        <w:t>Procedures / Playbooks</w:t>
      </w:r>
    </w:p>
    <w:p>
      <w:pPr>
        <w:pStyle w:val="ListNumber"/>
      </w:pPr>
      <w:r>
        <w:t>Templates / Checklists / Scripts</w:t>
      </w:r>
    </w:p>
    <w:p>
      <w:pPr>
        <w:pStyle w:val="ListNumber"/>
      </w:pPr>
      <w:r>
        <w:t>Records</w:t>
      </w:r>
    </w:p>
    <w:p>
      <w:r>
        <w:t>Higher-level documents govern lower-level documents. Lower-level documents must not override, weaken, or duplicate higher-level documents.</w:t>
      </w:r>
    </w:p>
    <w:p>
      <w:pPr>
        <w:pStyle w:val="Heading2"/>
      </w:pPr>
      <w:r>
        <w:t>6. Document Type Definitions</w:t>
      </w:r>
    </w:p>
    <w:p>
      <w:pPr>
        <w:pStyle w:val="Heading3"/>
      </w:pPr>
      <w:r>
        <w:t>6.1 Constitution</w:t>
      </w:r>
    </w:p>
    <w:p>
      <w:r>
        <w:t>The Constitution establishes the highest-level governance principles, authority, hierarchy, and quality expectations for the framework.</w:t>
      </w:r>
    </w:p>
    <w:p>
      <w:r>
        <w:t>There is only one Constitution.</w:t>
      </w:r>
    </w:p>
    <w:p>
      <w:pPr>
        <w:pStyle w:val="Heading3"/>
      </w:pPr>
      <w:r>
        <w:t>6.2 Policies</w:t>
      </w:r>
    </w:p>
    <w:p>
      <w:r>
        <w:t>Policies define mandatory management intent, risk posture, decision boundaries, and required outcomes.</w:t>
      </w:r>
    </w:p>
    <w:p>
      <w:r>
        <w:t>Policies answer what must be true and why it matters. Policies should not contain detailed procedures, templates, or step-by-step instructions.</w:t>
      </w:r>
    </w:p>
    <w:p>
      <w:pPr>
        <w:pStyle w:val="Heading3"/>
      </w:pPr>
      <w:r>
        <w:t>6.3 Standards</w:t>
      </w:r>
    </w:p>
    <w:p>
      <w:r>
        <w:t>Standards define mandatory rules, minimum requirements, classification rules, quality expectations, or control requirements needed to implement policies and governance expectations consistently.</w:t>
      </w:r>
    </w:p>
    <w:p>
      <w:r>
        <w:t>Standards answer what requirements must be met.</w:t>
      </w:r>
    </w:p>
    <w:p>
      <w:pPr>
        <w:pStyle w:val="Heading3"/>
      </w:pPr>
      <w:r>
        <w:t>6.4 Frameworks</w:t>
      </w:r>
    </w:p>
    <w:p>
      <w:r>
        <w:t>Frameworks organize related concepts, capabilities, operating models, or advisory methods into a coherent structure.</w:t>
      </w:r>
    </w:p>
    <w:p>
      <w:r>
        <w:t>Frameworks answer how a topic is structured and how its parts relate to each other. Frameworks should not become procedures or templates.</w:t>
      </w:r>
    </w:p>
    <w:p>
      <w:pPr>
        <w:pStyle w:val="Heading3"/>
      </w:pPr>
      <w:r>
        <w:t>6.5 Procedures / Playbooks</w:t>
      </w:r>
    </w:p>
    <w:p>
      <w:r>
        <w:t>Procedures and playbooks define repeatable steps, decision paths, or execution guidance for a specific activity.</w:t>
      </w:r>
    </w:p>
    <w:p>
      <w:r>
        <w:t>Procedures and playbooks answer how work is performed. They must align with the Constitution, applicable policies, standards, and frameworks.</w:t>
      </w:r>
    </w:p>
    <w:p>
      <w:pPr>
        <w:pStyle w:val="Heading3"/>
      </w:pPr>
      <w:r>
        <w:t>6.6 Templates / Checklists / Scripts</w:t>
      </w:r>
    </w:p>
    <w:p>
      <w:r>
        <w:t>Templates, checklists, and scripts provide reusable execution aids.</w:t>
      </w:r>
    </w:p>
    <w:p>
      <w:r>
        <w:t>They support consistent delivery but do not create new governance requirements unless those requirements are already defined in a higher-level document.</w:t>
      </w:r>
    </w:p>
    <w:p>
      <w:pPr>
        <w:pStyle w:val="Heading3"/>
      </w:pPr>
      <w:r>
        <w:t>6.7 Records</w:t>
      </w:r>
    </w:p>
    <w:p>
      <w:r>
        <w:t>Records provide evidence that a decision, review, approval, exception, assessment, change, or activity occurred.</w:t>
      </w:r>
    </w:p>
    <w:p>
      <w:r>
        <w:t>Records document what happened. Records should not define future requirements.</w:t>
      </w:r>
    </w:p>
    <w:p>
      <w:pPr>
        <w:pStyle w:val="Heading2"/>
      </w:pPr>
      <w:r>
        <w:t>7. Document Placement Rules</w:t>
      </w:r>
    </w:p>
    <w:p>
      <w:r>
        <w:t>Documents must be placed according to their primary purpose.</w:t>
      </w:r>
    </w:p>
    <w:p>
      <w:r>
        <w:t>If a document defines governing principles or authority, it belongs in Foundation.</w:t>
      </w:r>
    </w:p>
    <w:p>
      <w:r>
        <w:t>If a document defines mandatory management intent or risk posture, it belongs in the applicable policy location.</w:t>
      </w:r>
    </w:p>
    <w:p>
      <w:r>
        <w:t>If a document defines mandatory requirements, classification rules, or quality rules, it belongs in the applicable standards location.</w:t>
      </w:r>
    </w:p>
    <w:p>
      <w:r>
        <w:t>If a document organizes a domain, capability, or advisory method, it belongs in the applicable framework location.</w:t>
      </w:r>
    </w:p>
    <w:p>
      <w:r>
        <w:t>If a document defines repeatable execution steps, it belongs in the applicable procedure or playbook location.</w:t>
      </w:r>
    </w:p>
    <w:p>
      <w:r>
        <w:t>If a document is a reusable aid, it belongs in the applicable template, checklist, or script location.</w:t>
      </w:r>
    </w:p>
    <w:p>
      <w:r>
        <w:t>If a document is evidence of action or approval, it belongs in the applicable record or release artifact location.</w:t>
      </w:r>
    </w:p>
    <w:p>
      <w:r>
        <w:t>When placement is unclear, the document must be classified by primary purpose, not by title, convenience, or expected audience.</w:t>
      </w:r>
    </w:p>
    <w:p>
      <w:pPr>
        <w:pStyle w:val="Heading2"/>
      </w:pPr>
      <w:r>
        <w:t>8. Document Naming Rules</w:t>
      </w:r>
    </w:p>
    <w:p>
      <w:r>
        <w:t>Document names must be clear, durable, and purpose-specific.</w:t>
      </w:r>
    </w:p>
    <w:p>
      <w:r>
        <w:t>Names should identify the firm, topic, and document type where practical.</w:t>
      </w:r>
    </w:p>
    <w:p>
      <w:r>
        <w:t>Names must avoid vague labels such as general notes, miscellaneous guidance, final final, working copy, or temporary unless the document is intentionally temporary and clearly marked.</w:t>
      </w:r>
    </w:p>
    <w:p>
      <w:r>
        <w:t>File names should use readable hyphen-separated words and the .md extension for canonical Markdown sources.</w:t>
      </w:r>
    </w:p>
    <w:p>
      <w:pPr>
        <w:pStyle w:val="Heading2"/>
      </w:pPr>
      <w:r>
        <w:t>9. One Primary Purpose Rule</w:t>
      </w:r>
    </w:p>
    <w:p>
      <w:r>
        <w:t>Each document must have exactly one primary purpose.</w:t>
      </w:r>
    </w:p>
    <w:p>
      <w:r>
        <w:t>A document may reference related documents, but it must not absorb the purpose of another document type.</w:t>
      </w:r>
    </w:p>
    <w:p>
      <w:r>
        <w:t>If a document begins serving multiple primary purposes, it must be split, reclassified, or revised.</w:t>
      </w:r>
    </w:p>
    <w:p>
      <w:pPr>
        <w:pStyle w:val="Heading2"/>
      </w:pPr>
      <w:r>
        <w:t>10. No Duplicate Guidance Rule</w:t>
      </w:r>
    </w:p>
    <w:p>
      <w:r>
        <w:t>Duplicate guidance is not permitted.</w:t>
      </w:r>
    </w:p>
    <w:p>
      <w:r>
        <w:t>A lower-level document may summarize or reference higher-level guidance only when necessary for context.</w:t>
      </w:r>
    </w:p>
    <w:p>
      <w:r>
        <w:t>When guidance is repeated, the canonical source must be identified and the duplicate text must be removed or converted to a reference.</w:t>
      </w:r>
    </w:p>
    <w:p>
      <w:pPr>
        <w:pStyle w:val="Heading2"/>
      </w:pPr>
      <w:r>
        <w:t>11. Conflict Resolution</w:t>
      </w:r>
    </w:p>
    <w:p>
      <w:r>
        <w:t>If two documents conflict, the higher-level document controls.</w:t>
      </w:r>
    </w:p>
    <w:p>
      <w:r>
        <w:t>If two documents at the same level conflict, the more specific approved document controls unless a decision record states otherwise.</w:t>
      </w:r>
    </w:p>
    <w:p>
      <w:r>
        <w:t>Conflicts must be documented and corrected through the appropriate decision, change, or exception process.</w:t>
      </w:r>
    </w:p>
    <w:p>
      <w:pPr>
        <w:pStyle w:val="Heading2"/>
      </w:pPr>
      <w:r>
        <w:t>12. Document Lifecycle Alignment</w:t>
      </w:r>
    </w:p>
    <w:p>
      <w:r>
        <w:t>Documents must follow the approved development lifecycle: planning, outline review, draft, technical review, executive review, red team review, editorial review, approval, Git commit, GitHub push, and baseline.</w:t>
      </w:r>
    </w:p>
    <w:p>
      <w:r>
        <w:t>No document may bypass lifecycle steps unless an exception is documented, justified, and approved.</w:t>
      </w:r>
    </w:p>
    <w:p>
      <w:pPr>
        <w:pStyle w:val="Heading2"/>
      </w:pPr>
      <w:r>
        <w:t>13. Exceptions</w:t>
      </w:r>
    </w:p>
    <w:p>
      <w:r>
        <w:t>Exceptions to this standard must be documented, justified, and approved.</w:t>
      </w:r>
    </w:p>
    <w:p>
      <w:r>
        <w:t>Exceptions must not compromise the Constitution, one source of truth, document traceability, non-duplication, or professional integrity.</w:t>
      </w:r>
    </w:p>
    <w:p>
      <w:r>
        <w:t>Recurring exceptions may indicate that the hierarchy, placement rules, or document structure should be reviewed.</w:t>
      </w:r>
    </w:p>
    <w:p>
      <w:pPr>
        <w:pStyle w:val="Heading2"/>
      </w:pPr>
      <w:r>
        <w:t>14. Approval</w:t>
      </w:r>
    </w:p>
    <w:p>
      <w:r>
        <w:t>Approved By: Timothy Simmons / Send Manna Too LLC</w:t>
      </w:r>
    </w:p>
    <w:p>
      <w:r>
        <w:t>Approval Date: 2026-07-08</w:t>
      </w:r>
    </w:p>
    <w:p>
      <w:r>
        <w:t>Effective Date: 2026-07-08</w:t>
      </w:r>
    </w:p>
    <w:p>
      <w:r>
        <w:t>This standard remains in draft status until approved and committed as part of the Release 0.1 foundation baseline.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080" w:bottom="1080" w:left="1080" w:header="288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360" w:val="right"/>
      </w:tabs>
      <w:jc w:val="left"/>
    </w:pPr>
    <w:r>
      <w:t>Property and Confidential</w:t>
    </w:r>
    <w:r>
      <w:tab/>
    </w:r>
    <w:r>
      <w:t xml:space="preserve">Page </w:t>
    </w:r>
    <w:fldSimple w:instr="PAGE">
      <w:r>
        <w:t>1</w:t>
      </w:r>
    </w:fldSimple>
    <w:r>
      <w:t xml:space="preserve"> of </w:t>
    </w:r>
    <w:fldSimple w:instr="NUMPAGES">
      <w:r>
        <w:t>1</w:t>
      </w:r>
    </w:fldSimple>
    <w:r>
      <w:t xml:space="preserve"> Pages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drawing>
        <wp:inline xmlns:a="http://schemas.openxmlformats.org/drawingml/2006/main" xmlns:pic="http://schemas.openxmlformats.org/drawingml/2006/picture">
          <wp:extent cx="1143000" cy="500289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MT-V2-Horizontal-Premium-Locked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43000" cy="500289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/>
      <w:i/>
      <w:iCs/>
      <w:color w:val="4F81BD" w:themeColor="accent1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