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- Orange County, 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Orange - Madison County, 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- Dallas County, TX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- Brooklyn, NY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Pricing per House</w:t>
        <w:tab/>
        <w:tab/>
        <w:tab/>
        <w:tab/>
        <w:tab/>
        <w:t xml:space="preserve">         Number of Bedrooms per House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8850" cy="134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8863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pricing between Dallas County and</w:t>
        <w:tab/>
        <w:tab/>
        <w:t xml:space="preserve">       Majority of data is mixed together,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Madison County have similar pricing, but Dallas</w:t>
        <w:tab/>
        <w:t xml:space="preserve">      except for some data points of Brooklyn.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slightly more expensive housing.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Bathrooms per House</w:t>
        <w:tab/>
        <w:tab/>
        <w:tab/>
        <w:t xml:space="preserve">           Square Footage per House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6000" cy="1419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6000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locations but Brooklyn have similar amounts</w:t>
        <w:tab/>
        <w:t xml:space="preserve">          All data points except for some of the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bathrooms, making data involving these locations</w:t>
        <w:tab/>
        <w:t xml:space="preserve">         Orange County houses have very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unbeneficial for helping the neural network differentiate    similar data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houses other than Brooklyn.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doing a grid search, four hidden layers and four nodes produced the best results. The neural network had a 26% accuracy for the training set and a 28% accuracy for the test set. If the hidden layers or nodes were reduced, the training accuracy increased to 28%, but the testing accuracy decreased to 16%. When increasing the hidden layers or nodes, the training accuracy also consistently remained at 28%, and the testing accuracy also at 16%. When cross alidating, the best training score remained at 25%, and the best testing score was also 25%.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