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- Orange County, CA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Orange - Madison County, AL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- Dallas County, TX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- Brooklyn, NY</w:t>
      </w:r>
    </w:p>
    <w:p w:rsidR="00CB7F2D" w:rsidRDefault="00CB7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7F2D" w:rsidRDefault="00CB7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Pricing per House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Number of Bedrooms per House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28850" cy="1343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328863" cy="1438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 pricing between Dallas County and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Majority of data is mixed together, 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Madison County have similar pricing, but Dallas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except for some data points of Brooklyn.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slightly more expensive housing.</w:t>
      </w:r>
    </w:p>
    <w:p w:rsidR="00CB7F2D" w:rsidRDefault="00CB7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Bathrooms per House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Square Footage per House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86000" cy="14192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86000" cy="1371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locations but Brooklyn have similar amounts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All data points except for some of the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bathrooms, making data involving these locations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Orange County houses have very 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unbeneficial for helping the neural network differentiate    simi</w:t>
      </w:r>
      <w:r>
        <w:rPr>
          <w:rFonts w:ascii="Times New Roman" w:eastAsia="Times New Roman" w:hAnsi="Times New Roman" w:cs="Times New Roman"/>
          <w:sz w:val="24"/>
          <w:szCs w:val="24"/>
        </w:rPr>
        <w:t>lar data</w:t>
      </w:r>
    </w:p>
    <w:p w:rsidR="00CB7F2D" w:rsidRDefault="00581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houses other than Brooklyn.</w:t>
      </w:r>
    </w:p>
    <w:p w:rsidR="00CB7F2D" w:rsidRDefault="00CB7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7F2D" w:rsidRDefault="00CB7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7F2D" w:rsidRDefault="00581A86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doing a grid search, four hidden layers and four nodes produced the best results. The neural network had a 26% accuracy for the training set and a 28% accuracy for the test set. If the hidden layers or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 were reduced, the training accuracy increased to 28%, but the testing accuracy decreased to 16%. When increasing the hidden layers or nodes, the training accuracy also consistently remained at 28%, and the testing accuracy also at 16%. When cross </w:t>
      </w:r>
      <w:r w:rsidR="00CA26C3">
        <w:rPr>
          <w:rFonts w:ascii="Times New Roman" w:eastAsia="Times New Roman" w:hAnsi="Times New Roman" w:cs="Times New Roman"/>
          <w:sz w:val="24"/>
          <w:szCs w:val="24"/>
        </w:rPr>
        <w:t>v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alida</w:t>
      </w:r>
      <w:r>
        <w:rPr>
          <w:rFonts w:ascii="Times New Roman" w:eastAsia="Times New Roman" w:hAnsi="Times New Roman" w:cs="Times New Roman"/>
          <w:sz w:val="24"/>
          <w:szCs w:val="24"/>
        </w:rPr>
        <w:t>ting, the best training score remained at 25%, and the best testing score was also 25%.</w:t>
      </w:r>
    </w:p>
    <w:sectPr w:rsidR="00CB7F2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A86" w:rsidRDefault="00581A86">
      <w:pPr>
        <w:spacing w:line="240" w:lineRule="auto"/>
      </w:pPr>
      <w:r>
        <w:separator/>
      </w:r>
    </w:p>
  </w:endnote>
  <w:endnote w:type="continuationSeparator" w:id="0">
    <w:p w:rsidR="00581A86" w:rsidRDefault="0058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A86" w:rsidRDefault="00581A86">
      <w:pPr>
        <w:spacing w:line="240" w:lineRule="auto"/>
      </w:pPr>
      <w:r>
        <w:separator/>
      </w:r>
    </w:p>
  </w:footnote>
  <w:footnote w:type="continuationSeparator" w:id="0">
    <w:p w:rsidR="00581A86" w:rsidRDefault="00581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F2D" w:rsidRDefault="00CB7F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2D"/>
    <w:rsid w:val="00581A86"/>
    <w:rsid w:val="00CA26C3"/>
    <w:rsid w:val="00C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D59F"/>
  <w15:docId w15:val="{9E44BCA2-860B-4F5C-B353-4B18EBB8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Tarca</cp:lastModifiedBy>
  <cp:revision>2</cp:revision>
  <dcterms:created xsi:type="dcterms:W3CDTF">2019-12-06T20:14:00Z</dcterms:created>
  <dcterms:modified xsi:type="dcterms:W3CDTF">2019-12-06T20:14:00Z</dcterms:modified>
</cp:coreProperties>
</file>