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b w:val="1"/>
          <w:color w:val="36609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color w:val="366091"/>
          <w:sz w:val="40"/>
          <w:szCs w:val="40"/>
          <w:rtl w:val="0"/>
        </w:rPr>
        <w:t xml:space="preserve">Planning Report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3xqne0iwz79g" w:id="0"/>
      <w:bookmarkEnd w:id="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Lexend" w:cs="Lexend" w:eastAsia="Lexend" w:hAnsi="Lexend"/>
          <w:b w:val="1"/>
          <w:color w:val="0070c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Project Name: MediPal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23127290 -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Nguyễn Kiến Hào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23127395 -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Anh Khoa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/ DevOps / Tester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23127279 -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Võ Văn Tuấn -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/ UIUX Developer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23127500 -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Công Toàn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23127415 -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Hữu Lượng -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.75"/>
        <w:gridCol w:w="3656.25"/>
        <w:gridCol w:w="2160"/>
        <w:gridCol w:w="2160"/>
        <w:tblGridChange w:id="0">
          <w:tblGrid>
            <w:gridCol w:w="663.75"/>
            <w:gridCol w:w="3656.25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Prioritized?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Create 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NC.To</w:t>
            </w: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àn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TH.Lượng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Design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TA.Khoa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NK.Hào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VV.Tuấn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Define software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VV.Tu</w:t>
            </w: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ấn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TA.Khoa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Revise use case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NC.Toàn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TH.Lượng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