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b w:val="1"/>
          <w:color w:val="36609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color w:val="366091"/>
          <w:sz w:val="40"/>
          <w:szCs w:val="40"/>
          <w:rtl w:val="0"/>
        </w:rPr>
        <w:t xml:space="preserve">Planning Report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3xqne0iwz79g" w:id="0"/>
      <w:bookmarkEnd w:id="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Lexend" w:cs="Lexend" w:eastAsia="Lexend" w:hAnsi="Lexend"/>
          <w:b w:val="1"/>
          <w:color w:val="0070c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Project Name: MediPal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23127290 -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Nguyễn Kiến Hào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23127395 -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Anh Khoa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/ DevOps / Tester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23127500 -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Công Toàn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23127415 -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Hữu Lượng -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.75"/>
        <w:gridCol w:w="3656.25"/>
        <w:gridCol w:w="2160"/>
        <w:gridCol w:w="2160"/>
        <w:tblGridChange w:id="0">
          <w:tblGrid>
            <w:gridCol w:w="663.75"/>
            <w:gridCol w:w="3656.25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Prioritized?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Entire team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Design test cases, execution and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Entire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Automated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Entire Team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