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D998" w14:textId="006800E4" w:rsidR="00EE303E"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t> </w:t>
      </w:r>
      <w:r w:rsidRPr="00644F6B">
        <w:rPr>
          <w:rStyle w:val="Strong"/>
          <w:rFonts w:ascii="Calibri" w:hAnsi="Calibri" w:cs="Calibri"/>
          <w:color w:val="000000"/>
          <w:lang w:val="en-US"/>
        </w:rPr>
        <w:t>Reviewers' comments:</w:t>
      </w:r>
    </w:p>
    <w:p w14:paraId="0B30D733" w14:textId="7621521E" w:rsidR="00373856"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t>Reviewer #1:</w:t>
      </w:r>
      <w:r w:rsidRPr="00644F6B">
        <w:rPr>
          <w:rFonts w:ascii="Calibri" w:hAnsi="Calibri" w:cs="Calibri"/>
          <w:color w:val="000000"/>
          <w:lang w:val="en-US"/>
        </w:rPr>
        <w:br/>
      </w:r>
      <w:r w:rsidRPr="00644F6B">
        <w:rPr>
          <w:rFonts w:ascii="Calibri" w:hAnsi="Calibri" w:cs="Calibri"/>
          <w:color w:val="000000"/>
          <w:lang w:val="en-US"/>
        </w:rPr>
        <w:br/>
        <w:t>This paper presents pathways for the European energy system under different stringencies of climate targets and different constraints on the availability of Russian gas. The pathways provide policy implications and energy system developments which could reduce dependency on Russian gas, meaning it is of significant current interest to the broader energy community. In terms of originality, the authors compare the longer-term implications to current literature on the impact of reducing reliance on Russian gas from the European Commission and the IEA which largely focus on nearer-term pathways to 2030. The bulk of the literature has been on the shorter-term impact of reduced Russian imports and therefore a longer-term outlook of the potential impacts, particularly in combination with different climate policies, provides highly relevant insights. Of particular importance is that in the Paris-aligned 1.5oC scenario, the rapid reduction in gas demand provides a pathway for a) meeting the Paris goal of keeping temperatures to 1.5oC and mitigating some of the worst impacts of climate change, b) reducing dependence on fossil fuels and the corresponding volatility of internationally traded prices, c) increasing energy security, and d) moving early can reduce power system costs etc. in the longer term. More discussion that a gas bridge is incompatible with a Paris aligned scenario would be useful, particularly given the authors highlight that gas has been highlighted as a "transition fuel" by the EC.</w:t>
      </w:r>
      <w:r w:rsidRPr="00644F6B">
        <w:rPr>
          <w:rFonts w:ascii="Calibri" w:hAnsi="Calibri" w:cs="Calibri"/>
          <w:color w:val="000000"/>
          <w:lang w:val="en-US"/>
        </w:rPr>
        <w:br/>
      </w:r>
      <w:r w:rsidRPr="00644F6B">
        <w:rPr>
          <w:rFonts w:ascii="Calibri" w:hAnsi="Calibri" w:cs="Calibri"/>
          <w:color w:val="000000"/>
          <w:lang w:val="en-US"/>
        </w:rPr>
        <w:br/>
        <w:t xml:space="preserve">The authors are to be commended on developing these scenarios and report in a short space of time. I believe with some revisions this paper can provide a useful and topical contribution to the literature around gas market uncertainties, geopolitics, and energy system </w:t>
      </w:r>
      <w:proofErr w:type="spellStart"/>
      <w:r w:rsidRPr="00644F6B">
        <w:rPr>
          <w:rFonts w:ascii="Calibri" w:hAnsi="Calibri" w:cs="Calibri"/>
          <w:color w:val="000000"/>
          <w:lang w:val="en-US"/>
        </w:rPr>
        <w:t>decarbonisation</w:t>
      </w:r>
      <w:proofErr w:type="spellEnd"/>
      <w:r w:rsidRPr="00644F6B">
        <w:rPr>
          <w:rFonts w:ascii="Calibri" w:hAnsi="Calibri" w:cs="Calibri"/>
          <w:color w:val="000000"/>
          <w:lang w:val="en-US"/>
        </w:rPr>
        <w:t>.</w:t>
      </w:r>
      <w:r w:rsidRPr="00644F6B">
        <w:rPr>
          <w:rFonts w:ascii="Calibri" w:hAnsi="Calibri" w:cs="Calibri"/>
          <w:color w:val="000000"/>
          <w:lang w:val="en-US"/>
        </w:rPr>
        <w:br/>
      </w:r>
      <w:r w:rsidRPr="00644F6B">
        <w:rPr>
          <w:rFonts w:ascii="Calibri" w:hAnsi="Calibri" w:cs="Calibri"/>
          <w:color w:val="000000"/>
          <w:lang w:val="en-US"/>
        </w:rPr>
        <w:br/>
        <w:t>However, in my opinion, several improvements could be made.</w:t>
      </w:r>
      <w:r w:rsidRPr="00644F6B">
        <w:rPr>
          <w:rFonts w:ascii="Calibri" w:hAnsi="Calibri" w:cs="Calibri"/>
          <w:color w:val="000000"/>
          <w:lang w:val="en-US"/>
        </w:rPr>
        <w:br/>
      </w:r>
      <w:r w:rsidRPr="00644F6B">
        <w:rPr>
          <w:rFonts w:ascii="Calibri" w:hAnsi="Calibri" w:cs="Calibri"/>
          <w:color w:val="000000"/>
          <w:lang w:val="en-US"/>
        </w:rPr>
        <w:br/>
        <w:t>There is limited discussion on the supply-side around specific gas market and wider energy system uncertainties and dynamics:</w:t>
      </w:r>
      <w:r w:rsidRPr="00644F6B">
        <w:rPr>
          <w:rFonts w:ascii="Calibri" w:hAnsi="Calibri" w:cs="Calibri"/>
          <w:color w:val="000000"/>
          <w:lang w:val="en-US"/>
        </w:rPr>
        <w:br/>
      </w:r>
      <w:r w:rsidRPr="00644F6B">
        <w:rPr>
          <w:rFonts w:ascii="Calibri" w:hAnsi="Calibri" w:cs="Calibri"/>
          <w:color w:val="000000"/>
          <w:lang w:val="en-US"/>
        </w:rPr>
        <w:br/>
        <w:t xml:space="preserve">* Limited/no discussion on supply diversification. For </w:t>
      </w:r>
      <w:proofErr w:type="gramStart"/>
      <w:r w:rsidRPr="00644F6B">
        <w:rPr>
          <w:rFonts w:ascii="Calibri" w:hAnsi="Calibri" w:cs="Calibri"/>
          <w:color w:val="000000"/>
          <w:lang w:val="en-US"/>
        </w:rPr>
        <w:t>example</w:t>
      </w:r>
      <w:proofErr w:type="gramEnd"/>
      <w:r w:rsidRPr="00644F6B">
        <w:rPr>
          <w:rFonts w:ascii="Calibri" w:hAnsi="Calibri" w:cs="Calibri"/>
          <w:color w:val="000000"/>
          <w:lang w:val="en-US"/>
        </w:rPr>
        <w:t xml:space="preserve"> the ability to increase/decrease take-or-pay contracted gas from Central Asia, North Africa, Middle East, and spot LNG imports from North America and elsewhere. The point about lots of existing infrastructure (regasification) being concentrated in Southern European gas markets (</w:t>
      </w:r>
      <w:proofErr w:type="gramStart"/>
      <w:r w:rsidRPr="00644F6B">
        <w:rPr>
          <w:rFonts w:ascii="Calibri" w:hAnsi="Calibri" w:cs="Calibri"/>
          <w:color w:val="000000"/>
          <w:lang w:val="en-US"/>
        </w:rPr>
        <w:t>e.g.</w:t>
      </w:r>
      <w:proofErr w:type="gramEnd"/>
      <w:r w:rsidRPr="00644F6B">
        <w:rPr>
          <w:rFonts w:ascii="Calibri" w:hAnsi="Calibri" w:cs="Calibri"/>
          <w:color w:val="000000"/>
          <w:lang w:val="en-US"/>
        </w:rPr>
        <w:t xml:space="preserve"> Spain) is a very important one, but the discussion could really do with widening in the modelling (i.e. is additional regasification capacity out to 2050 built, and if so where and when, and what are the risks of these assets being stranded, particularly in a 1.5oC scenario). Additionally, domestic European gas production is not discussed at all, especially Norway, as the supply side of gas markets is largely overlooked;</w:t>
      </w:r>
    </w:p>
    <w:p w14:paraId="77582F79" w14:textId="735DEC02" w:rsidR="00373856" w:rsidRPr="00644F6B" w:rsidRDefault="00373856">
      <w:pPr>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6278A8" w:rsidRPr="00644F6B" w14:paraId="6EE303D9" w14:textId="77777777" w:rsidTr="006278A8">
        <w:tc>
          <w:tcPr>
            <w:tcW w:w="9010" w:type="dxa"/>
            <w:tcBorders>
              <w:top w:val="single" w:sz="4" w:space="0" w:color="4472C4"/>
              <w:left w:val="single" w:sz="4" w:space="0" w:color="4472C4"/>
              <w:bottom w:val="single" w:sz="4" w:space="0" w:color="4472C4"/>
              <w:right w:val="single" w:sz="4" w:space="0" w:color="4472C4"/>
            </w:tcBorders>
          </w:tcPr>
          <w:p w14:paraId="37771970" w14:textId="77777777" w:rsidR="006278A8" w:rsidRPr="00644F6B" w:rsidRDefault="006278A8" w:rsidP="00EE303E">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05A13AF6" w14:textId="77777777" w:rsidR="00993565" w:rsidRPr="00644F6B" w:rsidRDefault="00993565" w:rsidP="00EE303E">
            <w:pPr>
              <w:pStyle w:val="NormalWeb"/>
              <w:spacing w:before="0" w:beforeAutospacing="0" w:after="0" w:afterAutospacing="0"/>
              <w:rPr>
                <w:rFonts w:ascii="Calibri" w:hAnsi="Calibri" w:cs="Calibri"/>
                <w:color w:val="4472C4" w:themeColor="accent1"/>
                <w:lang w:val="en-US"/>
              </w:rPr>
            </w:pPr>
          </w:p>
          <w:p w14:paraId="5F3A8777" w14:textId="5470F53B" w:rsidR="00876041" w:rsidRPr="00876041" w:rsidRDefault="00164F69" w:rsidP="00876041">
            <w:pPr>
              <w:pStyle w:val="NormalWeb"/>
              <w:spacing w:before="0" w:beforeAutospacing="0" w:after="0" w:afterAutospacing="0"/>
              <w:rPr>
                <w:rFonts w:ascii="Calibri" w:hAnsi="Calibri" w:cs="Calibri"/>
                <w:color w:val="4472C4" w:themeColor="accent1"/>
                <w:lang w:val="en-US"/>
              </w:rPr>
            </w:pPr>
            <w:r>
              <w:rPr>
                <w:rFonts w:ascii="Calibri" w:hAnsi="Calibri" w:cs="Calibri"/>
                <w:color w:val="4472C4" w:themeColor="accent1"/>
                <w:lang w:val="en-US"/>
              </w:rPr>
              <w:t>T</w:t>
            </w:r>
            <w:r w:rsidR="0077741A" w:rsidRPr="00644F6B">
              <w:rPr>
                <w:rFonts w:ascii="Calibri" w:hAnsi="Calibri" w:cs="Calibri"/>
                <w:color w:val="4472C4" w:themeColor="accent1"/>
                <w:lang w:val="en-US"/>
              </w:rPr>
              <w:t xml:space="preserve">he discussion on supply diversification </w:t>
            </w:r>
            <w:r w:rsidR="00984D71">
              <w:rPr>
                <w:rFonts w:ascii="Calibri" w:hAnsi="Calibri" w:cs="Calibri"/>
                <w:color w:val="4472C4" w:themeColor="accent1"/>
                <w:lang w:val="en-US"/>
              </w:rPr>
              <w:t>that you propose is relevant</w:t>
            </w:r>
            <w:r>
              <w:rPr>
                <w:rFonts w:ascii="Calibri" w:hAnsi="Calibri" w:cs="Calibri"/>
                <w:color w:val="4472C4" w:themeColor="accent1"/>
                <w:lang w:val="en-US"/>
              </w:rPr>
              <w:t xml:space="preserve">, </w:t>
            </w:r>
            <w:r w:rsidR="0071624D">
              <w:rPr>
                <w:rFonts w:ascii="Calibri" w:hAnsi="Calibri" w:cs="Calibri"/>
                <w:color w:val="4472C4" w:themeColor="accent1"/>
                <w:lang w:val="en-US"/>
              </w:rPr>
              <w:t xml:space="preserve">which is why </w:t>
            </w:r>
            <w:r w:rsidR="006E7475" w:rsidRPr="006E7475">
              <w:rPr>
                <w:rFonts w:ascii="Calibri" w:hAnsi="Calibri" w:cs="Calibri"/>
                <w:color w:val="4472C4" w:themeColor="accent1"/>
                <w:lang w:val="en-US"/>
              </w:rPr>
              <w:t>we</w:t>
            </w:r>
            <w:r w:rsidR="006E7475">
              <w:rPr>
                <w:rFonts w:ascii="Calibri" w:hAnsi="Calibri" w:cs="Calibri"/>
                <w:color w:val="4472C4" w:themeColor="accent1"/>
                <w:lang w:val="en-US"/>
              </w:rPr>
              <w:t xml:space="preserve"> </w:t>
            </w:r>
            <w:r w:rsidR="0071624D">
              <w:rPr>
                <w:rFonts w:ascii="Calibri" w:hAnsi="Calibri" w:cs="Calibri"/>
                <w:color w:val="4472C4" w:themeColor="accent1"/>
                <w:lang w:val="en-US"/>
              </w:rPr>
              <w:t xml:space="preserve">have extended our analysis in this matter. </w:t>
            </w:r>
            <w:r w:rsidR="00373856">
              <w:rPr>
                <w:rFonts w:ascii="Calibri" w:hAnsi="Calibri" w:cs="Calibri"/>
                <w:color w:val="4472C4" w:themeColor="accent1"/>
                <w:lang w:val="en-US"/>
              </w:rPr>
              <w:t xml:space="preserve">Our initial submission </w:t>
            </w:r>
            <w:r w:rsidR="00D818D9">
              <w:rPr>
                <w:rFonts w:ascii="Calibri" w:hAnsi="Calibri" w:cs="Calibri"/>
                <w:color w:val="4472C4" w:themeColor="accent1"/>
                <w:lang w:val="en-US"/>
              </w:rPr>
              <w:t xml:space="preserve">considered the European gas supply </w:t>
            </w:r>
            <w:r w:rsidR="005C6A76">
              <w:rPr>
                <w:rFonts w:ascii="Calibri" w:hAnsi="Calibri" w:cs="Calibri"/>
                <w:color w:val="4472C4" w:themeColor="accent1"/>
                <w:lang w:val="en-US"/>
              </w:rPr>
              <w:t xml:space="preserve">in 2019 (4700 </w:t>
            </w:r>
            <w:proofErr w:type="spellStart"/>
            <w:r w:rsidR="005C6A76">
              <w:rPr>
                <w:rFonts w:ascii="Calibri" w:hAnsi="Calibri" w:cs="Calibri"/>
                <w:color w:val="4472C4" w:themeColor="accent1"/>
                <w:lang w:val="en-US"/>
              </w:rPr>
              <w:t>TWh</w:t>
            </w:r>
            <w:proofErr w:type="spellEnd"/>
            <w:r w:rsidR="005C6A76">
              <w:rPr>
                <w:rFonts w:ascii="Calibri" w:hAnsi="Calibri" w:cs="Calibri"/>
                <w:color w:val="4472C4" w:themeColor="accent1"/>
                <w:lang w:val="en-US"/>
              </w:rPr>
              <w:t xml:space="preserve">), which includes </w:t>
            </w:r>
            <w:r w:rsidR="006D1AD4">
              <w:rPr>
                <w:rFonts w:ascii="Calibri" w:hAnsi="Calibri" w:cs="Calibri"/>
                <w:color w:val="4472C4" w:themeColor="accent1"/>
                <w:lang w:val="en-US"/>
              </w:rPr>
              <w:t xml:space="preserve">1) </w:t>
            </w:r>
            <w:r w:rsidR="005C6A76">
              <w:rPr>
                <w:rFonts w:ascii="Calibri" w:hAnsi="Calibri" w:cs="Calibri"/>
                <w:color w:val="4472C4" w:themeColor="accent1"/>
                <w:lang w:val="en-US"/>
              </w:rPr>
              <w:t xml:space="preserve">own production, </w:t>
            </w:r>
            <w:r w:rsidR="006D1AD4">
              <w:rPr>
                <w:rFonts w:ascii="Calibri" w:hAnsi="Calibri" w:cs="Calibri"/>
                <w:color w:val="4472C4" w:themeColor="accent1"/>
                <w:lang w:val="en-US"/>
              </w:rPr>
              <w:t xml:space="preserve">2) </w:t>
            </w:r>
            <w:r w:rsidR="00A6010C">
              <w:rPr>
                <w:rFonts w:ascii="Calibri" w:hAnsi="Calibri" w:cs="Calibri"/>
                <w:color w:val="4472C4" w:themeColor="accent1"/>
                <w:lang w:val="en-US"/>
              </w:rPr>
              <w:t>import</w:t>
            </w:r>
            <w:r w:rsidR="0020397F">
              <w:rPr>
                <w:rFonts w:ascii="Calibri" w:hAnsi="Calibri" w:cs="Calibri"/>
                <w:color w:val="4472C4" w:themeColor="accent1"/>
                <w:lang w:val="en-US"/>
              </w:rPr>
              <w:t xml:space="preserve">s via gas </w:t>
            </w:r>
            <w:r w:rsidR="0020397F">
              <w:rPr>
                <w:rFonts w:ascii="Calibri" w:hAnsi="Calibri" w:cs="Calibri"/>
                <w:color w:val="4472C4" w:themeColor="accent1"/>
                <w:lang w:val="en-US"/>
              </w:rPr>
              <w:lastRenderedPageBreak/>
              <w:t>pipelines</w:t>
            </w:r>
            <w:r w:rsidR="00E407AC">
              <w:rPr>
                <w:rFonts w:ascii="Calibri" w:hAnsi="Calibri" w:cs="Calibri"/>
                <w:color w:val="4472C4" w:themeColor="accent1"/>
                <w:lang w:val="en-US"/>
              </w:rPr>
              <w:t xml:space="preserve"> and </w:t>
            </w:r>
            <w:r w:rsidR="006D1AD4">
              <w:rPr>
                <w:rFonts w:ascii="Calibri" w:hAnsi="Calibri" w:cs="Calibri"/>
                <w:color w:val="4472C4" w:themeColor="accent1"/>
                <w:lang w:val="en-US"/>
              </w:rPr>
              <w:t xml:space="preserve">3) </w:t>
            </w:r>
            <w:r w:rsidR="007F557A">
              <w:rPr>
                <w:rFonts w:ascii="Calibri" w:hAnsi="Calibri" w:cs="Calibri"/>
                <w:color w:val="4472C4" w:themeColor="accent1"/>
                <w:lang w:val="en-US"/>
              </w:rPr>
              <w:t xml:space="preserve">imports from </w:t>
            </w:r>
            <w:r w:rsidR="00E407AC">
              <w:rPr>
                <w:rFonts w:ascii="Calibri" w:hAnsi="Calibri" w:cs="Calibri"/>
                <w:color w:val="4472C4" w:themeColor="accent1"/>
                <w:lang w:val="en-US"/>
              </w:rPr>
              <w:t>shipping (LNG).</w:t>
            </w:r>
            <w:r w:rsidR="007F557A">
              <w:rPr>
                <w:rFonts w:ascii="Calibri" w:hAnsi="Calibri" w:cs="Calibri"/>
                <w:color w:val="4472C4" w:themeColor="accent1"/>
                <w:lang w:val="en-US"/>
              </w:rPr>
              <w:t xml:space="preserve"> </w:t>
            </w:r>
            <w:r w:rsidR="009B1D8E">
              <w:rPr>
                <w:rFonts w:ascii="Calibri" w:hAnsi="Calibri" w:cs="Calibri"/>
                <w:color w:val="4472C4" w:themeColor="accent1"/>
                <w:lang w:val="en-US"/>
              </w:rPr>
              <w:t xml:space="preserve">It is true that limiting </w:t>
            </w:r>
            <w:r w:rsidR="004A1E22">
              <w:rPr>
                <w:rFonts w:ascii="Calibri" w:hAnsi="Calibri" w:cs="Calibri"/>
                <w:color w:val="4472C4" w:themeColor="accent1"/>
                <w:lang w:val="en-US"/>
              </w:rPr>
              <w:t>one of these</w:t>
            </w:r>
            <w:r w:rsidR="006D1AD4">
              <w:rPr>
                <w:rFonts w:ascii="Calibri" w:hAnsi="Calibri" w:cs="Calibri"/>
                <w:color w:val="4472C4" w:themeColor="accent1"/>
                <w:lang w:val="en-US"/>
              </w:rPr>
              <w:t xml:space="preserve"> three source</w:t>
            </w:r>
            <w:r w:rsidR="002E0A4D">
              <w:rPr>
                <w:rFonts w:ascii="Calibri" w:hAnsi="Calibri" w:cs="Calibri"/>
                <w:color w:val="4472C4" w:themeColor="accent1"/>
                <w:lang w:val="en-US"/>
              </w:rPr>
              <w:t>s</w:t>
            </w:r>
            <w:r w:rsidR="00091F36">
              <w:rPr>
                <w:rFonts w:ascii="Calibri" w:hAnsi="Calibri" w:cs="Calibri"/>
                <w:color w:val="4472C4" w:themeColor="accent1"/>
                <w:lang w:val="en-US"/>
              </w:rPr>
              <w:t xml:space="preserve"> might increase deliverance of gas</w:t>
            </w:r>
            <w:r w:rsidR="00A36106">
              <w:rPr>
                <w:rFonts w:ascii="Calibri" w:hAnsi="Calibri" w:cs="Calibri"/>
                <w:color w:val="4472C4" w:themeColor="accent1"/>
                <w:lang w:val="en-US"/>
              </w:rPr>
              <w:t xml:space="preserve"> from the others</w:t>
            </w:r>
            <w:r w:rsidR="00091F36">
              <w:rPr>
                <w:rFonts w:ascii="Calibri" w:hAnsi="Calibri" w:cs="Calibri"/>
                <w:color w:val="4472C4" w:themeColor="accent1"/>
                <w:lang w:val="en-US"/>
              </w:rPr>
              <w:t xml:space="preserve">. </w:t>
            </w:r>
            <w:r w:rsidR="00C93185">
              <w:rPr>
                <w:rFonts w:ascii="Calibri" w:hAnsi="Calibri" w:cs="Calibri"/>
                <w:color w:val="4472C4" w:themeColor="accent1"/>
                <w:lang w:val="en-US"/>
              </w:rPr>
              <w:t xml:space="preserve">In our </w:t>
            </w:r>
            <w:r w:rsidR="00451863">
              <w:rPr>
                <w:rFonts w:ascii="Calibri" w:hAnsi="Calibri" w:cs="Calibri"/>
                <w:color w:val="4472C4" w:themeColor="accent1"/>
                <w:lang w:val="en-US"/>
              </w:rPr>
              <w:t xml:space="preserve">revised version, we allow </w:t>
            </w:r>
            <w:r w:rsidR="00025A0B">
              <w:rPr>
                <w:rFonts w:ascii="Calibri" w:hAnsi="Calibri" w:cs="Calibri"/>
                <w:color w:val="4472C4" w:themeColor="accent1"/>
                <w:lang w:val="en-US"/>
              </w:rPr>
              <w:t xml:space="preserve">additional LNG </w:t>
            </w:r>
            <w:r w:rsidR="000D18C6">
              <w:rPr>
                <w:rFonts w:ascii="Calibri" w:hAnsi="Calibri" w:cs="Calibri"/>
                <w:color w:val="4472C4" w:themeColor="accent1"/>
                <w:lang w:val="en-US"/>
              </w:rPr>
              <w:t xml:space="preserve">regasification </w:t>
            </w:r>
            <w:r w:rsidR="00025A0B">
              <w:rPr>
                <w:rFonts w:ascii="Calibri" w:hAnsi="Calibri" w:cs="Calibri"/>
                <w:color w:val="4472C4" w:themeColor="accent1"/>
                <w:lang w:val="en-US"/>
              </w:rPr>
              <w:t xml:space="preserve">terminals to be installed, </w:t>
            </w:r>
            <w:r w:rsidR="0074507F">
              <w:rPr>
                <w:rFonts w:ascii="Calibri" w:hAnsi="Calibri" w:cs="Calibri"/>
                <w:color w:val="4472C4" w:themeColor="accent1"/>
                <w:lang w:val="en-US"/>
              </w:rPr>
              <w:t xml:space="preserve">enabling </w:t>
            </w:r>
            <w:r w:rsidR="004F1EAB">
              <w:rPr>
                <w:rFonts w:ascii="Calibri" w:hAnsi="Calibri" w:cs="Calibri"/>
                <w:color w:val="4472C4" w:themeColor="accent1"/>
                <w:lang w:val="en-US"/>
              </w:rPr>
              <w:t xml:space="preserve">the imports </w:t>
            </w:r>
            <w:r w:rsidR="000D18C6">
              <w:rPr>
                <w:rFonts w:ascii="Calibri" w:hAnsi="Calibri" w:cs="Calibri"/>
                <w:color w:val="4472C4" w:themeColor="accent1"/>
                <w:lang w:val="en-US"/>
              </w:rPr>
              <w:t xml:space="preserve">from shipping to increase. </w:t>
            </w:r>
            <w:r w:rsidR="006131EC">
              <w:rPr>
                <w:rFonts w:ascii="Calibri" w:hAnsi="Calibri" w:cs="Calibri"/>
                <w:color w:val="4472C4" w:themeColor="accent1"/>
                <w:lang w:val="en-US"/>
              </w:rPr>
              <w:t>Assuming a</w:t>
            </w:r>
            <w:r w:rsidR="002E0A4D">
              <w:rPr>
                <w:rFonts w:ascii="Calibri" w:hAnsi="Calibri" w:cs="Calibri"/>
                <w:color w:val="4472C4" w:themeColor="accent1"/>
                <w:lang w:val="en-US"/>
              </w:rPr>
              <w:t>n</w:t>
            </w:r>
            <w:r w:rsidR="006131EC">
              <w:rPr>
                <w:rFonts w:ascii="Calibri" w:hAnsi="Calibri" w:cs="Calibri"/>
                <w:color w:val="4472C4" w:themeColor="accent1"/>
                <w:lang w:val="en-US"/>
              </w:rPr>
              <w:t xml:space="preserve"> LNG price of 1.9 times the </w:t>
            </w:r>
            <w:r w:rsidR="006C3BE0">
              <w:rPr>
                <w:rFonts w:ascii="Calibri" w:hAnsi="Calibri" w:cs="Calibri"/>
                <w:color w:val="4472C4" w:themeColor="accent1"/>
                <w:lang w:val="en-US"/>
              </w:rPr>
              <w:t>natural gas price [1]</w:t>
            </w:r>
            <w:r w:rsidR="006051EC">
              <w:rPr>
                <w:rFonts w:ascii="Calibri" w:hAnsi="Calibri" w:cs="Calibri"/>
                <w:color w:val="4472C4" w:themeColor="accent1"/>
                <w:lang w:val="en-US"/>
              </w:rPr>
              <w:t>, and a capacity cost of 70 EUR/kW</w:t>
            </w:r>
            <w:r w:rsidR="00C91BCD">
              <w:rPr>
                <w:rFonts w:ascii="Calibri" w:hAnsi="Calibri" w:cs="Calibri"/>
                <w:color w:val="4472C4" w:themeColor="accent1"/>
                <w:lang w:val="en-US"/>
              </w:rPr>
              <w:t xml:space="preserve"> [2]</w:t>
            </w:r>
            <w:r w:rsidR="006051EC">
              <w:rPr>
                <w:rFonts w:ascii="Calibri" w:hAnsi="Calibri" w:cs="Calibri"/>
                <w:color w:val="4472C4" w:themeColor="accent1"/>
                <w:lang w:val="en-US"/>
              </w:rPr>
              <w:t xml:space="preserve">, </w:t>
            </w:r>
            <w:r w:rsidR="00E22E5C">
              <w:rPr>
                <w:rFonts w:ascii="Calibri" w:hAnsi="Calibri" w:cs="Calibri"/>
                <w:color w:val="4472C4" w:themeColor="accent1"/>
                <w:lang w:val="en-US"/>
              </w:rPr>
              <w:t xml:space="preserve">only a marginal difference is observed, compared to our results without additional LNG capacities. </w:t>
            </w:r>
            <w:r w:rsidR="00876041">
              <w:rPr>
                <w:rFonts w:ascii="Calibri" w:hAnsi="Calibri" w:cs="Calibri"/>
                <w:color w:val="4472C4" w:themeColor="accent1"/>
                <w:lang w:val="en-US"/>
              </w:rPr>
              <w:br/>
            </w:r>
          </w:p>
          <w:p w14:paraId="5BFFEFBF" w14:textId="42E5B2C5" w:rsidR="00876041" w:rsidRDefault="00876041" w:rsidP="00876041">
            <w:pPr>
              <w:pStyle w:val="NormalWeb"/>
              <w:spacing w:before="0" w:beforeAutospacing="0" w:after="0" w:afterAutospacing="0"/>
              <w:rPr>
                <w:rFonts w:ascii="Calibri" w:hAnsi="Calibri" w:cs="Calibri"/>
                <w:color w:val="4472C4" w:themeColor="accent1"/>
                <w:lang w:val="en-US"/>
              </w:rPr>
            </w:pPr>
            <w:r w:rsidRPr="00876041">
              <w:rPr>
                <w:rFonts w:ascii="Calibri" w:hAnsi="Calibri" w:cs="Calibri"/>
                <w:color w:val="4472C4" w:themeColor="accent1"/>
                <w:lang w:val="en-US"/>
              </w:rPr>
              <w:t>When allowing the capacity of LNG regasification terminals to expand, enabling an increased import of LNG, new terminals are only installed in the 2</w:t>
            </w:r>
            <w:r>
              <w:rPr>
                <w:rFonts w:ascii="Calibri" w:hAnsi="Calibri" w:cs="Calibri"/>
                <w:color w:val="4472C4" w:themeColor="accent1"/>
                <w:lang w:val="en-US"/>
              </w:rPr>
              <w:t>C</w:t>
            </w:r>
            <w:r w:rsidRPr="00876041">
              <w:rPr>
                <w:rFonts w:ascii="Calibri" w:hAnsi="Calibri" w:cs="Calibri"/>
                <w:color w:val="4472C4" w:themeColor="accent1"/>
                <w:lang w:val="en-US"/>
              </w:rPr>
              <w:t xml:space="preserve"> scenario, and then only used in the first 10 years</w:t>
            </w:r>
            <w:r>
              <w:rPr>
                <w:rFonts w:ascii="Calibri" w:hAnsi="Calibri" w:cs="Calibri"/>
                <w:color w:val="4472C4" w:themeColor="accent1"/>
                <w:lang w:val="en-US"/>
              </w:rPr>
              <w:t xml:space="preserve">. </w:t>
            </w:r>
            <w:r w:rsidRPr="00876041">
              <w:rPr>
                <w:rFonts w:ascii="Calibri" w:hAnsi="Calibri" w:cs="Calibri"/>
                <w:color w:val="4472C4" w:themeColor="accent1"/>
                <w:lang w:val="en-US"/>
              </w:rPr>
              <w:t>System cost is marginally reduced in the following years, despite terminals being stranded assets, because less, more-expensive coal power capacity needs to be deployed</w:t>
            </w:r>
            <w:r w:rsidR="006C7D7C">
              <w:rPr>
                <w:rFonts w:ascii="Calibri" w:hAnsi="Calibri" w:cs="Calibri"/>
                <w:color w:val="4472C4" w:themeColor="accent1"/>
                <w:lang w:val="en-US"/>
              </w:rPr>
              <w:t>.</w:t>
            </w:r>
            <w:r w:rsidRPr="00876041">
              <w:rPr>
                <w:rFonts w:ascii="Calibri" w:hAnsi="Calibri" w:cs="Calibri"/>
                <w:color w:val="4472C4" w:themeColor="accent1"/>
                <w:lang w:val="en-US"/>
              </w:rPr>
              <w:t xml:space="preserve"> The LNG terminal expansion is only cost-optimal in the 1.5</w:t>
            </w:r>
            <w:r w:rsidR="006C7D7C">
              <w:rPr>
                <w:rFonts w:ascii="Calibri" w:hAnsi="Calibri" w:cs="Calibri"/>
                <w:color w:val="4472C4" w:themeColor="accent1"/>
                <w:lang w:val="en-US"/>
              </w:rPr>
              <w:t xml:space="preserve">C </w:t>
            </w:r>
            <w:r w:rsidRPr="00876041">
              <w:rPr>
                <w:rFonts w:ascii="Calibri" w:hAnsi="Calibri" w:cs="Calibri"/>
                <w:color w:val="4472C4" w:themeColor="accent1"/>
                <w:lang w:val="en-US"/>
              </w:rPr>
              <w:t>when coal price is quadrupled. Lastly, allowing LNG still entails a delayed coal phaseout</w:t>
            </w:r>
            <w:r w:rsidR="006C7D7C">
              <w:rPr>
                <w:rFonts w:ascii="Calibri" w:hAnsi="Calibri" w:cs="Calibri"/>
                <w:color w:val="4472C4" w:themeColor="accent1"/>
                <w:lang w:val="en-US"/>
              </w:rPr>
              <w:t>.</w:t>
            </w:r>
          </w:p>
          <w:p w14:paraId="16E05A8B" w14:textId="77777777" w:rsidR="00DC378C" w:rsidRDefault="00DC378C" w:rsidP="00876041">
            <w:pPr>
              <w:pStyle w:val="NormalWeb"/>
              <w:spacing w:before="0" w:beforeAutospacing="0" w:after="0" w:afterAutospacing="0"/>
              <w:rPr>
                <w:rFonts w:ascii="Calibri" w:hAnsi="Calibri" w:cs="Calibri"/>
                <w:color w:val="4472C4" w:themeColor="accent1"/>
                <w:lang w:val="en-US"/>
              </w:rPr>
            </w:pPr>
          </w:p>
          <w:p w14:paraId="1DB906AB" w14:textId="77777777" w:rsidR="00257793" w:rsidRDefault="009C6CE7" w:rsidP="00257793">
            <w:pPr>
              <w:pStyle w:val="NormalWeb"/>
              <w:spacing w:before="0" w:beforeAutospacing="0" w:after="0" w:afterAutospacing="0"/>
              <w:rPr>
                <w:rFonts w:ascii="Calibri" w:hAnsi="Calibri" w:cs="Calibri"/>
                <w:color w:val="4472C4" w:themeColor="accent1"/>
                <w:lang w:val="en-US"/>
              </w:rPr>
            </w:pPr>
            <w:r>
              <w:rPr>
                <w:rFonts w:ascii="Calibri" w:hAnsi="Calibri" w:cs="Calibri"/>
                <w:color w:val="4472C4" w:themeColor="accent1"/>
                <w:lang w:val="en-US"/>
              </w:rPr>
              <w:t>The discussion on domestic gas sources is also relevant.</w:t>
            </w:r>
            <w:r w:rsidR="00BB6F0B">
              <w:rPr>
                <w:rFonts w:ascii="Calibri" w:hAnsi="Calibri" w:cs="Calibri"/>
                <w:color w:val="4472C4" w:themeColor="accent1"/>
                <w:lang w:val="en-US"/>
              </w:rPr>
              <w:t xml:space="preserve"> </w:t>
            </w:r>
            <w:r w:rsidR="008A1749">
              <w:rPr>
                <w:rFonts w:ascii="Calibri" w:hAnsi="Calibri" w:cs="Calibri"/>
                <w:color w:val="4472C4" w:themeColor="accent1"/>
                <w:lang w:val="en-US"/>
              </w:rPr>
              <w:t xml:space="preserve">However, the capacity of these sources is not expected to change significantly [3]. </w:t>
            </w:r>
            <w:r w:rsidR="00187232">
              <w:rPr>
                <w:rFonts w:ascii="Calibri" w:hAnsi="Calibri" w:cs="Calibri"/>
                <w:color w:val="4472C4" w:themeColor="accent1"/>
                <w:lang w:val="en-US"/>
              </w:rPr>
              <w:t xml:space="preserve">We added </w:t>
            </w:r>
            <w:r w:rsidR="00BB6F0B">
              <w:rPr>
                <w:rFonts w:ascii="Calibri" w:hAnsi="Calibri" w:cs="Calibri"/>
                <w:color w:val="4472C4" w:themeColor="accent1"/>
                <w:lang w:val="en-US"/>
              </w:rPr>
              <w:t>the following sentence to the introduction</w:t>
            </w:r>
            <w:r w:rsidR="006457C0">
              <w:rPr>
                <w:rFonts w:ascii="Calibri" w:hAnsi="Calibri" w:cs="Calibri"/>
                <w:color w:val="4472C4" w:themeColor="accent1"/>
                <w:lang w:val="en-US"/>
              </w:rPr>
              <w:t>, explaining why we do not consider large expansion of internal gas production</w:t>
            </w:r>
            <w:r w:rsidR="00BB6F0B">
              <w:rPr>
                <w:rFonts w:ascii="Calibri" w:hAnsi="Calibri" w:cs="Calibri"/>
                <w:color w:val="4472C4" w:themeColor="accent1"/>
                <w:lang w:val="en-US"/>
              </w:rPr>
              <w:t>:</w:t>
            </w:r>
          </w:p>
          <w:p w14:paraId="5367755C" w14:textId="025BFB01" w:rsidR="00257793" w:rsidRPr="00257793" w:rsidRDefault="00257793" w:rsidP="00257793">
            <w:pPr>
              <w:pStyle w:val="NormalWeb"/>
              <w:spacing w:before="0" w:beforeAutospacing="0" w:after="0" w:afterAutospacing="0"/>
              <w:rPr>
                <w:rFonts w:ascii="Calibri" w:hAnsi="Calibri" w:cs="Calibri"/>
                <w:color w:val="4472C4" w:themeColor="accent1"/>
                <w:lang w:val="en-US"/>
              </w:rPr>
            </w:pPr>
            <w:r>
              <w:rPr>
                <w:rFonts w:ascii="Calibri" w:hAnsi="Calibri" w:cs="Calibri"/>
                <w:i/>
                <w:iCs/>
                <w:color w:val="4472C4" w:themeColor="accent1"/>
                <w:lang w:val="en-US"/>
              </w:rPr>
              <w:t>“</w:t>
            </w:r>
            <w:r w:rsidRPr="00257793">
              <w:rPr>
                <w:rFonts w:ascii="Calibri" w:hAnsi="Calibri" w:cs="Calibri"/>
                <w:i/>
                <w:iCs/>
                <w:color w:val="4472C4" w:themeColor="accent1"/>
                <w:lang w:val="en-US"/>
              </w:rPr>
              <w:t>In contrast, we do not</w:t>
            </w:r>
            <w:r>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consider a large expansion of internal gas production, including gas fields in Norway, as these sources</w:t>
            </w:r>
            <w:r>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combined can only be expected to provide an extra 10bcm per year</w:t>
            </w:r>
            <w:r>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20</w:t>
            </w:r>
            <w:r>
              <w:rPr>
                <w:rFonts w:ascii="Calibri" w:hAnsi="Calibri" w:cs="Calibri"/>
                <w:i/>
                <w:iCs/>
                <w:color w:val="4472C4" w:themeColor="accent1"/>
                <w:lang w:val="en-US"/>
              </w:rPr>
              <w:t>]”</w:t>
            </w:r>
          </w:p>
          <w:p w14:paraId="0107FA80" w14:textId="548C60BC" w:rsidR="00F50CBB" w:rsidRDefault="00F50CBB" w:rsidP="00876041">
            <w:pPr>
              <w:pStyle w:val="NormalWeb"/>
              <w:spacing w:before="0" w:beforeAutospacing="0" w:after="0" w:afterAutospacing="0"/>
              <w:rPr>
                <w:rFonts w:ascii="Calibri" w:hAnsi="Calibri" w:cs="Calibri"/>
                <w:color w:val="4472C4" w:themeColor="accent1"/>
                <w:lang w:val="en-US"/>
              </w:rPr>
            </w:pPr>
          </w:p>
          <w:p w14:paraId="2867EA7C" w14:textId="10961418" w:rsidR="00F50CBB" w:rsidRDefault="00F50CBB" w:rsidP="00876041">
            <w:pPr>
              <w:pStyle w:val="NormalWeb"/>
              <w:spacing w:before="0" w:beforeAutospacing="0" w:after="0" w:afterAutospacing="0"/>
              <w:rPr>
                <w:rFonts w:ascii="Calibri" w:hAnsi="Calibri" w:cs="Calibri"/>
                <w:color w:val="4472C4" w:themeColor="accent1"/>
                <w:lang w:val="en-US"/>
              </w:rPr>
            </w:pPr>
            <w:r>
              <w:rPr>
                <w:rFonts w:ascii="Calibri" w:hAnsi="Calibri" w:cs="Calibri"/>
                <w:color w:val="4472C4" w:themeColor="accent1"/>
                <w:lang w:val="en-US"/>
              </w:rPr>
              <w:t>These findings are all included in the revised manuscript.</w:t>
            </w:r>
          </w:p>
          <w:p w14:paraId="5598AB9D" w14:textId="32F10646" w:rsidR="002E0A4D" w:rsidRDefault="002E0A4D" w:rsidP="00580699">
            <w:pPr>
              <w:pStyle w:val="NormalWeb"/>
              <w:rPr>
                <w:rFonts w:ascii="Calibri" w:hAnsi="Calibri" w:cs="Calibri"/>
                <w:color w:val="4472C4" w:themeColor="accent1"/>
                <w:lang w:val="en-US"/>
              </w:rPr>
            </w:pPr>
            <w:r>
              <w:rPr>
                <w:rFonts w:ascii="Calibri" w:hAnsi="Calibri" w:cs="Calibri"/>
                <w:color w:val="4472C4" w:themeColor="accent1"/>
                <w:lang w:val="en-US"/>
              </w:rPr>
              <w:t xml:space="preserve">[1] </w:t>
            </w:r>
            <w:proofErr w:type="spellStart"/>
            <w:r w:rsidR="00106C5B" w:rsidRPr="00106C5B">
              <w:rPr>
                <w:rFonts w:ascii="Calibri" w:hAnsi="Calibri" w:cs="Calibri"/>
                <w:color w:val="4472C4" w:themeColor="accent1"/>
                <w:lang w:val="en-US"/>
              </w:rPr>
              <w:t>Hampp</w:t>
            </w:r>
            <w:proofErr w:type="spellEnd"/>
            <w:r w:rsidR="00106C5B" w:rsidRPr="00106C5B">
              <w:rPr>
                <w:rFonts w:ascii="Calibri" w:hAnsi="Calibri" w:cs="Calibri"/>
                <w:color w:val="4472C4" w:themeColor="accent1"/>
                <w:lang w:val="en-US"/>
              </w:rPr>
              <w:t xml:space="preserve">, J., </w:t>
            </w:r>
            <w:proofErr w:type="spellStart"/>
            <w:r w:rsidR="00106C5B" w:rsidRPr="00106C5B">
              <w:rPr>
                <w:rFonts w:ascii="Calibri" w:hAnsi="Calibri" w:cs="Calibri"/>
                <w:color w:val="4472C4" w:themeColor="accent1"/>
                <w:lang w:val="en-US"/>
              </w:rPr>
              <w:t>Düren</w:t>
            </w:r>
            <w:proofErr w:type="spellEnd"/>
            <w:r w:rsidR="00106C5B" w:rsidRPr="00106C5B">
              <w:rPr>
                <w:rFonts w:ascii="Calibri" w:hAnsi="Calibri" w:cs="Calibri"/>
                <w:color w:val="4472C4" w:themeColor="accent1"/>
                <w:lang w:val="en-US"/>
              </w:rPr>
              <w:t>, M., and Brown, T</w:t>
            </w:r>
            <w:r w:rsidR="00877AEE">
              <w:rPr>
                <w:rFonts w:ascii="Calibri" w:hAnsi="Calibri" w:cs="Calibri"/>
                <w:color w:val="4472C4" w:themeColor="accent1"/>
                <w:lang w:val="en-US"/>
              </w:rPr>
              <w:t>.,</w:t>
            </w:r>
            <w:r w:rsidR="00106C5B" w:rsidRPr="00106C5B">
              <w:rPr>
                <w:rFonts w:ascii="Calibri" w:hAnsi="Calibri" w:cs="Calibri"/>
                <w:color w:val="4472C4" w:themeColor="accent1"/>
                <w:lang w:val="en-US"/>
              </w:rPr>
              <w:t xml:space="preserve"> </w:t>
            </w:r>
            <w:r w:rsidR="00580699" w:rsidRPr="00580699">
              <w:rPr>
                <w:rFonts w:ascii="Calibri" w:hAnsi="Calibri" w:cs="Calibri"/>
                <w:color w:val="4472C4" w:themeColor="accent1"/>
                <w:lang w:val="en-US"/>
              </w:rPr>
              <w:t>“Import options for chemical energy carriers from renewable sources to Germany”</w:t>
            </w:r>
            <w:r w:rsidR="00877AEE">
              <w:rPr>
                <w:rFonts w:ascii="Calibri" w:hAnsi="Calibri" w:cs="Calibri"/>
                <w:color w:val="4472C4" w:themeColor="accent1"/>
                <w:lang w:val="en-US"/>
              </w:rPr>
              <w:t>, 2022,</w:t>
            </w:r>
            <w:r w:rsidR="00580699" w:rsidRPr="00580699">
              <w:rPr>
                <w:rFonts w:ascii="Calibri" w:hAnsi="Calibri" w:cs="Calibri"/>
                <w:color w:val="4472C4" w:themeColor="accent1"/>
                <w:lang w:val="en-US"/>
              </w:rPr>
              <w:t xml:space="preserve"> preprint</w:t>
            </w:r>
            <w:r w:rsidR="00877AEE">
              <w:rPr>
                <w:rFonts w:ascii="Calibri" w:hAnsi="Calibri" w:cs="Calibri"/>
                <w:color w:val="4472C4" w:themeColor="accent1"/>
                <w:lang w:val="en-US"/>
              </w:rPr>
              <w:t>,</w:t>
            </w:r>
            <w:r w:rsidR="00580699" w:rsidRPr="00580699">
              <w:rPr>
                <w:rFonts w:ascii="Calibri" w:hAnsi="Calibri" w:cs="Calibri"/>
                <w:color w:val="4472C4" w:themeColor="accent1"/>
                <w:lang w:val="en-US"/>
              </w:rPr>
              <w:t xml:space="preserve"> DOI: </w:t>
            </w:r>
            <w:hyperlink r:id="rId5" w:history="1">
              <w:r w:rsidR="00580699" w:rsidRPr="00CE2E9F">
                <w:rPr>
                  <w:rStyle w:val="Hyperlink"/>
                  <w:rFonts w:ascii="Calibri" w:hAnsi="Calibri" w:cs="Calibri"/>
                  <w:lang w:val="en-US"/>
                </w:rPr>
                <w:t>https://doi.org/10.48550/arXiv.2107.01092</w:t>
              </w:r>
            </w:hyperlink>
            <w:r w:rsidR="00580699">
              <w:rPr>
                <w:rFonts w:ascii="Calibri" w:hAnsi="Calibri" w:cs="Calibri"/>
                <w:color w:val="4472C4" w:themeColor="accent1"/>
                <w:lang w:val="en-US"/>
              </w:rPr>
              <w:t xml:space="preserve"> </w:t>
            </w:r>
          </w:p>
          <w:p w14:paraId="7E24BB34" w14:textId="6211995B" w:rsidR="006C3BE0" w:rsidRDefault="00877AEE" w:rsidP="00C91BCD">
            <w:pPr>
              <w:pStyle w:val="NormalWeb"/>
              <w:rPr>
                <w:rFonts w:ascii="Calibri" w:hAnsi="Calibri" w:cs="Calibri"/>
                <w:color w:val="4472C4" w:themeColor="accent1"/>
                <w:lang w:val="en-US"/>
              </w:rPr>
            </w:pPr>
            <w:r>
              <w:rPr>
                <w:rFonts w:ascii="Calibri" w:hAnsi="Calibri" w:cs="Calibri"/>
                <w:color w:val="4472C4" w:themeColor="accent1"/>
                <w:lang w:val="en-US"/>
              </w:rPr>
              <w:t xml:space="preserve">[2] </w:t>
            </w:r>
            <w:r w:rsidR="0038029C" w:rsidRPr="0038029C">
              <w:rPr>
                <w:rFonts w:ascii="Calibri" w:hAnsi="Calibri" w:cs="Calibri"/>
                <w:color w:val="4472C4" w:themeColor="accent1"/>
                <w:lang w:val="en-US"/>
              </w:rPr>
              <w:t>Lochner, S. and Bothe, D. “The development of natural gas supply costs to Europe, the United States and Japan</w:t>
            </w:r>
            <w:r w:rsidR="0038029C">
              <w:rPr>
                <w:rFonts w:ascii="Calibri" w:hAnsi="Calibri" w:cs="Calibri"/>
                <w:color w:val="4472C4" w:themeColor="accent1"/>
                <w:lang w:val="en-US"/>
              </w:rPr>
              <w:t xml:space="preserve"> </w:t>
            </w:r>
            <w:r w:rsidR="0038029C" w:rsidRPr="0038029C">
              <w:rPr>
                <w:rFonts w:ascii="Calibri" w:hAnsi="Calibri" w:cs="Calibri"/>
                <w:color w:val="4472C4" w:themeColor="accent1"/>
                <w:lang w:val="en-US"/>
              </w:rPr>
              <w:t>in a globalizing gas market—Model-based analysis until 2030”. In: Energy Policy 37.4 (2009), pp. 1518–1528.</w:t>
            </w:r>
            <w:r w:rsidR="0038029C">
              <w:rPr>
                <w:rFonts w:ascii="Calibri" w:hAnsi="Calibri" w:cs="Calibri"/>
                <w:color w:val="4472C4" w:themeColor="accent1"/>
                <w:lang w:val="en-US"/>
              </w:rPr>
              <w:t xml:space="preserve"> </w:t>
            </w:r>
            <w:r w:rsidR="0038029C" w:rsidRPr="0038029C">
              <w:rPr>
                <w:rFonts w:ascii="Calibri" w:hAnsi="Calibri" w:cs="Calibri"/>
                <w:color w:val="4472C4" w:themeColor="accent1"/>
                <w:lang w:val="en-US"/>
              </w:rPr>
              <w:t xml:space="preserve">ISSN: 0301-4215. DOI: </w:t>
            </w:r>
            <w:proofErr w:type="gramStart"/>
            <w:r w:rsidR="0038029C" w:rsidRPr="0038029C">
              <w:rPr>
                <w:rFonts w:ascii="Calibri" w:hAnsi="Calibri" w:cs="Calibri"/>
                <w:color w:val="4472C4" w:themeColor="accent1"/>
                <w:lang w:val="en-US"/>
              </w:rPr>
              <w:t>https :</w:t>
            </w:r>
            <w:proofErr w:type="gramEnd"/>
            <w:r w:rsidR="0038029C" w:rsidRPr="0038029C">
              <w:rPr>
                <w:rFonts w:ascii="Calibri" w:hAnsi="Calibri" w:cs="Calibri"/>
                <w:color w:val="4472C4" w:themeColor="accent1"/>
                <w:lang w:val="en-US"/>
              </w:rPr>
              <w:t xml:space="preserve"> / / </w:t>
            </w:r>
            <w:proofErr w:type="spellStart"/>
            <w:r w:rsidR="0038029C" w:rsidRPr="0038029C">
              <w:rPr>
                <w:rFonts w:ascii="Calibri" w:hAnsi="Calibri" w:cs="Calibri"/>
                <w:color w:val="4472C4" w:themeColor="accent1"/>
                <w:lang w:val="en-US"/>
              </w:rPr>
              <w:t>doi</w:t>
            </w:r>
            <w:proofErr w:type="spellEnd"/>
            <w:r w:rsidR="0038029C" w:rsidRPr="0038029C">
              <w:rPr>
                <w:rFonts w:ascii="Calibri" w:hAnsi="Calibri" w:cs="Calibri"/>
                <w:color w:val="4472C4" w:themeColor="accent1"/>
                <w:lang w:val="en-US"/>
              </w:rPr>
              <w:t xml:space="preserve"> . org / </w:t>
            </w:r>
            <w:proofErr w:type="gramStart"/>
            <w:r w:rsidR="0038029C" w:rsidRPr="0038029C">
              <w:rPr>
                <w:rFonts w:ascii="Calibri" w:hAnsi="Calibri" w:cs="Calibri"/>
                <w:color w:val="4472C4" w:themeColor="accent1"/>
                <w:lang w:val="en-US"/>
              </w:rPr>
              <w:t>10 .</w:t>
            </w:r>
            <w:proofErr w:type="gramEnd"/>
            <w:r w:rsidR="0038029C" w:rsidRPr="0038029C">
              <w:rPr>
                <w:rFonts w:ascii="Calibri" w:hAnsi="Calibri" w:cs="Calibri"/>
                <w:color w:val="4472C4" w:themeColor="accent1"/>
                <w:lang w:val="en-US"/>
              </w:rPr>
              <w:t xml:space="preserve"> 1016 / </w:t>
            </w:r>
            <w:proofErr w:type="gramStart"/>
            <w:r w:rsidR="0038029C" w:rsidRPr="0038029C">
              <w:rPr>
                <w:rFonts w:ascii="Calibri" w:hAnsi="Calibri" w:cs="Calibri"/>
                <w:color w:val="4472C4" w:themeColor="accent1"/>
                <w:lang w:val="en-US"/>
              </w:rPr>
              <w:t>j .</w:t>
            </w:r>
            <w:proofErr w:type="gramEnd"/>
            <w:r w:rsidR="0038029C" w:rsidRPr="0038029C">
              <w:rPr>
                <w:rFonts w:ascii="Calibri" w:hAnsi="Calibri" w:cs="Calibri"/>
                <w:color w:val="4472C4" w:themeColor="accent1"/>
                <w:lang w:val="en-US"/>
              </w:rPr>
              <w:t xml:space="preserve"> </w:t>
            </w:r>
            <w:proofErr w:type="spellStart"/>
            <w:proofErr w:type="gramStart"/>
            <w:r w:rsidR="0038029C" w:rsidRPr="0038029C">
              <w:rPr>
                <w:rFonts w:ascii="Calibri" w:hAnsi="Calibri" w:cs="Calibri"/>
                <w:color w:val="4472C4" w:themeColor="accent1"/>
                <w:lang w:val="en-US"/>
              </w:rPr>
              <w:t>enpol</w:t>
            </w:r>
            <w:proofErr w:type="spellEnd"/>
            <w:r w:rsidR="0038029C" w:rsidRPr="0038029C">
              <w:rPr>
                <w:rFonts w:ascii="Calibri" w:hAnsi="Calibri" w:cs="Calibri"/>
                <w:color w:val="4472C4" w:themeColor="accent1"/>
                <w:lang w:val="en-US"/>
              </w:rPr>
              <w:t xml:space="preserve"> .</w:t>
            </w:r>
            <w:proofErr w:type="gramEnd"/>
            <w:r w:rsidR="0038029C" w:rsidRPr="0038029C">
              <w:rPr>
                <w:rFonts w:ascii="Calibri" w:hAnsi="Calibri" w:cs="Calibri"/>
                <w:color w:val="4472C4" w:themeColor="accent1"/>
                <w:lang w:val="en-US"/>
              </w:rPr>
              <w:t xml:space="preserve"> </w:t>
            </w:r>
            <w:proofErr w:type="gramStart"/>
            <w:r w:rsidR="0038029C" w:rsidRPr="0038029C">
              <w:rPr>
                <w:rFonts w:ascii="Calibri" w:hAnsi="Calibri" w:cs="Calibri"/>
                <w:color w:val="4472C4" w:themeColor="accent1"/>
                <w:lang w:val="en-US"/>
              </w:rPr>
              <w:t>2008 .</w:t>
            </w:r>
            <w:proofErr w:type="gramEnd"/>
            <w:r w:rsidR="0038029C" w:rsidRPr="0038029C">
              <w:rPr>
                <w:rFonts w:ascii="Calibri" w:hAnsi="Calibri" w:cs="Calibri"/>
                <w:color w:val="4472C4" w:themeColor="accent1"/>
                <w:lang w:val="en-US"/>
              </w:rPr>
              <w:t xml:space="preserve"> </w:t>
            </w:r>
            <w:proofErr w:type="gramStart"/>
            <w:r w:rsidR="0038029C" w:rsidRPr="0038029C">
              <w:rPr>
                <w:rFonts w:ascii="Calibri" w:hAnsi="Calibri" w:cs="Calibri"/>
                <w:color w:val="4472C4" w:themeColor="accent1"/>
                <w:lang w:val="en-US"/>
              </w:rPr>
              <w:t>12 .</w:t>
            </w:r>
            <w:proofErr w:type="gramEnd"/>
            <w:r w:rsidR="0038029C" w:rsidRPr="0038029C">
              <w:rPr>
                <w:rFonts w:ascii="Calibri" w:hAnsi="Calibri" w:cs="Calibri"/>
                <w:color w:val="4472C4" w:themeColor="accent1"/>
                <w:lang w:val="en-US"/>
              </w:rPr>
              <w:t xml:space="preserve"> 012. URL:</w:t>
            </w:r>
            <w:r w:rsidR="0038029C">
              <w:rPr>
                <w:rFonts w:ascii="Calibri" w:hAnsi="Calibri" w:cs="Calibri"/>
                <w:color w:val="4472C4" w:themeColor="accent1"/>
                <w:lang w:val="en-US"/>
              </w:rPr>
              <w:t xml:space="preserve"> </w:t>
            </w:r>
            <w:hyperlink r:id="rId6" w:history="1">
              <w:r w:rsidR="0038029C" w:rsidRPr="00CE2E9F">
                <w:rPr>
                  <w:rStyle w:val="Hyperlink"/>
                  <w:rFonts w:ascii="Calibri" w:hAnsi="Calibri" w:cs="Calibri"/>
                  <w:lang w:val="en-US"/>
                </w:rPr>
                <w:t>https://www.sciencedirect.com/science/article/pii/S030142150800756</w:t>
              </w:r>
            </w:hyperlink>
            <w:r w:rsidR="0038029C">
              <w:rPr>
                <w:rFonts w:ascii="Calibri" w:hAnsi="Calibri" w:cs="Calibri"/>
                <w:color w:val="4472C4" w:themeColor="accent1"/>
                <w:lang w:val="en-US"/>
              </w:rPr>
              <w:t xml:space="preserve"> </w:t>
            </w:r>
          </w:p>
          <w:p w14:paraId="286B7C53" w14:textId="77777777" w:rsidR="00BB1A0C" w:rsidRPr="00257793" w:rsidRDefault="00BB1A0C" w:rsidP="00644F6B">
            <w:pPr>
              <w:pStyle w:val="NormalWeb"/>
              <w:rPr>
                <w:color w:val="4472C4" w:themeColor="accent1"/>
                <w:lang w:val="en-US" w:eastAsia="en-US"/>
              </w:rPr>
            </w:pPr>
            <w:r w:rsidRPr="00257793">
              <w:rPr>
                <w:rFonts w:ascii="Calibri" w:hAnsi="Calibri" w:cs="Calibri"/>
                <w:color w:val="4472C4" w:themeColor="accent1"/>
                <w:lang w:val="en-US"/>
              </w:rPr>
              <w:t xml:space="preserve">[3] </w:t>
            </w:r>
            <w:r w:rsidRPr="00257793">
              <w:rPr>
                <w:rFonts w:ascii="TimesNewRomanPSMT" w:hAnsi="TimesNewRomanPSMT"/>
                <w:color w:val="4472C4" w:themeColor="accent1"/>
                <w:sz w:val="20"/>
                <w:szCs w:val="20"/>
                <w:lang w:val="en-US"/>
              </w:rPr>
              <w:t xml:space="preserve">IEA. </w:t>
            </w:r>
            <w:r w:rsidRPr="00257793">
              <w:rPr>
                <w:rFonts w:ascii="TimesNewRomanPS" w:hAnsi="TimesNewRomanPS"/>
                <w:i/>
                <w:iCs/>
                <w:color w:val="4472C4" w:themeColor="accent1"/>
                <w:sz w:val="20"/>
                <w:szCs w:val="20"/>
                <w:lang w:val="en-US"/>
              </w:rPr>
              <w:t>A 10-Point Plan to Reduce the European Union</w:t>
            </w:r>
            <w:r w:rsidRPr="00257793">
              <w:rPr>
                <w:rFonts w:ascii="TimesNewRomanPS" w:hAnsi="TimesNewRomanPS" w:hint="eastAsia"/>
                <w:i/>
                <w:iCs/>
                <w:color w:val="4472C4" w:themeColor="accent1"/>
                <w:sz w:val="20"/>
                <w:szCs w:val="20"/>
                <w:lang w:val="en-US"/>
              </w:rPr>
              <w:t>’</w:t>
            </w:r>
            <w:r w:rsidRPr="00257793">
              <w:rPr>
                <w:rFonts w:ascii="TimesNewRomanPS" w:hAnsi="TimesNewRomanPS"/>
                <w:i/>
                <w:iCs/>
                <w:color w:val="4472C4" w:themeColor="accent1"/>
                <w:sz w:val="20"/>
                <w:szCs w:val="20"/>
                <w:lang w:val="en-US"/>
              </w:rPr>
              <w:t>s Reliance on Russian Natural Gas</w:t>
            </w:r>
            <w:r w:rsidRPr="00257793">
              <w:rPr>
                <w:rFonts w:ascii="TimesNewRomanPSMT" w:hAnsi="TimesNewRomanPSMT"/>
                <w:color w:val="4472C4" w:themeColor="accent1"/>
                <w:sz w:val="20"/>
                <w:szCs w:val="20"/>
                <w:lang w:val="en-US"/>
              </w:rPr>
              <w:t xml:space="preserve">. Tech. rep. 2022. URL: </w:t>
            </w:r>
            <w:r w:rsidRPr="00257793">
              <w:rPr>
                <w:rFonts w:ascii="LMMono10" w:hAnsi="LMMono10"/>
                <w:color w:val="4472C4" w:themeColor="accent1"/>
                <w:sz w:val="20"/>
                <w:szCs w:val="20"/>
                <w:lang w:val="en-US"/>
              </w:rPr>
              <w:t xml:space="preserve">https://www.iea.org/reports/a-10-point-plan-to-reduce-the-european-unions-reliance-on- </w:t>
            </w:r>
            <w:proofErr w:type="spellStart"/>
            <w:r w:rsidRPr="00257793">
              <w:rPr>
                <w:rFonts w:ascii="LMMono10" w:hAnsi="LMMono10"/>
                <w:color w:val="4472C4" w:themeColor="accent1"/>
                <w:sz w:val="20"/>
                <w:szCs w:val="20"/>
                <w:lang w:val="en-US"/>
              </w:rPr>
              <w:t>russian</w:t>
            </w:r>
            <w:proofErr w:type="spellEnd"/>
            <w:r w:rsidRPr="00257793">
              <w:rPr>
                <w:rFonts w:ascii="LMMono10" w:hAnsi="LMMono10"/>
                <w:color w:val="4472C4" w:themeColor="accent1"/>
                <w:sz w:val="20"/>
                <w:szCs w:val="20"/>
                <w:lang w:val="en-US"/>
              </w:rPr>
              <w:t>-natural-gas</w:t>
            </w:r>
            <w:r w:rsidRPr="00257793">
              <w:rPr>
                <w:rFonts w:ascii="TimesNewRomanPSMT" w:hAnsi="TimesNewRomanPSMT"/>
                <w:color w:val="4472C4" w:themeColor="accent1"/>
                <w:sz w:val="20"/>
                <w:szCs w:val="20"/>
                <w:lang w:val="en-US"/>
              </w:rPr>
              <w:t xml:space="preserve">. </w:t>
            </w:r>
          </w:p>
          <w:p w14:paraId="11928CD9" w14:textId="3E8D3A0B" w:rsidR="008A1749" w:rsidRDefault="008A1749" w:rsidP="00C91BCD">
            <w:pPr>
              <w:pStyle w:val="NormalWeb"/>
              <w:rPr>
                <w:rFonts w:ascii="Calibri" w:hAnsi="Calibri" w:cs="Calibri"/>
                <w:color w:val="4472C4" w:themeColor="accent1"/>
                <w:lang w:val="en-US"/>
              </w:rPr>
            </w:pPr>
          </w:p>
          <w:p w14:paraId="540C1734" w14:textId="1CF3A3F8" w:rsidR="00993565" w:rsidRPr="00644F6B" w:rsidRDefault="004A1E22" w:rsidP="00164F69">
            <w:pPr>
              <w:pStyle w:val="NormalWeb"/>
              <w:spacing w:before="0" w:beforeAutospacing="0" w:after="0" w:afterAutospacing="0"/>
              <w:rPr>
                <w:rFonts w:ascii="Calibri" w:hAnsi="Calibri" w:cs="Calibri"/>
                <w:color w:val="4472C4" w:themeColor="accent1"/>
                <w:lang w:val="en-US"/>
              </w:rPr>
            </w:pPr>
            <w:r>
              <w:rPr>
                <w:rFonts w:ascii="Calibri" w:hAnsi="Calibri" w:cs="Calibri"/>
                <w:color w:val="4472C4" w:themeColor="accent1"/>
                <w:lang w:val="en-US"/>
              </w:rPr>
              <w:t xml:space="preserve"> </w:t>
            </w:r>
            <w:r w:rsidR="00E407AC">
              <w:rPr>
                <w:rFonts w:ascii="Calibri" w:hAnsi="Calibri" w:cs="Calibri"/>
                <w:color w:val="4472C4" w:themeColor="accent1"/>
                <w:lang w:val="en-US"/>
              </w:rPr>
              <w:t xml:space="preserve"> </w:t>
            </w:r>
          </w:p>
        </w:tc>
      </w:tr>
    </w:tbl>
    <w:p w14:paraId="2305BB7C" w14:textId="2DF6581C" w:rsidR="006278A8"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lastRenderedPageBreak/>
        <w:br/>
      </w:r>
      <w:r w:rsidRPr="00644F6B">
        <w:rPr>
          <w:rFonts w:ascii="Calibri" w:hAnsi="Calibri" w:cs="Calibri"/>
          <w:color w:val="000000"/>
          <w:lang w:val="en-US"/>
        </w:rPr>
        <w:br/>
        <w:t xml:space="preserve">* If the focus is on the long-term, including different levels of European energy system </w:t>
      </w:r>
      <w:proofErr w:type="spellStart"/>
      <w:r w:rsidRPr="00644F6B">
        <w:rPr>
          <w:rFonts w:ascii="Calibri" w:hAnsi="Calibri" w:cs="Calibri"/>
          <w:color w:val="000000"/>
          <w:lang w:val="en-US"/>
        </w:rPr>
        <w:t>decarbonisation</w:t>
      </w:r>
      <w:proofErr w:type="spellEnd"/>
      <w:r w:rsidRPr="00644F6B">
        <w:rPr>
          <w:rFonts w:ascii="Calibri" w:hAnsi="Calibri" w:cs="Calibri"/>
          <w:color w:val="000000"/>
          <w:lang w:val="en-US"/>
        </w:rPr>
        <w:t xml:space="preserve">, then there needs to be more discussion, at least in a supplementary document, on the assumptions being made around the growth/decline of different technologies, otherwise it is difficult for the reader to determine the feasibility of the </w:t>
      </w:r>
      <w:r w:rsidRPr="00644F6B">
        <w:rPr>
          <w:rFonts w:ascii="Calibri" w:hAnsi="Calibri" w:cs="Calibri"/>
          <w:color w:val="000000"/>
          <w:lang w:val="en-US"/>
        </w:rPr>
        <w:lastRenderedPageBreak/>
        <w:t>results:</w:t>
      </w:r>
      <w:r w:rsidRPr="00644F6B">
        <w:rPr>
          <w:rFonts w:ascii="Calibri" w:hAnsi="Calibri" w:cs="Calibri"/>
          <w:color w:val="000000"/>
          <w:lang w:val="en-US"/>
        </w:rPr>
        <w:br/>
        <w:t xml:space="preserve">o As with all IAMs, the speed at which different technologies are allowed to grow/decline are hugely important parameters and play a fundamental role in shaping the scenario outputs. The 2019-2030 growth rates for the deployment of solar PV are feasible in terms of historical European growth rates (~ 20% for solar between 2010 and 2017), however more data on assumptions around other technologies (including wind, </w:t>
      </w:r>
      <w:proofErr w:type="gramStart"/>
      <w:r w:rsidRPr="00644F6B">
        <w:rPr>
          <w:rFonts w:ascii="Calibri" w:hAnsi="Calibri" w:cs="Calibri"/>
          <w:color w:val="000000"/>
          <w:lang w:val="en-US"/>
        </w:rPr>
        <w:t>e.g.</w:t>
      </w:r>
      <w:proofErr w:type="gramEnd"/>
      <w:r w:rsidRPr="00644F6B">
        <w:rPr>
          <w:rFonts w:ascii="Calibri" w:hAnsi="Calibri" w:cs="Calibri"/>
          <w:color w:val="000000"/>
          <w:lang w:val="en-US"/>
        </w:rPr>
        <w:t xml:space="preserve"> offshore wind looks to be growing at about 30% per year between 2019 and 2030) would be useful.</w:t>
      </w:r>
      <w:r w:rsidRPr="00644F6B">
        <w:rPr>
          <w:rFonts w:ascii="Calibri" w:hAnsi="Calibri" w:cs="Calibri"/>
          <w:color w:val="000000"/>
          <w:lang w:val="en-US"/>
        </w:rPr>
        <w:br/>
      </w:r>
    </w:p>
    <w:p w14:paraId="684DCEC0" w14:textId="77777777" w:rsidR="006278A8" w:rsidRPr="00644F6B" w:rsidRDefault="006278A8" w:rsidP="006278A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6278A8" w:rsidRPr="00644F6B" w14:paraId="5B337D0F"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0C01997C" w14:textId="77777777" w:rsidR="006278A8" w:rsidRPr="00644F6B" w:rsidRDefault="006278A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2BC7571B" w14:textId="77777777" w:rsidR="006278A8" w:rsidRPr="00644F6B" w:rsidRDefault="006278A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7DCE8F9E" w14:textId="45D39A3E" w:rsidR="00CB7018" w:rsidRDefault="00CB701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We agree that the growth-rates are very important assumptions, and our original manuscript was not very elaborate on this point. To elaborate on the </w:t>
            </w:r>
            <w:r w:rsidR="000335F5" w:rsidRPr="00644F6B">
              <w:rPr>
                <w:rFonts w:ascii="Calibri" w:hAnsi="Calibri" w:cs="Calibri"/>
                <w:color w:val="4472C4" w:themeColor="accent1"/>
                <w:lang w:val="en-US"/>
              </w:rPr>
              <w:t xml:space="preserve">assumptions made in the </w:t>
            </w:r>
            <w:r w:rsidR="00F50CBB" w:rsidRPr="00644F6B">
              <w:rPr>
                <w:rFonts w:ascii="Calibri" w:hAnsi="Calibri" w:cs="Calibri"/>
                <w:color w:val="4472C4" w:themeColor="accent1"/>
                <w:lang w:val="en-US"/>
              </w:rPr>
              <w:t>mod</w:t>
            </w:r>
            <w:r w:rsidR="00F50CBB">
              <w:rPr>
                <w:rFonts w:ascii="Calibri" w:hAnsi="Calibri" w:cs="Calibri"/>
                <w:color w:val="4472C4" w:themeColor="accent1"/>
                <w:lang w:val="en-US"/>
              </w:rPr>
              <w:t>e</w:t>
            </w:r>
            <w:r w:rsidR="00F50CBB" w:rsidRPr="00644F6B">
              <w:rPr>
                <w:rFonts w:ascii="Calibri" w:hAnsi="Calibri" w:cs="Calibri"/>
                <w:color w:val="4472C4" w:themeColor="accent1"/>
                <w:lang w:val="en-US"/>
              </w:rPr>
              <w:t>l</w:t>
            </w:r>
            <w:r w:rsidR="000335F5" w:rsidRPr="00644F6B">
              <w:rPr>
                <w:rFonts w:ascii="Calibri" w:hAnsi="Calibri" w:cs="Calibri"/>
                <w:color w:val="4472C4" w:themeColor="accent1"/>
                <w:lang w:val="en-US"/>
              </w:rPr>
              <w:t>, and to discuss the growth rates required the following section have been added to the Results and Discussion section of the manuscript.</w:t>
            </w:r>
            <w:r w:rsidR="00644F6B">
              <w:rPr>
                <w:rFonts w:ascii="Calibri" w:hAnsi="Calibri" w:cs="Calibri"/>
                <w:color w:val="4472C4" w:themeColor="accent1"/>
                <w:lang w:val="en-US"/>
              </w:rPr>
              <w:t xml:space="preserve"> Furthermore, we have included two additional figures showing the growth rates of </w:t>
            </w:r>
            <w:proofErr w:type="spellStart"/>
            <w:r w:rsidR="00644F6B">
              <w:rPr>
                <w:rFonts w:ascii="Calibri" w:hAnsi="Calibri" w:cs="Calibri"/>
                <w:color w:val="4472C4" w:themeColor="accent1"/>
                <w:lang w:val="en-US"/>
              </w:rPr>
              <w:t>renwable</w:t>
            </w:r>
            <w:proofErr w:type="spellEnd"/>
            <w:r w:rsidR="00644F6B">
              <w:rPr>
                <w:rFonts w:ascii="Calibri" w:hAnsi="Calibri" w:cs="Calibri"/>
                <w:color w:val="4472C4" w:themeColor="accent1"/>
                <w:lang w:val="en-US"/>
              </w:rPr>
              <w:t xml:space="preserve"> capacities, and annual change in primary energy consumption (Supplementary Figure 2 and 3). </w:t>
            </w:r>
          </w:p>
          <w:p w14:paraId="61D11F5A" w14:textId="29CBE1F5" w:rsidR="00257793" w:rsidRDefault="00257793" w:rsidP="009F62D0">
            <w:pPr>
              <w:pStyle w:val="NormalWeb"/>
              <w:spacing w:before="0" w:beforeAutospacing="0" w:after="0" w:afterAutospacing="0"/>
              <w:rPr>
                <w:rFonts w:ascii="Calibri" w:hAnsi="Calibri" w:cs="Calibri"/>
                <w:color w:val="4472C4" w:themeColor="accent1"/>
                <w:lang w:val="en-US"/>
              </w:rPr>
            </w:pPr>
          </w:p>
          <w:p w14:paraId="3CE8857B" w14:textId="77777777" w:rsidR="00257793" w:rsidRDefault="00257793" w:rsidP="00CB7018">
            <w:pPr>
              <w:pStyle w:val="NormalWeb"/>
              <w:rPr>
                <w:rFonts w:ascii="Calibri" w:hAnsi="Calibri" w:cs="Calibri"/>
                <w:i/>
                <w:iCs/>
                <w:color w:val="4472C4" w:themeColor="accent1"/>
                <w:lang w:val="en-US"/>
              </w:rPr>
            </w:pPr>
            <w:r w:rsidRPr="00257793">
              <w:rPr>
                <w:rFonts w:ascii="Calibri" w:hAnsi="Calibri" w:cs="Calibri"/>
                <w:i/>
                <w:iCs/>
                <w:color w:val="4472C4" w:themeColor="accent1"/>
                <w:lang w:val="en-US"/>
              </w:rPr>
              <w:t>“</w:t>
            </w:r>
            <w:r w:rsidRPr="00257793">
              <w:rPr>
                <w:rFonts w:ascii="Calibri" w:hAnsi="Calibri" w:cs="Calibri"/>
                <w:i/>
                <w:iCs/>
                <w:color w:val="4472C4" w:themeColor="accent1"/>
                <w:lang w:val="en-US"/>
              </w:rPr>
              <w:t xml:space="preserve">The </w:t>
            </w:r>
            <w:proofErr w:type="spellStart"/>
            <w:r w:rsidRPr="00257793">
              <w:rPr>
                <w:rFonts w:ascii="Calibri" w:hAnsi="Calibri" w:cs="Calibri"/>
                <w:i/>
                <w:iCs/>
                <w:color w:val="4472C4" w:themeColor="accent1"/>
                <w:lang w:val="en-US"/>
              </w:rPr>
              <w:t>PyPSA</w:t>
            </w:r>
            <w:proofErr w:type="spellEnd"/>
            <w:r w:rsidRPr="00257793">
              <w:rPr>
                <w:rFonts w:ascii="Calibri" w:hAnsi="Calibri" w:cs="Calibri"/>
                <w:i/>
                <w:iCs/>
                <w:color w:val="4472C4" w:themeColor="accent1"/>
                <w:lang w:val="en-US"/>
              </w:rPr>
              <w:t>-</w:t>
            </w:r>
            <w:proofErr w:type="spellStart"/>
            <w:r w:rsidRPr="00257793">
              <w:rPr>
                <w:rFonts w:ascii="Calibri" w:hAnsi="Calibri" w:cs="Calibri"/>
                <w:i/>
                <w:iCs/>
                <w:color w:val="4472C4" w:themeColor="accent1"/>
                <w:lang w:val="en-US"/>
              </w:rPr>
              <w:t>Eur</w:t>
            </w:r>
            <w:proofErr w:type="spellEnd"/>
            <w:r w:rsidRPr="00257793">
              <w:rPr>
                <w:rFonts w:ascii="Calibri" w:hAnsi="Calibri" w:cs="Calibri"/>
                <w:i/>
                <w:iCs/>
                <w:color w:val="4472C4" w:themeColor="accent1"/>
                <w:lang w:val="en-US"/>
              </w:rPr>
              <w:t>-Sec model used in this work does not constrain build-out rates of generation capacity.</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As there is significant uncertainty related to future build-out rates, we prefer not to limit the model</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in this way, allowing us to observe the preferred rates. Installation rate of renewables can be seen</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on Figure S3 and total annual change in primary energy consumption in Figure S2. It is clear that a</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transition of our energy supply requires significant build-out of renewable and heat-pump capacities.</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Results show installation rates of approximately 600 GW/a of wind and solar. These figures are</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naturally higher than any historical values [29]. However, this does not necessarily mean that achieving</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this transition is infeasible. As wind and solar costs decrease, demand and production capacity will</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increase since these technologies show already lower costs than fossil fuel-based generators in most</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world regions [30]. Such a fast transition will require ambitious policies implemented globally together</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with strategies that avoid regulatory bottlenecks and ensure public acceptance. Rather than focusing</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on the build-out required to attain the 1.5 ◦C and 2 ◦C scenarios, which has been extensively discussed</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previously [23], we instead focus on the impact of reducing reliance on gas.</w:t>
            </w:r>
            <w:r w:rsidRPr="00257793">
              <w:rPr>
                <w:rFonts w:ascii="Calibri" w:hAnsi="Calibri" w:cs="Calibri"/>
                <w:i/>
                <w:iCs/>
                <w:color w:val="4472C4" w:themeColor="accent1"/>
                <w:lang w:val="en-US"/>
              </w:rPr>
              <w:t xml:space="preserve"> </w:t>
            </w:r>
          </w:p>
          <w:p w14:paraId="3469D595" w14:textId="3FD3D6E9" w:rsidR="00CB7018" w:rsidRPr="00257793" w:rsidRDefault="00257793" w:rsidP="00CB7018">
            <w:pPr>
              <w:pStyle w:val="NormalWeb"/>
              <w:rPr>
                <w:rFonts w:ascii="Calibri" w:hAnsi="Calibri" w:cs="Calibri"/>
                <w:i/>
                <w:iCs/>
                <w:color w:val="4472C4" w:themeColor="accent1"/>
                <w:lang w:val="en-US"/>
              </w:rPr>
            </w:pPr>
            <w:r w:rsidRPr="00257793">
              <w:rPr>
                <w:rFonts w:ascii="Calibri" w:hAnsi="Calibri" w:cs="Calibri"/>
                <w:i/>
                <w:iCs/>
                <w:color w:val="4472C4" w:themeColor="accent1"/>
                <w:lang w:val="en-US"/>
              </w:rPr>
              <w:t>Results show that limiting gas availability incentivizes early decarbonization of the energy supply.</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In both the 1.5 ◦C and 2 ◦C scenarios, this results in lower annual build-out rates as the transition is</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performed more gradually. The impact on growth rates caused by reduced availability of gas compared</w:t>
            </w:r>
            <w:r w:rsidRPr="00257793">
              <w:rPr>
                <w:rFonts w:ascii="Calibri" w:hAnsi="Calibri" w:cs="Calibri"/>
                <w:i/>
                <w:iCs/>
                <w:color w:val="4472C4" w:themeColor="accent1"/>
                <w:lang w:val="en-US"/>
              </w:rPr>
              <w:t xml:space="preserve"> </w:t>
            </w:r>
            <w:r w:rsidRPr="00257793">
              <w:rPr>
                <w:rFonts w:ascii="Calibri" w:hAnsi="Calibri" w:cs="Calibri"/>
                <w:i/>
                <w:iCs/>
                <w:color w:val="4472C4" w:themeColor="accent1"/>
                <w:lang w:val="en-US"/>
              </w:rPr>
              <w:t>to the impact of climate ambition is, however, small.</w:t>
            </w:r>
            <w:r w:rsidRPr="00257793">
              <w:rPr>
                <w:rFonts w:ascii="Calibri" w:hAnsi="Calibri" w:cs="Calibri"/>
                <w:i/>
                <w:iCs/>
                <w:color w:val="4472C4" w:themeColor="accent1"/>
                <w:lang w:val="en-US"/>
              </w:rPr>
              <w:t>”</w:t>
            </w:r>
          </w:p>
        </w:tc>
      </w:tr>
    </w:tbl>
    <w:p w14:paraId="5E9EED1E" w14:textId="112809BA" w:rsidR="006278A8" w:rsidRPr="00644F6B" w:rsidRDefault="006278A8" w:rsidP="00EE303E">
      <w:pPr>
        <w:pStyle w:val="NormalWeb"/>
        <w:spacing w:before="0" w:beforeAutospacing="0" w:after="0" w:afterAutospacing="0"/>
        <w:rPr>
          <w:rFonts w:ascii="Calibri" w:hAnsi="Calibri" w:cs="Calibri"/>
          <w:color w:val="000000"/>
          <w:lang w:val="en-US"/>
        </w:rPr>
      </w:pPr>
    </w:p>
    <w:p w14:paraId="3EC8BDFA" w14:textId="77777777" w:rsidR="006278A8"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t>General comments and suggestions to improve this work</w:t>
      </w:r>
      <w:r w:rsidRPr="00644F6B">
        <w:rPr>
          <w:rFonts w:ascii="Calibri" w:hAnsi="Calibri" w:cs="Calibri"/>
          <w:color w:val="000000"/>
          <w:lang w:val="en-US"/>
        </w:rPr>
        <w:br/>
        <w:t xml:space="preserve">The authors are to be commended on developing these scenarios and report in a short space of time. I believe with some revisions this paper can provide a useful and topical contribution to the literature around gas market uncertainties, geopolitics, and energy system </w:t>
      </w:r>
      <w:proofErr w:type="spellStart"/>
      <w:r w:rsidRPr="00644F6B">
        <w:rPr>
          <w:rFonts w:ascii="Calibri" w:hAnsi="Calibri" w:cs="Calibri"/>
          <w:color w:val="000000"/>
          <w:lang w:val="en-US"/>
        </w:rPr>
        <w:t>decarbonisation</w:t>
      </w:r>
      <w:proofErr w:type="spellEnd"/>
      <w:r w:rsidRPr="00644F6B">
        <w:rPr>
          <w:rFonts w:ascii="Calibri" w:hAnsi="Calibri" w:cs="Calibri"/>
          <w:color w:val="000000"/>
          <w:lang w:val="en-US"/>
        </w:rPr>
        <w:t>.</w:t>
      </w:r>
      <w:r w:rsidRPr="00644F6B">
        <w:rPr>
          <w:rFonts w:ascii="Calibri" w:hAnsi="Calibri" w:cs="Calibri"/>
          <w:color w:val="000000"/>
          <w:lang w:val="en-US"/>
        </w:rPr>
        <w:br/>
        <w:t>* Carbon budgets:</w:t>
      </w:r>
      <w:r w:rsidRPr="00644F6B">
        <w:rPr>
          <w:rFonts w:ascii="Calibri" w:hAnsi="Calibri" w:cs="Calibri"/>
          <w:color w:val="000000"/>
          <w:lang w:val="en-US"/>
        </w:rPr>
        <w:br/>
      </w:r>
      <w:r w:rsidRPr="00644F6B">
        <w:rPr>
          <w:rFonts w:ascii="Calibri" w:hAnsi="Calibri" w:cs="Calibri"/>
          <w:color w:val="000000"/>
          <w:lang w:val="en-US"/>
        </w:rPr>
        <w:lastRenderedPageBreak/>
        <w:t>o Are the quoted numbers for 1.5oC (25.7 Gt) and 2oC (73.9 Gt) cumulative to 2050 or 2100?</w:t>
      </w:r>
    </w:p>
    <w:p w14:paraId="6FA55E04" w14:textId="77777777" w:rsidR="006278A8" w:rsidRPr="00644F6B" w:rsidRDefault="006278A8" w:rsidP="006278A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6278A8" w:rsidRPr="00644F6B" w14:paraId="450E3A34"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3614A7FB" w14:textId="77777777" w:rsidR="006278A8" w:rsidRPr="00644F6B" w:rsidRDefault="006278A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3B5A2150" w14:textId="77777777" w:rsidR="006278A8" w:rsidRPr="00644F6B" w:rsidRDefault="006278A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3CC76135" w14:textId="77777777" w:rsidR="000A3ABC" w:rsidRPr="00644F6B" w:rsidRDefault="000A3ABC"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To clarify the following text have been added in the introduction of the manuscript in the section where the energy system model is introduced: </w:t>
            </w:r>
          </w:p>
          <w:p w14:paraId="0849D28B" w14:textId="77777777" w:rsidR="00A52970" w:rsidRDefault="00A52970" w:rsidP="009F62D0">
            <w:pPr>
              <w:pStyle w:val="NormalWeb"/>
              <w:spacing w:before="0" w:beforeAutospacing="0" w:after="0" w:afterAutospacing="0"/>
              <w:rPr>
                <w:rFonts w:ascii="Calibri" w:hAnsi="Calibri" w:cs="Calibri"/>
                <w:i/>
                <w:color w:val="4472C4" w:themeColor="accent1"/>
                <w:lang w:val="en-US"/>
              </w:rPr>
            </w:pPr>
          </w:p>
          <w:p w14:paraId="517D0AA5" w14:textId="6C169158" w:rsidR="00A52970" w:rsidRPr="00644F6B" w:rsidRDefault="00A52970" w:rsidP="00A52970">
            <w:pPr>
              <w:pStyle w:val="NormalWeb"/>
              <w:rPr>
                <w:rFonts w:ascii="Calibri" w:hAnsi="Calibri" w:cs="Calibri"/>
                <w:i/>
                <w:color w:val="4472C4" w:themeColor="accent1"/>
                <w:lang w:val="en-US"/>
              </w:rPr>
            </w:pPr>
            <w:r>
              <w:rPr>
                <w:rFonts w:ascii="Calibri" w:hAnsi="Calibri" w:cs="Calibri"/>
                <w:i/>
                <w:color w:val="4472C4" w:themeColor="accent1"/>
                <w:lang w:val="en-US"/>
              </w:rPr>
              <w:t>“</w:t>
            </w:r>
            <w:r w:rsidRPr="00A52970">
              <w:rPr>
                <w:rFonts w:ascii="Calibri" w:hAnsi="Calibri" w:cs="Calibri"/>
                <w:i/>
                <w:color w:val="4472C4" w:themeColor="accent1"/>
                <w:lang w:val="en-US"/>
              </w:rPr>
              <w:t>The available CO2 budgets are 25.7</w:t>
            </w:r>
            <w:r>
              <w:rPr>
                <w:rFonts w:ascii="Calibri" w:hAnsi="Calibri" w:cs="Calibri"/>
                <w:i/>
                <w:color w:val="4472C4" w:themeColor="accent1"/>
                <w:lang w:val="en-US"/>
              </w:rPr>
              <w:t xml:space="preserve"> </w:t>
            </w:r>
            <w:r w:rsidRPr="00A52970">
              <w:rPr>
                <w:rFonts w:ascii="Calibri" w:hAnsi="Calibri" w:cs="Calibri"/>
                <w:i/>
                <w:color w:val="4472C4" w:themeColor="accent1"/>
                <w:lang w:val="en-US"/>
              </w:rPr>
              <w:t>and 73.9 Gt CO2 cumulative to 2050 for the 1.5 ◦C and 2 ◦C respectively [23]. Maximum CO2</w:t>
            </w:r>
            <w:r>
              <w:rPr>
                <w:rFonts w:ascii="Calibri" w:hAnsi="Calibri" w:cs="Calibri"/>
                <w:i/>
                <w:color w:val="4472C4" w:themeColor="accent1"/>
                <w:lang w:val="en-US"/>
              </w:rPr>
              <w:t xml:space="preserve"> </w:t>
            </w:r>
            <w:r w:rsidRPr="00A52970">
              <w:rPr>
                <w:rFonts w:ascii="Calibri" w:hAnsi="Calibri" w:cs="Calibri"/>
                <w:i/>
                <w:color w:val="4472C4" w:themeColor="accent1"/>
                <w:lang w:val="en-US"/>
              </w:rPr>
              <w:t>emissions in every time step are determined based on the carbon budgets assuming an exponential</w:t>
            </w:r>
            <w:r>
              <w:rPr>
                <w:rFonts w:ascii="Calibri" w:hAnsi="Calibri" w:cs="Calibri"/>
                <w:i/>
                <w:color w:val="4472C4" w:themeColor="accent1"/>
                <w:lang w:val="en-US"/>
              </w:rPr>
              <w:t xml:space="preserve"> </w:t>
            </w:r>
            <w:r w:rsidRPr="00A52970">
              <w:rPr>
                <w:rFonts w:ascii="Calibri" w:hAnsi="Calibri" w:cs="Calibri"/>
                <w:i/>
                <w:color w:val="4472C4" w:themeColor="accent1"/>
                <w:lang w:val="en-US"/>
              </w:rPr>
              <w:t>decay and carbon neutrality by 2050.</w:t>
            </w:r>
            <w:r>
              <w:rPr>
                <w:rFonts w:ascii="Calibri" w:hAnsi="Calibri" w:cs="Calibri"/>
                <w:i/>
                <w:color w:val="4472C4" w:themeColor="accent1"/>
                <w:lang w:val="en-US"/>
              </w:rPr>
              <w:t>”</w:t>
            </w:r>
          </w:p>
        </w:tc>
      </w:tr>
    </w:tbl>
    <w:p w14:paraId="479664C9" w14:textId="7E23D673" w:rsidR="006278A8" w:rsidRPr="00644F6B" w:rsidRDefault="006278A8" w:rsidP="00EE303E">
      <w:pPr>
        <w:pStyle w:val="NormalWeb"/>
        <w:spacing w:before="0" w:beforeAutospacing="0" w:after="0" w:afterAutospacing="0"/>
        <w:rPr>
          <w:rFonts w:ascii="Calibri" w:hAnsi="Calibri" w:cs="Calibri"/>
          <w:color w:val="000000"/>
          <w:lang w:val="en-US"/>
        </w:rPr>
      </w:pPr>
    </w:p>
    <w:p w14:paraId="1CA351D4" w14:textId="058D317C" w:rsidR="006278A8"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t>o Only one of the carbon budget choices is Paris aligned and is hugely challenging (and highly unlikely) without vast amounts of NETs or significant demand-side reductions (which the model cannot consider as far as I understand). An additional scenario exploring a Paris aligned carbon budget (</w:t>
      </w:r>
      <w:proofErr w:type="gramStart"/>
      <w:r w:rsidRPr="00644F6B">
        <w:rPr>
          <w:rFonts w:ascii="Calibri" w:hAnsi="Calibri" w:cs="Calibri"/>
          <w:color w:val="000000"/>
          <w:lang w:val="en-US"/>
        </w:rPr>
        <w:t>e.g.</w:t>
      </w:r>
      <w:proofErr w:type="gramEnd"/>
      <w:r w:rsidRPr="00644F6B">
        <w:rPr>
          <w:rFonts w:ascii="Calibri" w:hAnsi="Calibri" w:cs="Calibri"/>
          <w:color w:val="000000"/>
          <w:lang w:val="en-US"/>
        </w:rPr>
        <w:t xml:space="preserve"> 1.5 at 50% or 1.75 at 66%) would be useful.</w:t>
      </w:r>
    </w:p>
    <w:p w14:paraId="12DF7BC9" w14:textId="77777777" w:rsidR="006278A8" w:rsidRPr="00644F6B" w:rsidRDefault="006278A8" w:rsidP="00EE303E">
      <w:pPr>
        <w:pStyle w:val="NormalWeb"/>
        <w:spacing w:before="0" w:beforeAutospacing="0" w:after="0" w:afterAutospacing="0"/>
        <w:rPr>
          <w:rFonts w:ascii="Calibri" w:hAnsi="Calibri" w:cs="Calibri"/>
          <w:color w:val="000000"/>
          <w:lang w:val="en-US"/>
        </w:rPr>
      </w:pPr>
    </w:p>
    <w:p w14:paraId="229C797B" w14:textId="77777777" w:rsidR="006278A8" w:rsidRPr="00644F6B" w:rsidRDefault="006278A8" w:rsidP="006278A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6278A8" w:rsidRPr="00E7638D" w14:paraId="172E7563"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67ED24A5" w14:textId="77777777" w:rsidR="006278A8" w:rsidRPr="00644F6B" w:rsidRDefault="006278A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4EC6D7FC" w14:textId="77777777" w:rsidR="006278A8" w:rsidRPr="00644F6B" w:rsidRDefault="006278A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0EDC8142" w14:textId="4A689EF3" w:rsidR="00D43466" w:rsidRPr="00644F6B" w:rsidRDefault="00D43466"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The manuscript </w:t>
            </w:r>
            <w:proofErr w:type="gramStart"/>
            <w:r w:rsidRPr="00644F6B">
              <w:rPr>
                <w:rFonts w:ascii="Calibri" w:hAnsi="Calibri" w:cs="Calibri"/>
                <w:color w:val="4472C4" w:themeColor="accent1"/>
                <w:lang w:val="en-US"/>
              </w:rPr>
              <w:t>have</w:t>
            </w:r>
            <w:proofErr w:type="gramEnd"/>
            <w:r w:rsidRPr="00644F6B">
              <w:rPr>
                <w:rFonts w:ascii="Calibri" w:hAnsi="Calibri" w:cs="Calibri"/>
                <w:color w:val="4472C4" w:themeColor="accent1"/>
                <w:lang w:val="en-US"/>
              </w:rPr>
              <w:t xml:space="preserve"> been submitted as a Report style article</w:t>
            </w:r>
            <w:r w:rsidR="00E7638D" w:rsidRPr="00644F6B">
              <w:rPr>
                <w:rFonts w:ascii="Calibri" w:hAnsi="Calibri" w:cs="Calibri"/>
                <w:color w:val="4472C4" w:themeColor="accent1"/>
                <w:lang w:val="en-US"/>
              </w:rPr>
              <w:t xml:space="preserve"> and not a full length research article</w:t>
            </w:r>
            <w:r w:rsidRPr="00644F6B">
              <w:rPr>
                <w:rFonts w:ascii="Calibri" w:hAnsi="Calibri" w:cs="Calibri"/>
                <w:color w:val="4472C4" w:themeColor="accent1"/>
                <w:lang w:val="en-US"/>
              </w:rPr>
              <w:t xml:space="preserve">, </w:t>
            </w:r>
            <w:r w:rsidR="00E7638D" w:rsidRPr="00644F6B">
              <w:rPr>
                <w:rFonts w:ascii="Calibri" w:hAnsi="Calibri" w:cs="Calibri"/>
                <w:color w:val="4472C4" w:themeColor="accent1"/>
                <w:lang w:val="en-US"/>
              </w:rPr>
              <w:t xml:space="preserve">thus </w:t>
            </w:r>
            <w:r w:rsidRPr="00644F6B">
              <w:rPr>
                <w:rFonts w:ascii="Calibri" w:hAnsi="Calibri" w:cs="Calibri"/>
                <w:color w:val="4472C4" w:themeColor="accent1"/>
                <w:lang w:val="en-US"/>
              </w:rPr>
              <w:t xml:space="preserve">imposing a limit </w:t>
            </w:r>
            <w:r w:rsidR="00E7638D" w:rsidRPr="00644F6B">
              <w:rPr>
                <w:rFonts w:ascii="Calibri" w:hAnsi="Calibri" w:cs="Calibri"/>
                <w:color w:val="4472C4" w:themeColor="accent1"/>
                <w:lang w:val="en-US"/>
              </w:rPr>
              <w:t xml:space="preserve">to the length of our manuscript. To keep the story clean we have chosen not to include additional scenarios as it would be hard to incorporate the additional analysis in the limited space. We do, nevertheless, agree that the discussion of alternative transition pathways is indeed important. In our manuscript we reference a previous paper [1] conducted by our research group where alternative transition paths have been studied in more detail. </w:t>
            </w:r>
          </w:p>
          <w:p w14:paraId="0FA3BA4A" w14:textId="1B6F9D2F" w:rsidR="00E7638D" w:rsidRPr="001E13FF" w:rsidRDefault="00E7638D" w:rsidP="001E13FF">
            <w:pPr>
              <w:pStyle w:val="NormalWeb"/>
              <w:rPr>
                <w:rFonts w:ascii="Calibri" w:hAnsi="Calibri" w:cs="Calibri"/>
                <w:i/>
                <w:iCs/>
                <w:color w:val="4472C4" w:themeColor="accent1"/>
              </w:rPr>
            </w:pPr>
            <w:r w:rsidRPr="00644F6B">
              <w:rPr>
                <w:rFonts w:ascii="Calibri" w:hAnsi="Calibri" w:cs="Calibri"/>
                <w:i/>
                <w:color w:val="4472C4" w:themeColor="accent1"/>
                <w:lang w:val="en-US"/>
              </w:rPr>
              <w:t xml:space="preserve">[1] </w:t>
            </w:r>
            <w:r w:rsidR="001E13FF" w:rsidRPr="00644F6B">
              <w:rPr>
                <w:rFonts w:ascii="Calibri" w:hAnsi="Calibri" w:cs="Calibri"/>
                <w:i/>
                <w:iCs/>
                <w:color w:val="4472C4" w:themeColor="accent1"/>
                <w:lang w:val="en-US"/>
              </w:rPr>
              <w:t xml:space="preserve">Victoria, Marta, et al. "Early </w:t>
            </w:r>
            <w:proofErr w:type="spellStart"/>
            <w:r w:rsidR="001E13FF" w:rsidRPr="00644F6B">
              <w:rPr>
                <w:rFonts w:ascii="Calibri" w:hAnsi="Calibri" w:cs="Calibri"/>
                <w:i/>
                <w:iCs/>
                <w:color w:val="4472C4" w:themeColor="accent1"/>
                <w:lang w:val="en-US"/>
              </w:rPr>
              <w:t>decarbonisation</w:t>
            </w:r>
            <w:proofErr w:type="spellEnd"/>
            <w:r w:rsidR="001E13FF" w:rsidRPr="00644F6B">
              <w:rPr>
                <w:rFonts w:ascii="Calibri" w:hAnsi="Calibri" w:cs="Calibri"/>
                <w:i/>
                <w:iCs/>
                <w:color w:val="4472C4" w:themeColor="accent1"/>
                <w:lang w:val="en-US"/>
              </w:rPr>
              <w:t xml:space="preserve"> of the European energy system pays off." </w:t>
            </w:r>
            <w:r w:rsidR="001E13FF" w:rsidRPr="001E13FF">
              <w:rPr>
                <w:rFonts w:ascii="Calibri" w:hAnsi="Calibri" w:cs="Calibri"/>
                <w:i/>
                <w:iCs/>
                <w:color w:val="4472C4" w:themeColor="accent1"/>
              </w:rPr>
              <w:t xml:space="preserve">Nature </w:t>
            </w:r>
            <w:proofErr w:type="spellStart"/>
            <w:r w:rsidR="001E13FF" w:rsidRPr="001E13FF">
              <w:rPr>
                <w:rFonts w:ascii="Calibri" w:hAnsi="Calibri" w:cs="Calibri"/>
                <w:i/>
                <w:iCs/>
                <w:color w:val="4472C4" w:themeColor="accent1"/>
              </w:rPr>
              <w:t>communications</w:t>
            </w:r>
            <w:proofErr w:type="spellEnd"/>
            <w:r w:rsidR="001E13FF" w:rsidRPr="001E13FF">
              <w:rPr>
                <w:rFonts w:ascii="Calibri" w:hAnsi="Calibri" w:cs="Calibri"/>
                <w:i/>
                <w:iCs/>
                <w:color w:val="4472C4" w:themeColor="accent1"/>
              </w:rPr>
              <w:t> 11.1 (2020): 1-9.</w:t>
            </w:r>
          </w:p>
        </w:tc>
      </w:tr>
    </w:tbl>
    <w:p w14:paraId="3FA18D32" w14:textId="77777777" w:rsidR="006278A8" w:rsidRPr="00644F6B" w:rsidRDefault="006278A8"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r>
      <w:r w:rsidR="00EE303E" w:rsidRPr="00644F6B">
        <w:rPr>
          <w:rFonts w:ascii="Calibri" w:hAnsi="Calibri" w:cs="Calibri"/>
          <w:color w:val="000000"/>
          <w:lang w:val="en-US"/>
        </w:rPr>
        <w:br/>
        <w:t>* What constraints are there on the growth and decline of different technologies?</w:t>
      </w:r>
    </w:p>
    <w:p w14:paraId="59499761" w14:textId="349E811C" w:rsidR="006278A8"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t xml:space="preserve">o </w:t>
      </w:r>
      <w:proofErr w:type="gramStart"/>
      <w:r w:rsidRPr="00644F6B">
        <w:rPr>
          <w:rFonts w:ascii="Calibri" w:hAnsi="Calibri" w:cs="Calibri"/>
          <w:color w:val="000000"/>
          <w:lang w:val="en-US"/>
        </w:rPr>
        <w:t>The</w:t>
      </w:r>
      <w:proofErr w:type="gramEnd"/>
      <w:r w:rsidRPr="00644F6B">
        <w:rPr>
          <w:rFonts w:ascii="Calibri" w:hAnsi="Calibri" w:cs="Calibri"/>
          <w:color w:val="000000"/>
          <w:lang w:val="en-US"/>
        </w:rPr>
        <w:t xml:space="preserve"> gas consumption decline for the 1.5 degree looks to be ~ 18% per year (from 4700 </w:t>
      </w:r>
      <w:proofErr w:type="spellStart"/>
      <w:r w:rsidRPr="00644F6B">
        <w:rPr>
          <w:rFonts w:ascii="Calibri" w:hAnsi="Calibri" w:cs="Calibri"/>
          <w:color w:val="000000"/>
          <w:lang w:val="en-US"/>
        </w:rPr>
        <w:t>TWh</w:t>
      </w:r>
      <w:proofErr w:type="spellEnd"/>
      <w:r w:rsidRPr="00644F6B">
        <w:rPr>
          <w:rFonts w:ascii="Calibri" w:hAnsi="Calibri" w:cs="Calibri"/>
          <w:color w:val="000000"/>
          <w:lang w:val="en-US"/>
        </w:rPr>
        <w:t xml:space="preserve"> in 2019 to ~ 500 </w:t>
      </w:r>
      <w:proofErr w:type="spellStart"/>
      <w:r w:rsidRPr="00644F6B">
        <w:rPr>
          <w:rFonts w:ascii="Calibri" w:hAnsi="Calibri" w:cs="Calibri"/>
          <w:color w:val="000000"/>
          <w:lang w:val="en-US"/>
        </w:rPr>
        <w:t>TWh</w:t>
      </w:r>
      <w:proofErr w:type="spellEnd"/>
      <w:r w:rsidRPr="00644F6B">
        <w:rPr>
          <w:rFonts w:ascii="Calibri" w:hAnsi="Calibri" w:cs="Calibri"/>
          <w:color w:val="000000"/>
          <w:lang w:val="en-US"/>
        </w:rPr>
        <w:t xml:space="preserve"> in 2030) and there is no discussion around this. Without any discussion it is difficult to make a judgement on the validity/feasibility of this result.</w:t>
      </w:r>
    </w:p>
    <w:p w14:paraId="4C1AA5EE" w14:textId="7487C60D" w:rsidR="006278A8"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t>o There is huge uncertainty around the deployment and decline of new and existing technologies but some discussion around, for example, historical rates of transitions would be useful to validate the results</w:t>
      </w:r>
    </w:p>
    <w:p w14:paraId="0F667AF3" w14:textId="211FC058" w:rsidR="006278A8"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t>o No discussion around constraints on fossil fuel production (</w:t>
      </w:r>
      <w:proofErr w:type="gramStart"/>
      <w:r w:rsidRPr="00644F6B">
        <w:rPr>
          <w:rFonts w:ascii="Calibri" w:hAnsi="Calibri" w:cs="Calibri"/>
          <w:color w:val="000000"/>
          <w:lang w:val="en-US"/>
        </w:rPr>
        <w:t>e.g.</w:t>
      </w:r>
      <w:proofErr w:type="gramEnd"/>
      <w:r w:rsidRPr="00644F6B">
        <w:rPr>
          <w:rFonts w:ascii="Calibri" w:hAnsi="Calibri" w:cs="Calibri"/>
          <w:color w:val="000000"/>
          <w:lang w:val="en-US"/>
        </w:rPr>
        <w:t xml:space="preserve"> growth and decline of natural gas production)</w:t>
      </w:r>
    </w:p>
    <w:p w14:paraId="5A22C383" w14:textId="77777777" w:rsidR="00CB59A6" w:rsidRPr="00644F6B" w:rsidRDefault="00CB59A6" w:rsidP="00EE303E">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CB59A6" w:rsidRPr="00644F6B" w14:paraId="2FCA2F83"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5DF65783" w14:textId="77777777" w:rsidR="00CB59A6" w:rsidRPr="00644F6B" w:rsidRDefault="00CB59A6"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4E881D19" w14:textId="77777777" w:rsidR="00CB59A6" w:rsidRPr="00644F6B" w:rsidRDefault="00CB59A6"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56D1201F" w14:textId="77777777" w:rsidR="00CB59A6" w:rsidRPr="00644F6B" w:rsidRDefault="00CB59A6"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lastRenderedPageBreak/>
              <w:t>As mentioned above, a section has been added discussing growth-rate assumptions and findings.</w:t>
            </w:r>
          </w:p>
        </w:tc>
      </w:tr>
    </w:tbl>
    <w:p w14:paraId="698787BB" w14:textId="77777777" w:rsidR="006278A8" w:rsidRPr="00644F6B" w:rsidRDefault="006278A8" w:rsidP="006278A8">
      <w:pPr>
        <w:pStyle w:val="NormalWeb"/>
        <w:spacing w:before="0" w:beforeAutospacing="0" w:after="0" w:afterAutospacing="0"/>
        <w:rPr>
          <w:rFonts w:ascii="Calibri" w:hAnsi="Calibri" w:cs="Calibri"/>
          <w:color w:val="000000"/>
          <w:lang w:val="en-US"/>
        </w:rPr>
      </w:pPr>
    </w:p>
    <w:p w14:paraId="2EAC6C4A" w14:textId="17C5CD12" w:rsidR="005F4788"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t>* Especially the 1.5oC, but also the 2oC, will be sensitive to assumptions around the availability of biomass - whether this be a global total or an assumed European level with domestic production and imports (</w:t>
      </w:r>
      <w:proofErr w:type="gramStart"/>
      <w:r w:rsidRPr="00644F6B">
        <w:rPr>
          <w:rFonts w:ascii="Calibri" w:hAnsi="Calibri" w:cs="Calibri"/>
          <w:color w:val="000000"/>
          <w:lang w:val="en-US"/>
        </w:rPr>
        <w:t>e.g.</w:t>
      </w:r>
      <w:proofErr w:type="gramEnd"/>
      <w:r w:rsidRPr="00644F6B">
        <w:rPr>
          <w:rFonts w:ascii="Calibri" w:hAnsi="Calibri" w:cs="Calibri"/>
          <w:color w:val="000000"/>
          <w:lang w:val="en-US"/>
        </w:rPr>
        <w:t xml:space="preserve"> wood imports from North America) - these could be made clearer by explicitly stating what the biomass potential is in </w:t>
      </w:r>
      <w:proofErr w:type="spellStart"/>
      <w:r w:rsidRPr="00644F6B">
        <w:rPr>
          <w:rFonts w:ascii="Calibri" w:hAnsi="Calibri" w:cs="Calibri"/>
          <w:color w:val="000000"/>
          <w:lang w:val="en-US"/>
        </w:rPr>
        <w:t>TWh</w:t>
      </w:r>
      <w:proofErr w:type="spellEnd"/>
    </w:p>
    <w:p w14:paraId="27C32156" w14:textId="77777777" w:rsidR="005F4788" w:rsidRPr="00644F6B" w:rsidRDefault="005F4788" w:rsidP="005F478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5F4788" w:rsidRPr="00644F6B" w14:paraId="2B190465"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03E29A8A" w14:textId="77777777"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37791496" w14:textId="77777777"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0A655DDE" w14:textId="6BED0FD7" w:rsidR="00002081" w:rsidRPr="00644F6B" w:rsidRDefault="00CB59A6"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The assumptions made on biomass potentials are indeed very important as they have huge impact on scenarios with high decarbonization. To </w:t>
            </w:r>
            <w:proofErr w:type="spellStart"/>
            <w:r w:rsidRPr="00644F6B">
              <w:rPr>
                <w:rFonts w:ascii="Calibri" w:hAnsi="Calibri" w:cs="Calibri"/>
                <w:color w:val="4472C4" w:themeColor="accent1"/>
                <w:lang w:val="en-US"/>
              </w:rPr>
              <w:t>clearify</w:t>
            </w:r>
            <w:proofErr w:type="spellEnd"/>
            <w:r w:rsidRPr="00644F6B">
              <w:rPr>
                <w:rFonts w:ascii="Calibri" w:hAnsi="Calibri" w:cs="Calibri"/>
                <w:color w:val="4472C4" w:themeColor="accent1"/>
                <w:lang w:val="en-US"/>
              </w:rPr>
              <w:t xml:space="preserve"> what specific </w:t>
            </w:r>
            <w:r w:rsidR="00002081" w:rsidRPr="00644F6B">
              <w:rPr>
                <w:rFonts w:ascii="Calibri" w:hAnsi="Calibri" w:cs="Calibri"/>
                <w:color w:val="4472C4" w:themeColor="accent1"/>
                <w:lang w:val="en-US"/>
              </w:rPr>
              <w:t xml:space="preserve">biomass potentials have been used the following sentence have been added to the “Energy system model” section: </w:t>
            </w:r>
          </w:p>
          <w:p w14:paraId="274F5FC0" w14:textId="10C9311D" w:rsidR="00002081" w:rsidRPr="00644F6B" w:rsidRDefault="00002081" w:rsidP="00A52970">
            <w:pPr>
              <w:pStyle w:val="NormalWeb"/>
              <w:rPr>
                <w:rFonts w:ascii="Calibri" w:hAnsi="Calibri" w:cs="Calibri"/>
                <w:i/>
                <w:color w:val="4472C4" w:themeColor="accent1"/>
                <w:lang w:val="en-US"/>
              </w:rPr>
            </w:pPr>
            <w:r w:rsidRPr="00644F6B">
              <w:rPr>
                <w:rFonts w:ascii="Calibri" w:hAnsi="Calibri" w:cs="Calibri"/>
                <w:i/>
                <w:color w:val="4472C4" w:themeColor="accent1"/>
                <w:lang w:val="en-US"/>
              </w:rPr>
              <w:t>“</w:t>
            </w:r>
            <w:r w:rsidR="00A52970" w:rsidRPr="00A52970">
              <w:rPr>
                <w:rFonts w:ascii="Calibri" w:hAnsi="Calibri" w:cs="Calibri"/>
                <w:i/>
                <w:color w:val="4472C4" w:themeColor="accent1"/>
                <w:lang w:val="en-US"/>
              </w:rPr>
              <w:t xml:space="preserve">Conservative European potentials of 1185 </w:t>
            </w:r>
            <w:proofErr w:type="spellStart"/>
            <w:r w:rsidR="00A52970" w:rsidRPr="00A52970">
              <w:rPr>
                <w:rFonts w:ascii="Calibri" w:hAnsi="Calibri" w:cs="Calibri"/>
                <w:i/>
                <w:color w:val="4472C4" w:themeColor="accent1"/>
                <w:lang w:val="en-US"/>
              </w:rPr>
              <w:t>TWh</w:t>
            </w:r>
            <w:proofErr w:type="spellEnd"/>
            <w:r w:rsidR="00A52970" w:rsidRPr="00A52970">
              <w:rPr>
                <w:rFonts w:ascii="Calibri" w:hAnsi="Calibri" w:cs="Calibri"/>
                <w:i/>
                <w:color w:val="4472C4" w:themeColor="accent1"/>
                <w:lang w:val="en-US"/>
              </w:rPr>
              <w:t xml:space="preserve">/a of solid biomass and 345 </w:t>
            </w:r>
            <w:proofErr w:type="spellStart"/>
            <w:r w:rsidR="00A52970" w:rsidRPr="00A52970">
              <w:rPr>
                <w:rFonts w:ascii="Calibri" w:hAnsi="Calibri" w:cs="Calibri"/>
                <w:i/>
                <w:color w:val="4472C4" w:themeColor="accent1"/>
                <w:lang w:val="en-US"/>
              </w:rPr>
              <w:t>TWh</w:t>
            </w:r>
            <w:proofErr w:type="spellEnd"/>
            <w:r w:rsidR="00A52970" w:rsidRPr="00A52970">
              <w:rPr>
                <w:rFonts w:ascii="Calibri" w:hAnsi="Calibri" w:cs="Calibri"/>
                <w:i/>
                <w:color w:val="4472C4" w:themeColor="accent1"/>
                <w:lang w:val="en-US"/>
              </w:rPr>
              <w:t>/a of gas</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are assumed based on the ENSPRESO biomass database [3</w:t>
            </w:r>
            <w:r w:rsidR="00A52970">
              <w:rPr>
                <w:rFonts w:ascii="Calibri" w:hAnsi="Calibri" w:cs="Calibri"/>
                <w:i/>
                <w:color w:val="4472C4" w:themeColor="accent1"/>
                <w:lang w:val="en-US"/>
              </w:rPr>
              <w:t>].”</w:t>
            </w:r>
          </w:p>
        </w:tc>
      </w:tr>
    </w:tbl>
    <w:p w14:paraId="36039EFC" w14:textId="77777777" w:rsidR="005F4788" w:rsidRPr="00644F6B" w:rsidRDefault="005F4788"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r>
      <w:r w:rsidR="00EE303E" w:rsidRPr="00644F6B">
        <w:rPr>
          <w:rFonts w:ascii="Calibri" w:hAnsi="Calibri" w:cs="Calibri"/>
          <w:color w:val="000000"/>
          <w:lang w:val="en-US"/>
        </w:rPr>
        <w:br/>
        <w:t xml:space="preserve">* Option to use residual heat from industrial processes/power plants to heat solid sorbent solution in DAC processes - for transparency it would be good to have actual numbers in terms of capture (from negative emissions technologies (DAC and BECCS) and from conventional carbon capture and storage), </w:t>
      </w:r>
      <w:proofErr w:type="gramStart"/>
      <w:r w:rsidR="00EE303E" w:rsidRPr="00644F6B">
        <w:rPr>
          <w:rFonts w:ascii="Calibri" w:hAnsi="Calibri" w:cs="Calibri"/>
          <w:color w:val="000000"/>
          <w:lang w:val="en-US"/>
        </w:rPr>
        <w:t>i.e.</w:t>
      </w:r>
      <w:proofErr w:type="gramEnd"/>
      <w:r w:rsidR="00EE303E" w:rsidRPr="00644F6B">
        <w:rPr>
          <w:rFonts w:ascii="Calibri" w:hAnsi="Calibri" w:cs="Calibri"/>
          <w:color w:val="000000"/>
          <w:lang w:val="en-US"/>
        </w:rPr>
        <w:t xml:space="preserve"> what is the cumulative or annual capture in Gt CO2 which keeps Europe within the prescribed carbon budgets</w:t>
      </w:r>
    </w:p>
    <w:p w14:paraId="43F70303" w14:textId="77777777" w:rsidR="005F4788" w:rsidRPr="00644F6B" w:rsidRDefault="005F4788" w:rsidP="005F478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5F4788" w:rsidRPr="00C75A20" w14:paraId="02C11386"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763B5F48" w14:textId="4B62208D"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0E87ADF2" w14:textId="69427141" w:rsidR="002D52E8" w:rsidRPr="00644F6B" w:rsidRDefault="002D52E8" w:rsidP="009F62D0">
            <w:pPr>
              <w:pStyle w:val="NormalWeb"/>
              <w:spacing w:before="0" w:beforeAutospacing="0" w:after="0" w:afterAutospacing="0"/>
              <w:rPr>
                <w:rFonts w:ascii="Calibri" w:hAnsi="Calibri" w:cs="Calibri"/>
                <w:color w:val="4472C4" w:themeColor="accent1"/>
                <w:lang w:val="en-US"/>
              </w:rPr>
            </w:pPr>
          </w:p>
          <w:p w14:paraId="34FFAE32" w14:textId="6BD57038" w:rsidR="002D52E8" w:rsidRPr="00644F6B" w:rsidRDefault="002D52E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To clearly show how DAC and BECCS technologies are utilized in the model, a supplementary figure</w:t>
            </w:r>
            <w:r w:rsidR="00151731">
              <w:rPr>
                <w:rFonts w:ascii="Calibri" w:hAnsi="Calibri" w:cs="Calibri"/>
                <w:color w:val="4472C4" w:themeColor="accent1"/>
                <w:lang w:val="en-US"/>
              </w:rPr>
              <w:t xml:space="preserve"> was made</w:t>
            </w:r>
            <w:r w:rsidRPr="00644F6B">
              <w:rPr>
                <w:rFonts w:ascii="Calibri" w:hAnsi="Calibri" w:cs="Calibri"/>
                <w:color w:val="4472C4" w:themeColor="accent1"/>
                <w:lang w:val="en-US"/>
              </w:rPr>
              <w:t xml:space="preserve"> (</w:t>
            </w:r>
            <w:proofErr w:type="spellStart"/>
            <w:r w:rsidRPr="00644F6B">
              <w:rPr>
                <w:rFonts w:ascii="Calibri" w:hAnsi="Calibri" w:cs="Calibri"/>
                <w:color w:val="4472C4" w:themeColor="accent1"/>
                <w:lang w:val="en-US"/>
              </w:rPr>
              <w:t>seen</w:t>
            </w:r>
            <w:proofErr w:type="spellEnd"/>
            <w:r w:rsidRPr="00644F6B">
              <w:rPr>
                <w:rFonts w:ascii="Calibri" w:hAnsi="Calibri" w:cs="Calibri"/>
                <w:color w:val="4472C4" w:themeColor="accent1"/>
                <w:lang w:val="en-US"/>
              </w:rPr>
              <w:t xml:space="preserve"> below) showing capture</w:t>
            </w:r>
            <w:r w:rsidR="00151731">
              <w:rPr>
                <w:rFonts w:ascii="Calibri" w:hAnsi="Calibri" w:cs="Calibri"/>
                <w:color w:val="4472C4" w:themeColor="accent1"/>
                <w:lang w:val="en-US"/>
              </w:rPr>
              <w:t>d</w:t>
            </w:r>
            <w:r w:rsidRPr="00644F6B">
              <w:rPr>
                <w:rFonts w:ascii="Calibri" w:hAnsi="Calibri" w:cs="Calibri"/>
                <w:color w:val="4472C4" w:themeColor="accent1"/>
                <w:lang w:val="en-US"/>
              </w:rPr>
              <w:t xml:space="preserve"> CO2 and use of the capture</w:t>
            </w:r>
            <w:r w:rsidR="00151731">
              <w:rPr>
                <w:rFonts w:ascii="Calibri" w:hAnsi="Calibri" w:cs="Calibri"/>
                <w:color w:val="4472C4" w:themeColor="accent1"/>
                <w:lang w:val="en-US"/>
              </w:rPr>
              <w:t>d</w:t>
            </w:r>
            <w:r w:rsidRPr="00644F6B">
              <w:rPr>
                <w:rFonts w:ascii="Calibri" w:hAnsi="Calibri" w:cs="Calibri"/>
                <w:color w:val="4472C4" w:themeColor="accent1"/>
                <w:lang w:val="en-US"/>
              </w:rPr>
              <w:t xml:space="preserve"> CO2. In </w:t>
            </w:r>
            <w:proofErr w:type="gramStart"/>
            <w:r w:rsidRPr="00644F6B">
              <w:rPr>
                <w:rFonts w:ascii="Calibri" w:hAnsi="Calibri" w:cs="Calibri"/>
                <w:color w:val="4472C4" w:themeColor="accent1"/>
                <w:lang w:val="en-US"/>
              </w:rPr>
              <w:t>addition</w:t>
            </w:r>
            <w:proofErr w:type="gramEnd"/>
            <w:r w:rsidRPr="00644F6B">
              <w:rPr>
                <w:rFonts w:ascii="Calibri" w:hAnsi="Calibri" w:cs="Calibri"/>
                <w:color w:val="4472C4" w:themeColor="accent1"/>
                <w:lang w:val="en-US"/>
              </w:rPr>
              <w:t xml:space="preserve"> the following text have been added to the results section of the manuscript: </w:t>
            </w:r>
          </w:p>
          <w:p w14:paraId="6A0858E2" w14:textId="5D46B602" w:rsidR="002D52E8" w:rsidRPr="00644F6B" w:rsidRDefault="002D52E8" w:rsidP="009F62D0">
            <w:pPr>
              <w:pStyle w:val="NormalWeb"/>
              <w:spacing w:before="0" w:beforeAutospacing="0" w:after="0" w:afterAutospacing="0"/>
              <w:rPr>
                <w:rFonts w:ascii="Calibri" w:hAnsi="Calibri" w:cs="Calibri"/>
                <w:color w:val="4472C4" w:themeColor="accent1"/>
                <w:lang w:val="en-US"/>
              </w:rPr>
            </w:pPr>
          </w:p>
          <w:p w14:paraId="7CC157BE" w14:textId="28A8BB44" w:rsidR="002D52E8" w:rsidRPr="00644F6B" w:rsidRDefault="002D52E8" w:rsidP="00A52970">
            <w:pPr>
              <w:pStyle w:val="NormalWeb"/>
              <w:rPr>
                <w:rFonts w:ascii="Calibri" w:hAnsi="Calibri" w:cs="Calibri"/>
                <w:i/>
                <w:color w:val="4472C4" w:themeColor="accent1"/>
                <w:lang w:val="en-US"/>
              </w:rPr>
            </w:pPr>
            <w:r w:rsidRPr="00644F6B">
              <w:rPr>
                <w:rFonts w:ascii="Calibri" w:hAnsi="Calibri" w:cs="Calibri"/>
                <w:i/>
                <w:color w:val="4472C4" w:themeColor="accent1"/>
                <w:lang w:val="en-US"/>
              </w:rPr>
              <w:t>“</w:t>
            </w:r>
            <w:r w:rsidR="00A52970" w:rsidRPr="00A52970">
              <w:rPr>
                <w:rFonts w:ascii="Calibri" w:hAnsi="Calibri" w:cs="Calibri"/>
                <w:i/>
                <w:color w:val="4472C4" w:themeColor="accent1"/>
                <w:lang w:val="en-US"/>
              </w:rPr>
              <w:t>Carbon capture remains mostly unaffected by the gas limit and the additional CO2</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emitted by increased</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use of coal to produce electricity, Figure S12). Especially in the 2.0 ◦C scenario, additional emission</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from coal use is balanced by a corresponding increase in electricity generation from renewable sources</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and the use of more energy efficiency technologies such as heat pumps. For the 1.5 ◦C scenario, the</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model finds it cost-optimal to capture around 800 Mt/CO2 annually. CO2 is captured mostly from</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process emissions, biomass and gas used in the industry. The 1.5 ◦C-path also includes substantial</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direct air capture, Fig. S12. The potential for CO2 sequestration in the model is limited to a conservative</w:t>
            </w:r>
            <w:r w:rsidR="00A52970">
              <w:rPr>
                <w:rFonts w:ascii="Calibri" w:hAnsi="Calibri" w:cs="Calibri"/>
                <w:i/>
                <w:color w:val="4472C4" w:themeColor="accent1"/>
                <w:lang w:val="en-US"/>
              </w:rPr>
              <w:t xml:space="preserve"> </w:t>
            </w:r>
            <w:r w:rsidR="00A52970" w:rsidRPr="00A52970">
              <w:rPr>
                <w:rFonts w:ascii="Calibri" w:hAnsi="Calibri" w:cs="Calibri"/>
                <w:i/>
                <w:color w:val="4472C4" w:themeColor="accent1"/>
                <w:lang w:val="en-US"/>
              </w:rPr>
              <w:t>assumption of 200Mt/CO2 (slightly above process emissions in the system)</w:t>
            </w:r>
            <w:r w:rsidR="00A52970">
              <w:rPr>
                <w:rFonts w:ascii="Calibri" w:hAnsi="Calibri" w:cs="Calibri"/>
                <w:i/>
                <w:color w:val="4472C4" w:themeColor="accent1"/>
                <w:lang w:val="en-US"/>
              </w:rPr>
              <w:t>.”</w:t>
            </w:r>
          </w:p>
          <w:p w14:paraId="5EC33B26" w14:textId="5DBD0502" w:rsidR="005F4788" w:rsidRPr="00C75A20" w:rsidRDefault="005F4788" w:rsidP="009F62D0">
            <w:pPr>
              <w:pStyle w:val="NormalWeb"/>
              <w:spacing w:before="0" w:beforeAutospacing="0" w:after="0" w:afterAutospacing="0"/>
              <w:rPr>
                <w:rFonts w:ascii="Calibri" w:hAnsi="Calibri" w:cs="Calibri"/>
                <w:color w:val="4472C4" w:themeColor="accent1"/>
              </w:rPr>
            </w:pPr>
            <w:r w:rsidRPr="00644F6B">
              <w:rPr>
                <w:rFonts w:ascii="Calibri" w:hAnsi="Calibri" w:cs="Calibri"/>
                <w:color w:val="4472C4" w:themeColor="accent1"/>
                <w:lang w:val="en-US"/>
              </w:rPr>
              <w:lastRenderedPageBreak/>
              <w:t xml:space="preserve">   </w:t>
            </w:r>
            <w:r w:rsidR="002D52E8">
              <w:rPr>
                <w:rFonts w:ascii="Calibri" w:hAnsi="Calibri" w:cs="Calibri"/>
                <w:noProof/>
                <w:color w:val="4472C4" w:themeColor="accent1"/>
              </w:rPr>
              <w:drawing>
                <wp:inline distT="0" distB="0" distL="0" distR="0" wp14:anchorId="3775F7DE" wp14:editId="7A989A3D">
                  <wp:extent cx="5727700" cy="711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7115810"/>
                          </a:xfrm>
                          <a:prstGeom prst="rect">
                            <a:avLst/>
                          </a:prstGeom>
                        </pic:spPr>
                      </pic:pic>
                    </a:graphicData>
                  </a:graphic>
                </wp:inline>
              </w:drawing>
            </w:r>
          </w:p>
        </w:tc>
      </w:tr>
    </w:tbl>
    <w:p w14:paraId="40BA2325" w14:textId="77777777" w:rsidR="005F4788" w:rsidRPr="00644F6B" w:rsidRDefault="005F4788"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r>
      <w:r w:rsidR="00EE303E" w:rsidRPr="00644F6B">
        <w:rPr>
          <w:rFonts w:ascii="Calibri" w:hAnsi="Calibri" w:cs="Calibri"/>
          <w:color w:val="000000"/>
          <w:lang w:val="en-US"/>
        </w:rPr>
        <w:br/>
        <w:t>* The lack of demand side elasticities is also significant yet only mentioned once. In the IEA Net Zero Report and in many scenarios exploring net zero/1.5oC (</w:t>
      </w:r>
      <w:proofErr w:type="gramStart"/>
      <w:r w:rsidR="00EE303E" w:rsidRPr="00644F6B">
        <w:rPr>
          <w:rFonts w:ascii="Calibri" w:hAnsi="Calibri" w:cs="Calibri"/>
          <w:color w:val="000000"/>
          <w:lang w:val="en-US"/>
        </w:rPr>
        <w:t>e.g.</w:t>
      </w:r>
      <w:proofErr w:type="gramEnd"/>
      <w:r w:rsidR="00EE303E" w:rsidRPr="00644F6B">
        <w:rPr>
          <w:rFonts w:ascii="Calibri" w:hAnsi="Calibri" w:cs="Calibri"/>
          <w:color w:val="000000"/>
          <w:lang w:val="en-US"/>
        </w:rPr>
        <w:t xml:space="preserve"> IPCC Special Report on 1.5oC) the role of demand reduction is really significant, either through </w:t>
      </w:r>
      <w:proofErr w:type="spellStart"/>
      <w:r w:rsidR="00EE303E" w:rsidRPr="00644F6B">
        <w:rPr>
          <w:rFonts w:ascii="Calibri" w:hAnsi="Calibri" w:cs="Calibri"/>
          <w:color w:val="000000"/>
          <w:lang w:val="en-US"/>
        </w:rPr>
        <w:t>behavioural</w:t>
      </w:r>
      <w:proofErr w:type="spellEnd"/>
      <w:r w:rsidR="00EE303E" w:rsidRPr="00644F6B">
        <w:rPr>
          <w:rFonts w:ascii="Calibri" w:hAnsi="Calibri" w:cs="Calibri"/>
          <w:color w:val="000000"/>
          <w:lang w:val="en-US"/>
        </w:rPr>
        <w:t xml:space="preserve"> changes or demand elasticities due to the rising prices of energy service demands heavily reliant on fossil fuels with limited low cost technology alternatives such as aviation travel.</w:t>
      </w:r>
      <w:r w:rsidR="00EE303E" w:rsidRPr="00644F6B">
        <w:rPr>
          <w:rFonts w:ascii="Calibri" w:hAnsi="Calibri" w:cs="Calibri"/>
          <w:color w:val="000000"/>
          <w:lang w:val="en-US"/>
        </w:rPr>
        <w:br/>
      </w:r>
    </w:p>
    <w:p w14:paraId="3FE31935" w14:textId="77777777" w:rsidR="005F4788" w:rsidRPr="00644F6B" w:rsidRDefault="005F4788" w:rsidP="005F478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5F4788" w:rsidRPr="00644F6B" w14:paraId="2BD430B2"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064AED22" w14:textId="77777777"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52B6B95D" w14:textId="77777777"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003B8A0C" w14:textId="77777777" w:rsidR="00081371" w:rsidRPr="00644F6B" w:rsidRDefault="00081371" w:rsidP="00081371">
            <w:pPr>
              <w:rPr>
                <w:rFonts w:ascii="Calibri" w:hAnsi="Calibri" w:cs="Calibri"/>
                <w:color w:val="4472C4" w:themeColor="accent1"/>
                <w:lang w:val="en-US"/>
              </w:rPr>
            </w:pPr>
            <w:r w:rsidRPr="00644F6B">
              <w:rPr>
                <w:color w:val="4472C4" w:themeColor="accent1"/>
                <w:lang w:val="en-US"/>
              </w:rPr>
              <w:t>It is true that a reduced demand for energy services could ease the consequence of a reduced supply of gas and, in general, it has a significant impact on emissions making it easier to comply with the CO2 reduction scenarios. In our work, we have chosen to not include behavioral changes in the demand for energy services. This assumption is in line with our choice of analyzing a worst-case scenario where the reduced gas supply must be replaced by other means. In the text this choice has been made clearer by the following change: </w:t>
            </w:r>
          </w:p>
          <w:p w14:paraId="072BA5A9" w14:textId="77777777" w:rsidR="00081371" w:rsidRPr="00644F6B" w:rsidRDefault="00081371" w:rsidP="00081371">
            <w:pPr>
              <w:rPr>
                <w:rFonts w:ascii="Calibri" w:hAnsi="Calibri" w:cs="Calibri"/>
                <w:color w:val="4472C4" w:themeColor="accent1"/>
                <w:lang w:val="en-US"/>
              </w:rPr>
            </w:pPr>
            <w:r w:rsidRPr="00644F6B">
              <w:rPr>
                <w:color w:val="4472C4" w:themeColor="accent1"/>
                <w:lang w:val="en-US"/>
              </w:rPr>
              <w:t> </w:t>
            </w:r>
          </w:p>
          <w:p w14:paraId="4A9E1A50" w14:textId="538ADE71" w:rsidR="00CC318B" w:rsidRPr="00CC318B" w:rsidRDefault="00CC318B" w:rsidP="00CC318B">
            <w:pPr>
              <w:pStyle w:val="NormalWeb"/>
              <w:rPr>
                <w:rFonts w:ascii="Calibri" w:hAnsi="Calibri" w:cs="Calibri"/>
                <w:i/>
                <w:iCs/>
                <w:color w:val="4472C4" w:themeColor="accent1"/>
                <w:lang w:val="en-US"/>
              </w:rPr>
            </w:pPr>
            <w:r w:rsidRPr="00CC318B">
              <w:rPr>
                <w:rFonts w:ascii="Calibri" w:hAnsi="Calibri" w:cs="Calibri"/>
                <w:i/>
                <w:iCs/>
                <w:color w:val="4472C4" w:themeColor="accent1"/>
                <w:lang w:val="en-US"/>
              </w:rPr>
              <w:t>“</w:t>
            </w:r>
            <w:r w:rsidR="00A52970" w:rsidRPr="00CC318B">
              <w:rPr>
                <w:rFonts w:ascii="Calibri" w:hAnsi="Calibri" w:cs="Calibri"/>
                <w:i/>
                <w:iCs/>
                <w:color w:val="4472C4" w:themeColor="accent1"/>
                <w:lang w:val="en-US"/>
              </w:rPr>
              <w:t>Using the sector-coupled energy system optimization model PyPSA-Eur-Sec,9 we perform myopic</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optimization in 5-year steps from 2025 to 2050 to investigate the long-term consequences of reduced</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gas availability in Europe. We present four scenarios for the transition of the European energy supply</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which have either an ambitious goal targeting a global temperature increase below 1.5 ◦C, or a more</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moderate goal targeting a temperature increase below 2 ◦C. The available CO2 budgets are 25.7</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and 73.9 Gt CO2 cumulative to 2050 for the 1.5 ◦C and 2 ◦C respectively [23]. Maximum CO2</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emissions in every time step are determined based on the carbon budgets assuming an exponential</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decay and carbon neutrality by 2050. Using the two ambition levels, we define a reference scenario</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with an unbounded gas supply and a scenario where the gas supply is limited to today’s levels,</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minus the share of gas currently imported from Russia. The EU27+GB gas consumption in 2019 was</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 xml:space="preserve">4700 TWh17 of which 1600 </w:t>
            </w:r>
            <w:proofErr w:type="spellStart"/>
            <w:r w:rsidR="00A52970" w:rsidRPr="00CC318B">
              <w:rPr>
                <w:rFonts w:ascii="Calibri" w:hAnsi="Calibri" w:cs="Calibri"/>
                <w:i/>
                <w:iCs/>
                <w:color w:val="4472C4" w:themeColor="accent1"/>
                <w:lang w:val="en-US"/>
              </w:rPr>
              <w:t>TWh</w:t>
            </w:r>
            <w:proofErr w:type="spellEnd"/>
            <w:r w:rsidR="00A52970" w:rsidRPr="00CC318B">
              <w:rPr>
                <w:rFonts w:ascii="Calibri" w:hAnsi="Calibri" w:cs="Calibri"/>
                <w:i/>
                <w:iCs/>
                <w:color w:val="4472C4" w:themeColor="accent1"/>
                <w:lang w:val="en-US"/>
              </w:rPr>
              <w:t xml:space="preserve"> originated from Russian imports,18 so we limit gas available to the</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 xml:space="preserve">system to 3100 </w:t>
            </w:r>
            <w:proofErr w:type="spellStart"/>
            <w:r w:rsidR="00A52970" w:rsidRPr="00CC318B">
              <w:rPr>
                <w:rFonts w:ascii="Calibri" w:hAnsi="Calibri" w:cs="Calibri"/>
                <w:i/>
                <w:iCs/>
                <w:color w:val="4472C4" w:themeColor="accent1"/>
                <w:lang w:val="en-US"/>
              </w:rPr>
              <w:t>TWh</w:t>
            </w:r>
            <w:proofErr w:type="spellEnd"/>
            <w:r w:rsidR="00A52970" w:rsidRPr="00CC318B">
              <w:rPr>
                <w:rFonts w:ascii="Calibri" w:hAnsi="Calibri" w:cs="Calibri"/>
                <w:i/>
                <w:iCs/>
                <w:color w:val="4472C4" w:themeColor="accent1"/>
                <w:lang w:val="en-US"/>
              </w:rPr>
              <w:t xml:space="preserve">. The </w:t>
            </w:r>
            <w:proofErr w:type="spellStart"/>
            <w:r w:rsidR="00A52970" w:rsidRPr="00CC318B">
              <w:rPr>
                <w:rFonts w:ascii="Calibri" w:hAnsi="Calibri" w:cs="Calibri"/>
                <w:i/>
                <w:iCs/>
                <w:color w:val="4472C4" w:themeColor="accent1"/>
                <w:lang w:val="en-US"/>
              </w:rPr>
              <w:t>PyPSA</w:t>
            </w:r>
            <w:proofErr w:type="spellEnd"/>
            <w:r w:rsidR="00A52970" w:rsidRPr="00CC318B">
              <w:rPr>
                <w:rFonts w:ascii="Calibri" w:hAnsi="Calibri" w:cs="Calibri"/>
                <w:i/>
                <w:iCs/>
                <w:color w:val="4472C4" w:themeColor="accent1"/>
                <w:lang w:val="en-US"/>
              </w:rPr>
              <w:t>-</w:t>
            </w:r>
            <w:proofErr w:type="spellStart"/>
            <w:r w:rsidR="00A52970" w:rsidRPr="00CC318B">
              <w:rPr>
                <w:rFonts w:ascii="Calibri" w:hAnsi="Calibri" w:cs="Calibri"/>
                <w:i/>
                <w:iCs/>
                <w:color w:val="4472C4" w:themeColor="accent1"/>
                <w:lang w:val="en-US"/>
              </w:rPr>
              <w:t>Eur</w:t>
            </w:r>
            <w:proofErr w:type="spellEnd"/>
            <w:r w:rsidR="00A52970" w:rsidRPr="00CC318B">
              <w:rPr>
                <w:rFonts w:ascii="Calibri" w:hAnsi="Calibri" w:cs="Calibri"/>
                <w:i/>
                <w:iCs/>
                <w:color w:val="4472C4" w:themeColor="accent1"/>
                <w:lang w:val="en-US"/>
              </w:rPr>
              <w:t>-Sec model presented in [23], spanning 33 countries within the</w:t>
            </w:r>
            <w:r w:rsidR="00A52970" w:rsidRPr="00CC318B">
              <w:rPr>
                <w:rFonts w:ascii="Calibri" w:hAnsi="Calibri" w:cs="Calibri"/>
                <w:i/>
                <w:iCs/>
                <w:color w:val="4472C4" w:themeColor="accent1"/>
                <w:lang w:val="en-US"/>
              </w:rPr>
              <w:t xml:space="preserve"> </w:t>
            </w:r>
            <w:r w:rsidR="00A52970" w:rsidRPr="00CC318B">
              <w:rPr>
                <w:rFonts w:ascii="Calibri" w:hAnsi="Calibri" w:cs="Calibri"/>
                <w:i/>
                <w:iCs/>
                <w:color w:val="4472C4" w:themeColor="accent1"/>
                <w:lang w:val="en-US"/>
              </w:rPr>
              <w:t xml:space="preserve">ENTSO-E, includes the electricity, heating, land transport, aviation, and shipping sectors, as well </w:t>
            </w:r>
            <w:r w:rsidR="00A52970" w:rsidRPr="00CC318B">
              <w:rPr>
                <w:rFonts w:ascii="Calibri" w:hAnsi="Calibri" w:cs="Calibri"/>
                <w:i/>
                <w:iCs/>
                <w:color w:val="4472C4" w:themeColor="accent1"/>
                <w:lang w:val="en-US"/>
              </w:rPr>
              <w:t xml:space="preserve">as the </w:t>
            </w:r>
            <w:r w:rsidR="00A52970" w:rsidRPr="00CC318B">
              <w:rPr>
                <w:rFonts w:ascii="Calibri" w:hAnsi="Calibri" w:cs="Calibri"/>
                <w:i/>
                <w:iCs/>
                <w:color w:val="4472C4" w:themeColor="accent1"/>
                <w:lang w:val="en-US"/>
              </w:rPr>
              <w:t>industry sector including feedstocks. Furthermore, detailed accounting for CO2-emissions, carbon</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capture, utilization and sequestration (CCUS) is implemented. The effect of building renovation is</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incorporated as exogenous efficiency improvements. Demand-side elasticity and short-term substitution</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elasticity are not considered in the model. Behavioral changes could ease the consequence of a reduced</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gas availability, in particular reduced demand for energy services that are directly coupled to the use</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of gas such as lowering the indoor temperature of households heated by gas boilers.</w:t>
            </w:r>
            <w:r w:rsidRPr="00CC318B">
              <w:rPr>
                <w:rFonts w:ascii="Calibri" w:hAnsi="Calibri" w:cs="Calibri"/>
                <w:i/>
                <w:iCs/>
                <w:color w:val="4472C4" w:themeColor="accent1"/>
                <w:lang w:val="en-US"/>
              </w:rPr>
              <w:t xml:space="preserve"> </w:t>
            </w:r>
          </w:p>
          <w:p w14:paraId="0377F3E4" w14:textId="3E66D4E2" w:rsidR="00081371" w:rsidRPr="00644F6B" w:rsidRDefault="00CC318B" w:rsidP="00CC318B">
            <w:pPr>
              <w:pStyle w:val="NormalWeb"/>
              <w:rPr>
                <w:rFonts w:ascii="Calibri" w:hAnsi="Calibri" w:cs="Calibri"/>
                <w:color w:val="4472C4" w:themeColor="accent1"/>
                <w:lang w:val="en-US"/>
              </w:rPr>
            </w:pPr>
            <w:r w:rsidRPr="00CC318B">
              <w:rPr>
                <w:rFonts w:ascii="Calibri" w:hAnsi="Calibri" w:cs="Calibri"/>
                <w:i/>
                <w:iCs/>
                <w:color w:val="4472C4" w:themeColor="accent1"/>
                <w:lang w:val="en-US"/>
              </w:rPr>
              <w:t xml:space="preserve">Constraining the gas availability to 3100 </w:t>
            </w:r>
            <w:proofErr w:type="spellStart"/>
            <w:r w:rsidRPr="00CC318B">
              <w:rPr>
                <w:rFonts w:ascii="Calibri" w:hAnsi="Calibri" w:cs="Calibri"/>
                <w:i/>
                <w:iCs/>
                <w:color w:val="4472C4" w:themeColor="accent1"/>
                <w:lang w:val="en-US"/>
              </w:rPr>
              <w:t>TWh</w:t>
            </w:r>
            <w:proofErr w:type="spellEnd"/>
            <w:r w:rsidRPr="00CC318B">
              <w:rPr>
                <w:rFonts w:ascii="Calibri" w:hAnsi="Calibri" w:cs="Calibri"/>
                <w:i/>
                <w:iCs/>
                <w:color w:val="4472C4" w:themeColor="accent1"/>
                <w:lang w:val="en-US"/>
              </w:rPr>
              <w:t xml:space="preserve"> while keeping the demand for energy services constant</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 xml:space="preserve">represents a </w:t>
            </w:r>
            <w:proofErr w:type="gramStart"/>
            <w:r w:rsidRPr="00CC318B">
              <w:rPr>
                <w:rFonts w:ascii="Calibri" w:hAnsi="Calibri" w:cs="Calibri"/>
                <w:i/>
                <w:iCs/>
                <w:color w:val="4472C4" w:themeColor="accent1"/>
                <w:lang w:val="en-US"/>
              </w:rPr>
              <w:t>worst case</w:t>
            </w:r>
            <w:proofErr w:type="gramEnd"/>
            <w:r w:rsidRPr="00CC318B">
              <w:rPr>
                <w:rFonts w:ascii="Calibri" w:hAnsi="Calibri" w:cs="Calibri"/>
                <w:i/>
                <w:iCs/>
                <w:color w:val="4472C4" w:themeColor="accent1"/>
                <w:lang w:val="en-US"/>
              </w:rPr>
              <w:t xml:space="preserve"> scenario where gas imports from Russia cannot be replaced by gas imports from</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other countries. The availability and cost of coal, lignite, and oil is assumed to remain unchanged in</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the base scenarios, but sensitivity to these parameters is discussed.</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In contrast to the natural gas pipeline supply, replacing Russian oil and coal in the short term is</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challenging, but existing shipping networks can more easily redirect a global supply with help from</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targeted policy such as the Trans-Atlantic Energy Pact between North America and Europe.24 In the</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medium-to-long term, vast electrification of the transport sector is expected to relieve the pressure from</w:t>
            </w:r>
            <w:r w:rsidRPr="00CC318B">
              <w:rPr>
                <w:rFonts w:ascii="Calibri" w:hAnsi="Calibri" w:cs="Calibri"/>
                <w:i/>
                <w:iCs/>
                <w:color w:val="4472C4" w:themeColor="accent1"/>
                <w:lang w:val="en-US"/>
              </w:rPr>
              <w:t xml:space="preserve"> </w:t>
            </w:r>
            <w:r w:rsidRPr="00CC318B">
              <w:rPr>
                <w:rFonts w:ascii="Calibri" w:hAnsi="Calibri" w:cs="Calibri"/>
                <w:i/>
                <w:iCs/>
                <w:color w:val="4472C4" w:themeColor="accent1"/>
                <w:lang w:val="en-US"/>
              </w:rPr>
              <w:t>a Russian oil shortage, while the global coal market would replace Russian coal, albeit at a higher cost.</w:t>
            </w:r>
            <w:r>
              <w:rPr>
                <w:rFonts w:ascii="Calibri" w:hAnsi="Calibri" w:cs="Calibri"/>
                <w:i/>
                <w:iCs/>
                <w:color w:val="4472C4" w:themeColor="accent1"/>
                <w:lang w:val="en-US"/>
              </w:rPr>
              <w:t>”</w:t>
            </w:r>
          </w:p>
        </w:tc>
      </w:tr>
    </w:tbl>
    <w:p w14:paraId="4B1084F2" w14:textId="468FC088" w:rsidR="005F4788" w:rsidRPr="00644F6B" w:rsidRDefault="005F4788"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r>
      <w:r w:rsidR="00EE303E" w:rsidRPr="00644F6B">
        <w:rPr>
          <w:rFonts w:ascii="Calibri" w:hAnsi="Calibri" w:cs="Calibri"/>
          <w:color w:val="000000"/>
          <w:lang w:val="en-US"/>
        </w:rPr>
        <w:br/>
      </w:r>
      <w:r w:rsidR="00EE303E" w:rsidRPr="00644F6B">
        <w:rPr>
          <w:rFonts w:ascii="Calibri" w:hAnsi="Calibri" w:cs="Calibri"/>
          <w:color w:val="000000"/>
          <w:lang w:val="en-US"/>
        </w:rPr>
        <w:lastRenderedPageBreak/>
        <w:br/>
      </w:r>
      <w:r w:rsidR="00EE303E" w:rsidRPr="00644F6B">
        <w:rPr>
          <w:rFonts w:ascii="Calibri" w:hAnsi="Calibri" w:cs="Calibri"/>
          <w:color w:val="000000"/>
          <w:lang w:val="en-US"/>
        </w:rPr>
        <w:br/>
      </w:r>
      <w:r w:rsidR="00EE303E" w:rsidRPr="00644F6B">
        <w:rPr>
          <w:rFonts w:ascii="Calibri" w:hAnsi="Calibri" w:cs="Calibri"/>
          <w:color w:val="000000"/>
          <w:lang w:val="en-US"/>
        </w:rPr>
        <w:br/>
      </w:r>
      <w:r w:rsidR="00EE303E" w:rsidRPr="00644F6B">
        <w:rPr>
          <w:rFonts w:ascii="Calibri" w:hAnsi="Calibri" w:cs="Calibri"/>
          <w:color w:val="000000"/>
          <w:lang w:val="en-US"/>
        </w:rPr>
        <w:br/>
        <w:t>Reviewer #2:</w:t>
      </w:r>
      <w:r w:rsidR="00EE303E" w:rsidRPr="00644F6B">
        <w:rPr>
          <w:rFonts w:ascii="Calibri" w:hAnsi="Calibri" w:cs="Calibri"/>
          <w:color w:val="000000"/>
          <w:lang w:val="en-US"/>
        </w:rPr>
        <w:br/>
      </w:r>
      <w:r w:rsidR="00EE303E" w:rsidRPr="00644F6B">
        <w:rPr>
          <w:rFonts w:ascii="Calibri" w:hAnsi="Calibri" w:cs="Calibri"/>
          <w:color w:val="000000"/>
          <w:lang w:val="en-US"/>
        </w:rPr>
        <w:br/>
        <w:t>The presented manuscript discusses the implications of phasing-out Russian natural gas imports in Europe. The manuscript is relatively well-written and easy to follow. Obviously, the topic is</w:t>
      </w:r>
      <w:r w:rsidR="000B3B72" w:rsidRPr="000B3B72">
        <w:rPr>
          <w:rFonts w:ascii="Calibri" w:hAnsi="Calibri" w:cs="Calibri"/>
          <w:color w:val="000000"/>
          <w:lang w:val="en-US"/>
        </w:rPr>
        <w:t xml:space="preserve"> </w:t>
      </w:r>
      <w:r w:rsidR="00EE303E" w:rsidRPr="00644F6B">
        <w:rPr>
          <w:rFonts w:ascii="Calibri" w:hAnsi="Calibri" w:cs="Calibri"/>
          <w:color w:val="000000"/>
          <w:lang w:val="en-US"/>
        </w:rPr>
        <w:t>timely. Given that the modeling framework is well-established and not novel, the added value of this work must reside in the application/case study, which I</w:t>
      </w:r>
      <w:r w:rsidR="000B3B72">
        <w:rPr>
          <w:rFonts w:ascii="Calibri" w:hAnsi="Calibri" w:cs="Calibri"/>
          <w:color w:val="000000"/>
          <w:lang w:val="en-US"/>
        </w:rPr>
        <w:t>’</w:t>
      </w:r>
      <w:r w:rsidR="00EE303E" w:rsidRPr="00644F6B">
        <w:rPr>
          <w:rFonts w:ascii="Calibri" w:hAnsi="Calibri" w:cs="Calibri"/>
          <w:color w:val="000000"/>
          <w:lang w:val="en-US"/>
        </w:rPr>
        <w:t>ll focus on in my review.</w:t>
      </w:r>
      <w:r w:rsidR="00EE303E" w:rsidRPr="00644F6B">
        <w:rPr>
          <w:rFonts w:ascii="Calibri" w:hAnsi="Calibri" w:cs="Calibri"/>
          <w:color w:val="000000"/>
          <w:lang w:val="en-US"/>
        </w:rPr>
        <w:br/>
      </w:r>
      <w:r w:rsidR="00EE303E" w:rsidRPr="00644F6B">
        <w:rPr>
          <w:rFonts w:ascii="Calibri" w:hAnsi="Calibri" w:cs="Calibri"/>
          <w:color w:val="000000"/>
          <w:lang w:val="en-US"/>
        </w:rPr>
        <w:br/>
        <w:t>First, the premise that the EU won</w:t>
      </w:r>
      <w:r w:rsidR="000B3B72">
        <w:rPr>
          <w:rFonts w:ascii="Calibri" w:hAnsi="Calibri" w:cs="Calibri"/>
          <w:color w:val="000000"/>
          <w:lang w:val="en-US"/>
        </w:rPr>
        <w:t>’</w:t>
      </w:r>
      <w:r w:rsidR="00EE303E" w:rsidRPr="00644F6B">
        <w:rPr>
          <w:rFonts w:ascii="Calibri" w:hAnsi="Calibri" w:cs="Calibri"/>
          <w:color w:val="000000"/>
          <w:lang w:val="en-US"/>
        </w:rPr>
        <w:t xml:space="preserve">t be able to find alternatives for natural gas imports, whereas coal and oil imports will be entirely replaced by alternative suppliers, is odd. I would </w:t>
      </w:r>
      <w:r w:rsidR="000B3B72">
        <w:rPr>
          <w:rFonts w:ascii="Calibri" w:hAnsi="Calibri" w:cs="Calibri"/>
          <w:color w:val="000000"/>
          <w:lang w:val="en-US"/>
        </w:rPr>
        <w:t>–</w:t>
      </w:r>
      <w:r w:rsidR="00EE303E" w:rsidRPr="00644F6B">
        <w:rPr>
          <w:rFonts w:ascii="Calibri" w:hAnsi="Calibri" w:cs="Calibri"/>
          <w:color w:val="000000"/>
          <w:lang w:val="en-US"/>
        </w:rPr>
        <w:t xml:space="preserve"> at least </w:t>
      </w:r>
      <w:r w:rsidR="000B3B72">
        <w:rPr>
          <w:rFonts w:ascii="Calibri" w:hAnsi="Calibri" w:cs="Calibri"/>
          <w:color w:val="000000"/>
          <w:lang w:val="en-US"/>
        </w:rPr>
        <w:t>–</w:t>
      </w:r>
      <w:r w:rsidR="00EE303E" w:rsidRPr="00644F6B">
        <w:rPr>
          <w:rFonts w:ascii="Calibri" w:hAnsi="Calibri" w:cs="Calibri"/>
          <w:color w:val="000000"/>
          <w:lang w:val="en-US"/>
        </w:rPr>
        <w:t xml:space="preserve"> have expected a more detailed analysis to justify this claim, plus a sensitivity analysis </w:t>
      </w:r>
      <w:proofErr w:type="spellStart"/>
      <w:r w:rsidR="00EE303E" w:rsidRPr="00644F6B">
        <w:rPr>
          <w:rFonts w:ascii="Calibri" w:hAnsi="Calibri" w:cs="Calibri"/>
          <w:color w:val="000000"/>
          <w:lang w:val="en-US"/>
        </w:rPr>
        <w:t>w.r.t.</w:t>
      </w:r>
      <w:proofErr w:type="spellEnd"/>
      <w:r w:rsidR="00EE303E" w:rsidRPr="00644F6B">
        <w:rPr>
          <w:rFonts w:ascii="Calibri" w:hAnsi="Calibri" w:cs="Calibri"/>
          <w:color w:val="000000"/>
          <w:lang w:val="en-US"/>
        </w:rPr>
        <w:t xml:space="preserve"> the availability of alternatives.</w:t>
      </w:r>
      <w:r w:rsidR="00EE303E" w:rsidRPr="00644F6B">
        <w:rPr>
          <w:rFonts w:ascii="Calibri" w:hAnsi="Calibri" w:cs="Calibri"/>
          <w:color w:val="000000"/>
          <w:lang w:val="en-US"/>
        </w:rPr>
        <w:br/>
      </w:r>
    </w:p>
    <w:p w14:paraId="6FB22456" w14:textId="77777777" w:rsidR="005F4788" w:rsidRPr="00644F6B" w:rsidRDefault="005F4788" w:rsidP="005F478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5F4788" w:rsidRPr="00612A69" w14:paraId="48364406"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2028FB1E" w14:textId="77777777"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0E26C255" w14:textId="77777777" w:rsidR="009761A8" w:rsidRDefault="009761A8" w:rsidP="009761A8">
            <w:pPr>
              <w:pStyle w:val="NormalWeb"/>
              <w:spacing w:before="0" w:beforeAutospacing="0" w:after="0" w:afterAutospacing="0"/>
              <w:rPr>
                <w:rFonts w:ascii="Calibri" w:hAnsi="Calibri" w:cs="Calibri"/>
                <w:color w:val="4472C4" w:themeColor="accent1"/>
                <w:lang w:val="en-US"/>
              </w:rPr>
            </w:pPr>
          </w:p>
          <w:p w14:paraId="5F367BBF" w14:textId="09188EB1" w:rsidR="00612A69" w:rsidRPr="00612A69" w:rsidRDefault="00612A69" w:rsidP="009761A8">
            <w:pPr>
              <w:pStyle w:val="NormalWeb"/>
              <w:spacing w:before="0" w:beforeAutospacing="0" w:after="0" w:afterAutospacing="0"/>
              <w:rPr>
                <w:rFonts w:ascii="Calibri" w:hAnsi="Calibri" w:cs="Calibri"/>
                <w:color w:val="4472C4" w:themeColor="accent1"/>
                <w:lang w:val="en-US"/>
              </w:rPr>
            </w:pPr>
            <w:r>
              <w:rPr>
                <w:rFonts w:ascii="Calibri" w:hAnsi="Calibri" w:cs="Calibri"/>
                <w:color w:val="4472C4" w:themeColor="accent1"/>
                <w:lang w:val="en-US"/>
              </w:rPr>
              <w:t xml:space="preserve">See the response to Reviewer 1 regarding the added sensitivity analysis studying increased LNG imports. </w:t>
            </w:r>
          </w:p>
        </w:tc>
      </w:tr>
    </w:tbl>
    <w:p w14:paraId="61E37FFE" w14:textId="64DC7AC3" w:rsidR="005F4788" w:rsidRPr="00612A69" w:rsidRDefault="005F4788" w:rsidP="00EE303E">
      <w:pPr>
        <w:pStyle w:val="NormalWeb"/>
        <w:spacing w:before="0" w:beforeAutospacing="0" w:after="0" w:afterAutospacing="0"/>
        <w:rPr>
          <w:rFonts w:ascii="Calibri" w:hAnsi="Calibri" w:cs="Calibri"/>
          <w:color w:val="000000"/>
          <w:lang w:val="en-US"/>
        </w:rPr>
      </w:pPr>
      <w:r w:rsidRPr="00612A69">
        <w:rPr>
          <w:rFonts w:ascii="Calibri" w:hAnsi="Calibri" w:cs="Calibri"/>
          <w:color w:val="000000"/>
          <w:lang w:val="en-US"/>
        </w:rPr>
        <w:br/>
      </w:r>
    </w:p>
    <w:p w14:paraId="360F8FF6" w14:textId="13DA08E3" w:rsidR="005F4788"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t>Second, as the EU needs to take action now, it is unfortunate that you don</w:t>
      </w:r>
      <w:r w:rsidR="000B3B72">
        <w:rPr>
          <w:rFonts w:ascii="Calibri" w:hAnsi="Calibri" w:cs="Calibri"/>
          <w:color w:val="000000"/>
          <w:lang w:val="en-US"/>
        </w:rPr>
        <w:t>’</w:t>
      </w:r>
      <w:r w:rsidRPr="00644F6B">
        <w:rPr>
          <w:rFonts w:ascii="Calibri" w:hAnsi="Calibri" w:cs="Calibri"/>
          <w:color w:val="000000"/>
          <w:lang w:val="en-US"/>
        </w:rPr>
        <w:t>t provide more detail for the years 2022-2025, but rather focus on the medium- to long-term implications. The challenges (when it comes to facing out Russian gas, oil and coal) are manifesting them today and in the next few years.</w:t>
      </w:r>
    </w:p>
    <w:p w14:paraId="7AABA0DB" w14:textId="77777777" w:rsidR="005F4788" w:rsidRPr="00644F6B" w:rsidRDefault="005F4788" w:rsidP="00EE303E">
      <w:pPr>
        <w:pStyle w:val="NormalWeb"/>
        <w:spacing w:before="0" w:beforeAutospacing="0" w:after="0" w:afterAutospacing="0"/>
        <w:rPr>
          <w:rFonts w:ascii="Calibri" w:hAnsi="Calibri" w:cs="Calibri"/>
          <w:color w:val="000000"/>
          <w:lang w:val="en-US"/>
        </w:rPr>
      </w:pPr>
    </w:p>
    <w:p w14:paraId="2546F91B" w14:textId="77777777" w:rsidR="005F4788" w:rsidRPr="00644F6B" w:rsidRDefault="005F4788" w:rsidP="005F478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5F4788" w:rsidRPr="00C75A20" w14:paraId="16A66A2C"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2ECF4AEA" w14:textId="77777777"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56570C8E" w14:textId="77777777"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5A96ABA4" w14:textId="5F8713AF" w:rsidR="00C33D7F" w:rsidRPr="00644F6B" w:rsidRDefault="00C33D7F"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Short-term implications of a discontinuation in the delivery of natural gas from Russia is indeed very important. As indicated by the title of our manuscript we have chosen to focus on the medium- to long-term implications of reducing reliance on natural gas in the European energy system. Short-term implications have been extensively discussed in other </w:t>
            </w:r>
            <w:proofErr w:type="gramStart"/>
            <w:r w:rsidRPr="00644F6B">
              <w:rPr>
                <w:rFonts w:ascii="Calibri" w:hAnsi="Calibri" w:cs="Calibri"/>
                <w:color w:val="4472C4" w:themeColor="accent1"/>
                <w:lang w:val="en-US"/>
              </w:rPr>
              <w:t>works</w:t>
            </w:r>
            <w:r w:rsidR="00C93B94" w:rsidRPr="00644F6B">
              <w:rPr>
                <w:rFonts w:ascii="Calibri" w:hAnsi="Calibri" w:cs="Calibri"/>
                <w:color w:val="4472C4" w:themeColor="accent1"/>
                <w:lang w:val="en-US"/>
              </w:rPr>
              <w:t>,</w:t>
            </w:r>
            <w:proofErr w:type="gramEnd"/>
            <w:r w:rsidR="00C93B94" w:rsidRPr="00644F6B">
              <w:rPr>
                <w:rFonts w:ascii="Calibri" w:hAnsi="Calibri" w:cs="Calibri"/>
                <w:color w:val="4472C4" w:themeColor="accent1"/>
                <w:lang w:val="en-US"/>
              </w:rPr>
              <w:t xml:space="preserve"> therefore we chose to focus on medium- to long-term implications. In the manuscript we do</w:t>
            </w:r>
            <w:r w:rsidR="00B619C0">
              <w:rPr>
                <w:rFonts w:ascii="Calibri" w:hAnsi="Calibri" w:cs="Calibri"/>
                <w:color w:val="4472C4" w:themeColor="accent1"/>
                <w:lang w:val="en-US"/>
              </w:rPr>
              <w:t>,</w:t>
            </w:r>
            <w:r w:rsidR="00C93B94" w:rsidRPr="00644F6B">
              <w:rPr>
                <w:rFonts w:ascii="Calibri" w:hAnsi="Calibri" w:cs="Calibri"/>
                <w:color w:val="4472C4" w:themeColor="accent1"/>
                <w:lang w:val="en-US"/>
              </w:rPr>
              <w:t xml:space="preserve"> however</w:t>
            </w:r>
            <w:r w:rsidR="00B619C0">
              <w:rPr>
                <w:rFonts w:ascii="Calibri" w:hAnsi="Calibri" w:cs="Calibri"/>
                <w:color w:val="4472C4" w:themeColor="accent1"/>
                <w:lang w:val="en-US"/>
              </w:rPr>
              <w:t>,</w:t>
            </w:r>
            <w:r w:rsidR="00C93B94" w:rsidRPr="00644F6B">
              <w:rPr>
                <w:rFonts w:ascii="Calibri" w:hAnsi="Calibri" w:cs="Calibri"/>
                <w:color w:val="4472C4" w:themeColor="accent1"/>
                <w:lang w:val="en-US"/>
              </w:rPr>
              <w:t xml:space="preserve"> discuss short term implications </w:t>
            </w:r>
            <w:r w:rsidR="006B3876" w:rsidRPr="00644F6B">
              <w:rPr>
                <w:rFonts w:ascii="Calibri" w:hAnsi="Calibri" w:cs="Calibri"/>
                <w:color w:val="4472C4" w:themeColor="accent1"/>
                <w:lang w:val="en-US"/>
              </w:rPr>
              <w:t>in the section also title “Short-term implications”</w:t>
            </w:r>
          </w:p>
          <w:p w14:paraId="4ABE9A09" w14:textId="668D86F5" w:rsidR="00C93B94" w:rsidRPr="00644F6B" w:rsidRDefault="00C93B94" w:rsidP="009F62D0">
            <w:pPr>
              <w:pStyle w:val="NormalWeb"/>
              <w:spacing w:before="0" w:beforeAutospacing="0" w:after="0" w:afterAutospacing="0"/>
              <w:rPr>
                <w:rFonts w:ascii="Calibri" w:hAnsi="Calibri" w:cs="Calibri"/>
                <w:color w:val="4472C4" w:themeColor="accent1"/>
                <w:lang w:val="en-US"/>
              </w:rPr>
            </w:pPr>
          </w:p>
          <w:p w14:paraId="5E7F5E03" w14:textId="204E4513" w:rsidR="00C93B94" w:rsidRPr="00644F6B" w:rsidRDefault="006B3876" w:rsidP="009F62D0">
            <w:pPr>
              <w:pStyle w:val="NormalWeb"/>
              <w:spacing w:before="0" w:beforeAutospacing="0" w:after="0" w:afterAutospacing="0"/>
              <w:rPr>
                <w:rFonts w:ascii="Calibri" w:hAnsi="Calibri" w:cs="Calibri"/>
                <w:i/>
                <w:color w:val="4472C4" w:themeColor="accent1"/>
                <w:lang w:val="en-US"/>
              </w:rPr>
            </w:pPr>
            <w:r w:rsidRPr="00644F6B">
              <w:rPr>
                <w:rFonts w:ascii="Calibri" w:hAnsi="Calibri" w:cs="Calibri"/>
                <w:i/>
                <w:color w:val="4472C4" w:themeColor="accent1"/>
                <w:lang w:val="en-US"/>
              </w:rPr>
              <w:t>“While this paper focuses on the medium- to long-term consequences of cessation of Russian gas on the European energy system, we briefly discuss the immediate short-term implications here. Groups such as the International Energy [</w:t>
            </w:r>
            <w:r w:rsidR="00CC318B">
              <w:rPr>
                <w:rFonts w:ascii="Calibri" w:hAnsi="Calibri" w:cs="Calibri"/>
                <w:i/>
                <w:color w:val="4472C4" w:themeColor="accent1"/>
                <w:lang w:val="en-US"/>
              </w:rPr>
              <w:t>20</w:t>
            </w:r>
            <w:r w:rsidRPr="00644F6B">
              <w:rPr>
                <w:rFonts w:ascii="Calibri" w:hAnsi="Calibri" w:cs="Calibri"/>
                <w:i/>
                <w:color w:val="4472C4" w:themeColor="accent1"/>
                <w:lang w:val="en-US"/>
              </w:rPr>
              <w:t>] and the European Commission [</w:t>
            </w:r>
            <w:r w:rsidR="00CC318B">
              <w:rPr>
                <w:rFonts w:ascii="Calibri" w:hAnsi="Calibri" w:cs="Calibri"/>
                <w:i/>
                <w:color w:val="4472C4" w:themeColor="accent1"/>
                <w:lang w:val="en-US"/>
              </w:rPr>
              <w:t>19</w:t>
            </w:r>
            <w:r w:rsidRPr="00644F6B">
              <w:rPr>
                <w:rFonts w:ascii="Calibri" w:hAnsi="Calibri" w:cs="Calibri"/>
                <w:i/>
                <w:color w:val="4472C4" w:themeColor="accent1"/>
                <w:lang w:val="en-US"/>
              </w:rPr>
              <w:t xml:space="preserve">] have proposed several strategies to go through the next winter in Europe without importing Russian gas. In summary, these plans propose: delaying nuclear phaseout, speeding-up solar and wind deployment to compensate for production of </w:t>
            </w:r>
            <w:r w:rsidRPr="00644F6B">
              <w:rPr>
                <w:rFonts w:ascii="Calibri" w:hAnsi="Calibri" w:cs="Calibri"/>
                <w:i/>
                <w:color w:val="4472C4" w:themeColor="accent1"/>
                <w:lang w:val="en-US"/>
              </w:rPr>
              <w:lastRenderedPageBreak/>
              <w:t>electricity, rapidly deploying heat pumps to substitute gas for heating, accelerating energy efficiency improvements in buildings and industry, encouraging a temporary thermostat adjustment by consumers, and increasing coal use [</w:t>
            </w:r>
            <w:r w:rsidR="00CC318B">
              <w:rPr>
                <w:rFonts w:ascii="Calibri" w:hAnsi="Calibri" w:cs="Calibri"/>
                <w:i/>
                <w:color w:val="4472C4" w:themeColor="accent1"/>
                <w:lang w:val="en-US"/>
              </w:rPr>
              <w:t>31,20</w:t>
            </w:r>
            <w:r w:rsidRPr="00644F6B">
              <w:rPr>
                <w:rFonts w:ascii="Calibri" w:hAnsi="Calibri" w:cs="Calibri"/>
                <w:i/>
                <w:color w:val="4472C4" w:themeColor="accent1"/>
                <w:lang w:val="en-US"/>
              </w:rPr>
              <w:t>]. While most measures would support the energy transition and help Europe reach its climate goals, increasing coal consumption would deplete Europe</w:t>
            </w:r>
            <w:r w:rsidR="000B3B72">
              <w:rPr>
                <w:rFonts w:ascii="Calibri" w:hAnsi="Calibri" w:cs="Calibri"/>
                <w:i/>
                <w:color w:val="4472C4" w:themeColor="accent1"/>
                <w:lang w:val="en-US"/>
              </w:rPr>
              <w:t>’</w:t>
            </w:r>
            <w:r w:rsidRPr="00644F6B">
              <w:rPr>
                <w:rFonts w:ascii="Calibri" w:hAnsi="Calibri" w:cs="Calibri"/>
                <w:i/>
                <w:color w:val="4472C4" w:themeColor="accent1"/>
                <w:lang w:val="en-US"/>
              </w:rPr>
              <w:t>s available carbon budget even further. Some proposals point at increasing LNG imports; reopening internal gas fields, such as Groningen in the Netherlands [</w:t>
            </w:r>
            <w:r w:rsidR="00CC318B">
              <w:rPr>
                <w:rFonts w:ascii="Calibri" w:hAnsi="Calibri" w:cs="Calibri"/>
                <w:i/>
                <w:color w:val="4472C4" w:themeColor="accent1"/>
                <w:lang w:val="en-US"/>
              </w:rPr>
              <w:t>32</w:t>
            </w:r>
            <w:proofErr w:type="gramStart"/>
            <w:r w:rsidRPr="00644F6B">
              <w:rPr>
                <w:rFonts w:ascii="Calibri" w:hAnsi="Calibri" w:cs="Calibri"/>
                <w:i/>
                <w:color w:val="4472C4" w:themeColor="accent1"/>
                <w:lang w:val="en-US"/>
              </w:rPr>
              <w:t>];  or</w:t>
            </w:r>
            <w:proofErr w:type="gramEnd"/>
            <w:r w:rsidRPr="00644F6B">
              <w:rPr>
                <w:rFonts w:ascii="Calibri" w:hAnsi="Calibri" w:cs="Calibri"/>
                <w:i/>
                <w:color w:val="4472C4" w:themeColor="accent1"/>
                <w:lang w:val="en-US"/>
              </w:rPr>
              <w:t xml:space="preserve"> increasing biogas consumption in Denmark [</w:t>
            </w:r>
            <w:r w:rsidR="00CC318B">
              <w:rPr>
                <w:rFonts w:ascii="Calibri" w:hAnsi="Calibri" w:cs="Calibri"/>
                <w:i/>
                <w:color w:val="4472C4" w:themeColor="accent1"/>
                <w:lang w:val="en-US"/>
              </w:rPr>
              <w:t>33,19</w:t>
            </w:r>
            <w:r w:rsidRPr="00644F6B">
              <w:rPr>
                <w:rFonts w:ascii="Calibri" w:hAnsi="Calibri" w:cs="Calibri"/>
                <w:i/>
                <w:color w:val="4472C4" w:themeColor="accent1"/>
                <w:lang w:val="en-US"/>
              </w:rPr>
              <w:t xml:space="preserve">]. The European Commission expects that increased import of LNG combined with regasification can replace 50 </w:t>
            </w:r>
            <w:proofErr w:type="spellStart"/>
            <w:r w:rsidRPr="00644F6B">
              <w:rPr>
                <w:rFonts w:ascii="Calibri" w:hAnsi="Calibri" w:cs="Calibri"/>
                <w:i/>
                <w:color w:val="4472C4" w:themeColor="accent1"/>
                <w:lang w:val="en-US"/>
              </w:rPr>
              <w:t>bcm</w:t>
            </w:r>
            <w:proofErr w:type="spellEnd"/>
            <w:r w:rsidRPr="00644F6B">
              <w:rPr>
                <w:rFonts w:ascii="Calibri" w:hAnsi="Calibri" w:cs="Calibri"/>
                <w:i/>
                <w:color w:val="4472C4" w:themeColor="accent1"/>
                <w:lang w:val="en-US"/>
              </w:rPr>
              <w:t xml:space="preserve"> of the missing gas, equivalent to 485 </w:t>
            </w:r>
            <w:proofErr w:type="spellStart"/>
            <w:r w:rsidRPr="00644F6B">
              <w:rPr>
                <w:rFonts w:ascii="Calibri" w:hAnsi="Calibri" w:cs="Calibri"/>
                <w:i/>
                <w:color w:val="4472C4" w:themeColor="accent1"/>
                <w:lang w:val="en-US"/>
              </w:rPr>
              <w:t>TWh</w:t>
            </w:r>
            <w:proofErr w:type="spellEnd"/>
            <w:r w:rsidRPr="00644F6B">
              <w:rPr>
                <w:rFonts w:ascii="Calibri" w:hAnsi="Calibri" w:cs="Calibri"/>
                <w:i/>
                <w:color w:val="4472C4" w:themeColor="accent1"/>
                <w:lang w:val="en-US"/>
              </w:rPr>
              <w:t xml:space="preserve"> [1</w:t>
            </w:r>
            <w:r w:rsidR="00CC318B">
              <w:rPr>
                <w:rFonts w:ascii="Calibri" w:hAnsi="Calibri" w:cs="Calibri"/>
                <w:i/>
                <w:color w:val="4472C4" w:themeColor="accent1"/>
                <w:lang w:val="en-US"/>
              </w:rPr>
              <w:t>9</w:t>
            </w:r>
            <w:r w:rsidRPr="00644F6B">
              <w:rPr>
                <w:rFonts w:ascii="Calibri" w:hAnsi="Calibri" w:cs="Calibri"/>
                <w:i/>
                <w:color w:val="4472C4" w:themeColor="accent1"/>
                <w:lang w:val="en-US"/>
              </w:rPr>
              <w:t xml:space="preserve">]. However, the existing LNG regasification terminals (mostly located in Spain) and intra-EU pipeline capacities, together with the small size of the global LNG market limit the potential of this strategy. As an indication of these limitations, the gas price in Europe reached 226 €/MWh in March 2022 (15 times higher than its average price in the period 2015-2021). The European Council also suggests that increased gas imports from countries other than Russia and increased domestic biogas production could supply an additional 18 </w:t>
            </w:r>
            <w:proofErr w:type="spellStart"/>
            <w:r w:rsidRPr="00644F6B">
              <w:rPr>
                <w:rFonts w:ascii="Calibri" w:hAnsi="Calibri" w:cs="Calibri"/>
                <w:i/>
                <w:color w:val="4472C4" w:themeColor="accent1"/>
                <w:lang w:val="en-US"/>
              </w:rPr>
              <w:t>bcm</w:t>
            </w:r>
            <w:proofErr w:type="spellEnd"/>
            <w:r w:rsidRPr="00644F6B">
              <w:rPr>
                <w:rFonts w:ascii="Calibri" w:hAnsi="Calibri" w:cs="Calibri"/>
                <w:i/>
                <w:color w:val="4472C4" w:themeColor="accent1"/>
                <w:lang w:val="en-US"/>
              </w:rPr>
              <w:t xml:space="preserve"> (175 </w:t>
            </w:r>
            <w:proofErr w:type="spellStart"/>
            <w:r w:rsidRPr="00644F6B">
              <w:rPr>
                <w:rFonts w:ascii="Calibri" w:hAnsi="Calibri" w:cs="Calibri"/>
                <w:i/>
                <w:color w:val="4472C4" w:themeColor="accent1"/>
                <w:lang w:val="en-US"/>
              </w:rPr>
              <w:t>TWh</w:t>
            </w:r>
            <w:proofErr w:type="spellEnd"/>
            <w:r w:rsidRPr="00644F6B">
              <w:rPr>
                <w:rFonts w:ascii="Calibri" w:hAnsi="Calibri" w:cs="Calibri"/>
                <w:i/>
                <w:color w:val="4472C4" w:themeColor="accent1"/>
                <w:lang w:val="en-US"/>
              </w:rPr>
              <w:t>) of fossil/bio-gas [1</w:t>
            </w:r>
            <w:r w:rsidR="00CC318B">
              <w:rPr>
                <w:rFonts w:ascii="Calibri" w:hAnsi="Calibri" w:cs="Calibri"/>
                <w:i/>
                <w:color w:val="4472C4" w:themeColor="accent1"/>
                <w:lang w:val="en-US"/>
              </w:rPr>
              <w:t>9</w:t>
            </w:r>
            <w:r w:rsidRPr="00644F6B">
              <w:rPr>
                <w:rFonts w:ascii="Calibri" w:hAnsi="Calibri" w:cs="Calibri"/>
                <w:i/>
                <w:color w:val="4472C4" w:themeColor="accent1"/>
                <w:lang w:val="en-US"/>
              </w:rPr>
              <w:t>].</w:t>
            </w:r>
          </w:p>
          <w:p w14:paraId="12C7D581" w14:textId="17566EE3" w:rsidR="006B3876" w:rsidRPr="00644F6B" w:rsidRDefault="006B3876" w:rsidP="009F62D0">
            <w:pPr>
              <w:pStyle w:val="NormalWeb"/>
              <w:spacing w:before="0" w:beforeAutospacing="0" w:after="0" w:afterAutospacing="0"/>
              <w:rPr>
                <w:rFonts w:ascii="Calibri" w:hAnsi="Calibri" w:cs="Calibri"/>
                <w:i/>
                <w:color w:val="4472C4" w:themeColor="accent1"/>
                <w:lang w:val="en-US"/>
              </w:rPr>
            </w:pPr>
          </w:p>
          <w:p w14:paraId="69E8B6B4" w14:textId="35645290" w:rsidR="006B3876" w:rsidRPr="00644F6B" w:rsidRDefault="006B3876"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Here we reference several works related to the short-term implications: </w:t>
            </w:r>
          </w:p>
          <w:p w14:paraId="55F9ADCD" w14:textId="77777777" w:rsidR="00C93B94" w:rsidRPr="00644F6B" w:rsidRDefault="00C93B94" w:rsidP="009F62D0">
            <w:pPr>
              <w:pStyle w:val="NormalWeb"/>
              <w:spacing w:before="0" w:beforeAutospacing="0" w:after="0" w:afterAutospacing="0"/>
              <w:rPr>
                <w:rFonts w:ascii="Calibri" w:hAnsi="Calibri" w:cs="Calibri"/>
                <w:color w:val="4472C4" w:themeColor="accent1"/>
                <w:lang w:val="en-US"/>
              </w:rPr>
            </w:pPr>
          </w:p>
          <w:p w14:paraId="74468358" w14:textId="01581B51" w:rsidR="00C93B94" w:rsidRPr="00644F6B" w:rsidRDefault="00C93B94" w:rsidP="00C93B94">
            <w:pPr>
              <w:rPr>
                <w:color w:val="4472C4" w:themeColor="accent1"/>
                <w:lang w:val="en-US"/>
              </w:rPr>
            </w:pPr>
            <w:r w:rsidRPr="00644F6B">
              <w:rPr>
                <w:rFonts w:ascii="Arial" w:hAnsi="Arial" w:cs="Arial"/>
                <w:color w:val="4472C4" w:themeColor="accent1"/>
                <w:sz w:val="20"/>
                <w:szCs w:val="20"/>
                <w:lang w:val="en-US"/>
              </w:rPr>
              <w:t>[1</w:t>
            </w:r>
            <w:r w:rsidR="00BC4E79">
              <w:rPr>
                <w:rFonts w:ascii="Arial" w:hAnsi="Arial" w:cs="Arial"/>
                <w:color w:val="4472C4" w:themeColor="accent1"/>
                <w:sz w:val="20"/>
                <w:szCs w:val="20"/>
                <w:lang w:val="en-US"/>
              </w:rPr>
              <w:t>9</w:t>
            </w:r>
            <w:r w:rsidRPr="00644F6B">
              <w:rPr>
                <w:rFonts w:ascii="Arial" w:hAnsi="Arial" w:cs="Arial"/>
                <w:color w:val="4472C4" w:themeColor="accent1"/>
                <w:sz w:val="20"/>
                <w:szCs w:val="20"/>
                <w:lang w:val="en-US"/>
              </w:rPr>
              <w:t xml:space="preserve">] European Commission. </w:t>
            </w:r>
            <w:proofErr w:type="spellStart"/>
            <w:r w:rsidRPr="00644F6B">
              <w:rPr>
                <w:rFonts w:ascii="Arial" w:hAnsi="Arial" w:cs="Arial"/>
                <w:color w:val="4472C4" w:themeColor="accent1"/>
                <w:sz w:val="20"/>
                <w:szCs w:val="20"/>
                <w:lang w:val="en-US"/>
              </w:rPr>
              <w:t>REPowerEU</w:t>
            </w:r>
            <w:proofErr w:type="spellEnd"/>
            <w:r w:rsidRPr="00644F6B">
              <w:rPr>
                <w:rFonts w:ascii="Arial" w:hAnsi="Arial" w:cs="Arial"/>
                <w:color w:val="4472C4" w:themeColor="accent1"/>
                <w:sz w:val="20"/>
                <w:szCs w:val="20"/>
                <w:lang w:val="en-US"/>
              </w:rPr>
              <w:t>: Joint European action for more affordable, secure and sustainable energy.</w:t>
            </w:r>
            <w:r w:rsidRPr="00644F6B">
              <w:rPr>
                <w:rFonts w:ascii="Lato" w:hAnsi="Lato"/>
                <w:color w:val="4472C4" w:themeColor="accent1"/>
                <w:lang w:val="en-US"/>
              </w:rPr>
              <w:br/>
            </w:r>
            <w:r w:rsidRPr="00644F6B">
              <w:rPr>
                <w:rFonts w:ascii="Arial" w:hAnsi="Arial" w:cs="Arial"/>
                <w:color w:val="4472C4" w:themeColor="accent1"/>
                <w:sz w:val="20"/>
                <w:szCs w:val="20"/>
                <w:lang w:val="en-US"/>
              </w:rPr>
              <w:t xml:space="preserve">Mar. 2022. URL: </w:t>
            </w:r>
            <w:hyperlink r:id="rId8" w:history="1">
              <w:r w:rsidR="000B3B72" w:rsidRPr="00644F6B">
                <w:rPr>
                  <w:rStyle w:val="Hyperlink"/>
                  <w:lang w:val="en-US"/>
                </w:rPr>
                <w:t>https://ec</w:t>
              </w:r>
            </w:hyperlink>
            <w:r w:rsidRPr="00644F6B">
              <w:rPr>
                <w:rFonts w:ascii="Arial" w:hAnsi="Arial" w:cs="Arial"/>
                <w:color w:val="4472C4" w:themeColor="accent1"/>
                <w:sz w:val="20"/>
                <w:szCs w:val="20"/>
                <w:lang w:val="en-US"/>
              </w:rPr>
              <w:t>.europa.eu/commission/presscorner/detail/en/ip_22_1511 (visited on</w:t>
            </w:r>
            <w:r w:rsidRPr="00644F6B">
              <w:rPr>
                <w:rFonts w:ascii="Lato" w:hAnsi="Lato"/>
                <w:color w:val="4472C4" w:themeColor="accent1"/>
                <w:lang w:val="en-US"/>
              </w:rPr>
              <w:br/>
            </w:r>
            <w:r w:rsidRPr="00644F6B">
              <w:rPr>
                <w:rFonts w:ascii="Arial" w:hAnsi="Arial" w:cs="Arial"/>
                <w:color w:val="4472C4" w:themeColor="accent1"/>
                <w:sz w:val="20"/>
                <w:szCs w:val="20"/>
                <w:lang w:val="en-US"/>
              </w:rPr>
              <w:t>09/03/2022).</w:t>
            </w:r>
          </w:p>
          <w:p w14:paraId="3EC56048" w14:textId="2DEDF6B2" w:rsidR="00C93B94" w:rsidRPr="00644F6B" w:rsidRDefault="00C93B94" w:rsidP="00C93B94">
            <w:pPr>
              <w:rPr>
                <w:rFonts w:ascii="Arial" w:hAnsi="Arial" w:cs="Arial"/>
                <w:color w:val="4472C4" w:themeColor="accent1"/>
                <w:sz w:val="20"/>
                <w:szCs w:val="20"/>
                <w:lang w:val="en-US"/>
              </w:rPr>
            </w:pPr>
            <w:r w:rsidRPr="00644F6B">
              <w:rPr>
                <w:rFonts w:ascii="Arial" w:hAnsi="Arial" w:cs="Arial"/>
                <w:color w:val="4472C4" w:themeColor="accent1"/>
                <w:sz w:val="20"/>
                <w:szCs w:val="20"/>
                <w:lang w:val="en-US"/>
              </w:rPr>
              <w:t>[</w:t>
            </w:r>
            <w:r w:rsidR="00BC4E79">
              <w:rPr>
                <w:rFonts w:ascii="Arial" w:hAnsi="Arial" w:cs="Arial"/>
                <w:color w:val="4472C4" w:themeColor="accent1"/>
                <w:sz w:val="20"/>
                <w:szCs w:val="20"/>
                <w:lang w:val="en-US"/>
              </w:rPr>
              <w:t>20</w:t>
            </w:r>
            <w:r w:rsidRPr="00644F6B">
              <w:rPr>
                <w:rFonts w:ascii="Arial" w:hAnsi="Arial" w:cs="Arial"/>
                <w:color w:val="4472C4" w:themeColor="accent1"/>
                <w:sz w:val="20"/>
                <w:szCs w:val="20"/>
                <w:lang w:val="en-US"/>
              </w:rPr>
              <w:t>] IEA. A 10-Point Plan to Reduce the European Union’s Reliance on Russian Natural Gas. Tech. rep. 2022. URL:</w:t>
            </w:r>
            <w:r w:rsidRPr="00644F6B">
              <w:rPr>
                <w:rFonts w:ascii="Lato" w:hAnsi="Lato"/>
                <w:color w:val="4472C4" w:themeColor="accent1"/>
                <w:lang w:val="en-US"/>
              </w:rPr>
              <w:br/>
            </w:r>
            <w:hyperlink r:id="rId9" w:history="1">
              <w:r w:rsidR="000B3B72" w:rsidRPr="00644F6B">
                <w:rPr>
                  <w:rStyle w:val="Hyperlink"/>
                  <w:lang w:val="en-US"/>
                </w:rPr>
                <w:t>https://www</w:t>
              </w:r>
            </w:hyperlink>
            <w:r w:rsidRPr="00644F6B">
              <w:rPr>
                <w:rFonts w:ascii="Arial" w:hAnsi="Arial" w:cs="Arial"/>
                <w:color w:val="4472C4" w:themeColor="accent1"/>
                <w:sz w:val="20"/>
                <w:szCs w:val="20"/>
                <w:lang w:val="en-US"/>
              </w:rPr>
              <w:t>.iea.org/reports/a-10-point-plan-to-reduce-the-european-unions-reliance-on-</w:t>
            </w:r>
            <w:r w:rsidRPr="00644F6B">
              <w:rPr>
                <w:rFonts w:ascii="Lato" w:hAnsi="Lato"/>
                <w:color w:val="4472C4" w:themeColor="accent1"/>
                <w:lang w:val="en-US"/>
              </w:rPr>
              <w:br/>
            </w:r>
            <w:r w:rsidR="000B3B72">
              <w:rPr>
                <w:rFonts w:ascii="Arial" w:hAnsi="Arial" w:cs="Arial"/>
                <w:color w:val="4472C4" w:themeColor="accent1"/>
                <w:sz w:val="20"/>
                <w:szCs w:val="20"/>
                <w:lang w:val="en-US"/>
              </w:rPr>
              <w:pgNum/>
            </w:r>
            <w:proofErr w:type="spellStart"/>
            <w:r w:rsidR="000B3B72">
              <w:rPr>
                <w:rFonts w:ascii="Arial" w:hAnsi="Arial" w:cs="Arial"/>
                <w:color w:val="4472C4" w:themeColor="accent1"/>
                <w:sz w:val="20"/>
                <w:szCs w:val="20"/>
                <w:lang w:val="en-US"/>
              </w:rPr>
              <w:t>ruegel</w:t>
            </w:r>
            <w:proofErr w:type="spellEnd"/>
            <w:r w:rsidRPr="00644F6B">
              <w:rPr>
                <w:rFonts w:ascii="Arial" w:hAnsi="Arial" w:cs="Arial"/>
                <w:color w:val="4472C4" w:themeColor="accent1"/>
                <w:sz w:val="20"/>
                <w:szCs w:val="20"/>
                <w:lang w:val="en-US"/>
              </w:rPr>
              <w:t>-natural-gas.</w:t>
            </w:r>
          </w:p>
          <w:p w14:paraId="057FFAA9" w14:textId="133FE4F0" w:rsidR="00C93B94" w:rsidRPr="00644F6B" w:rsidRDefault="00C93B94" w:rsidP="00C93B94">
            <w:pPr>
              <w:rPr>
                <w:rFonts w:ascii="Arial" w:hAnsi="Arial" w:cs="Arial"/>
                <w:color w:val="4472C4" w:themeColor="accent1"/>
                <w:sz w:val="20"/>
                <w:szCs w:val="20"/>
                <w:lang w:val="en-US"/>
              </w:rPr>
            </w:pPr>
            <w:r w:rsidRPr="00644F6B">
              <w:rPr>
                <w:rFonts w:ascii="Arial" w:hAnsi="Arial" w:cs="Arial"/>
                <w:color w:val="4472C4" w:themeColor="accent1"/>
                <w:sz w:val="20"/>
                <w:szCs w:val="20"/>
                <w:lang w:val="en-US"/>
              </w:rPr>
              <w:t>[</w:t>
            </w:r>
            <w:r w:rsidR="00BC4E79">
              <w:rPr>
                <w:rFonts w:ascii="Arial" w:hAnsi="Arial" w:cs="Arial"/>
                <w:color w:val="4472C4" w:themeColor="accent1"/>
                <w:sz w:val="20"/>
                <w:szCs w:val="20"/>
                <w:lang w:val="en-US"/>
              </w:rPr>
              <w:t>31</w:t>
            </w:r>
            <w:r w:rsidRPr="00644F6B">
              <w:rPr>
                <w:rFonts w:ascii="Arial" w:hAnsi="Arial" w:cs="Arial"/>
                <w:color w:val="4472C4" w:themeColor="accent1"/>
                <w:sz w:val="20"/>
                <w:szCs w:val="20"/>
                <w:lang w:val="en-US"/>
              </w:rPr>
              <w:t xml:space="preserve">] McWilliams, B., </w:t>
            </w:r>
            <w:proofErr w:type="spellStart"/>
            <w:r w:rsidRPr="00644F6B">
              <w:rPr>
                <w:rFonts w:ascii="Arial" w:hAnsi="Arial" w:cs="Arial"/>
                <w:color w:val="4472C4" w:themeColor="accent1"/>
                <w:sz w:val="20"/>
                <w:szCs w:val="20"/>
                <w:lang w:val="en-US"/>
              </w:rPr>
              <w:t>Sgaravatti</w:t>
            </w:r>
            <w:proofErr w:type="spellEnd"/>
            <w:r w:rsidRPr="00644F6B">
              <w:rPr>
                <w:rFonts w:ascii="Arial" w:hAnsi="Arial" w:cs="Arial"/>
                <w:color w:val="4472C4" w:themeColor="accent1"/>
                <w:sz w:val="20"/>
                <w:szCs w:val="20"/>
                <w:lang w:val="en-US"/>
              </w:rPr>
              <w:t xml:space="preserve">, G., </w:t>
            </w:r>
            <w:proofErr w:type="spellStart"/>
            <w:r w:rsidRPr="00644F6B">
              <w:rPr>
                <w:rFonts w:ascii="Arial" w:hAnsi="Arial" w:cs="Arial"/>
                <w:color w:val="4472C4" w:themeColor="accent1"/>
                <w:sz w:val="20"/>
                <w:szCs w:val="20"/>
                <w:lang w:val="en-US"/>
              </w:rPr>
              <w:t>Tagliapietra</w:t>
            </w:r>
            <w:proofErr w:type="spellEnd"/>
            <w:r w:rsidRPr="00644F6B">
              <w:rPr>
                <w:rFonts w:ascii="Arial" w:hAnsi="Arial" w:cs="Arial"/>
                <w:color w:val="4472C4" w:themeColor="accent1"/>
                <w:sz w:val="20"/>
                <w:szCs w:val="20"/>
                <w:lang w:val="en-US"/>
              </w:rPr>
              <w:t xml:space="preserve">, S., and </w:t>
            </w:r>
            <w:proofErr w:type="spellStart"/>
            <w:r w:rsidRPr="00644F6B">
              <w:rPr>
                <w:rFonts w:ascii="Arial" w:hAnsi="Arial" w:cs="Arial"/>
                <w:color w:val="4472C4" w:themeColor="accent1"/>
                <w:sz w:val="20"/>
                <w:szCs w:val="20"/>
                <w:lang w:val="en-US"/>
              </w:rPr>
              <w:t>Zachmann</w:t>
            </w:r>
            <w:proofErr w:type="spellEnd"/>
            <w:r w:rsidRPr="00644F6B">
              <w:rPr>
                <w:rFonts w:ascii="Arial" w:hAnsi="Arial" w:cs="Arial"/>
                <w:color w:val="4472C4" w:themeColor="accent1"/>
                <w:sz w:val="20"/>
                <w:szCs w:val="20"/>
                <w:lang w:val="en-US"/>
              </w:rPr>
              <w:t>, G. Preparing for the first winter without Russian</w:t>
            </w:r>
            <w:r w:rsidRPr="00644F6B">
              <w:rPr>
                <w:rFonts w:ascii="Lato" w:hAnsi="Lato"/>
                <w:color w:val="4472C4" w:themeColor="accent1"/>
                <w:lang w:val="en-US"/>
              </w:rPr>
              <w:br/>
            </w:r>
            <w:r w:rsidRPr="00644F6B">
              <w:rPr>
                <w:rFonts w:ascii="Arial" w:hAnsi="Arial" w:cs="Arial"/>
                <w:color w:val="4472C4" w:themeColor="accent1"/>
                <w:sz w:val="20"/>
                <w:szCs w:val="20"/>
                <w:lang w:val="en-US"/>
              </w:rPr>
              <w:t xml:space="preserve">gas. Tech. rep. 2022. URL: </w:t>
            </w:r>
            <w:hyperlink r:id="rId10" w:history="1">
              <w:r w:rsidR="000B3B72" w:rsidRPr="00644F6B">
                <w:rPr>
                  <w:rStyle w:val="Hyperlink"/>
                  <w:lang w:val="en-US"/>
                </w:rPr>
                <w:t>https://www</w:t>
              </w:r>
            </w:hyperlink>
            <w:r w:rsidRPr="00644F6B">
              <w:rPr>
                <w:rFonts w:ascii="Arial" w:hAnsi="Arial" w:cs="Arial"/>
                <w:color w:val="4472C4" w:themeColor="accent1"/>
                <w:sz w:val="20"/>
                <w:szCs w:val="20"/>
                <w:lang w:val="en-US"/>
              </w:rPr>
              <w:t>.bruegel.org/2022/02/preparing-for-the-first-winter-</w:t>
            </w:r>
            <w:r w:rsidRPr="00644F6B">
              <w:rPr>
                <w:rFonts w:ascii="Lato" w:hAnsi="Lato"/>
                <w:color w:val="4472C4" w:themeColor="accent1"/>
                <w:lang w:val="en-US"/>
              </w:rPr>
              <w:br/>
            </w:r>
            <w:r w:rsidRPr="00644F6B">
              <w:rPr>
                <w:rFonts w:ascii="Arial" w:hAnsi="Arial" w:cs="Arial"/>
                <w:color w:val="4472C4" w:themeColor="accent1"/>
                <w:sz w:val="20"/>
                <w:szCs w:val="20"/>
                <w:lang w:val="en-US"/>
              </w:rPr>
              <w:t>without-</w:t>
            </w:r>
            <w:proofErr w:type="spellStart"/>
            <w:r w:rsidRPr="00644F6B">
              <w:rPr>
                <w:rFonts w:ascii="Arial" w:hAnsi="Arial" w:cs="Arial"/>
                <w:color w:val="4472C4" w:themeColor="accent1"/>
                <w:sz w:val="20"/>
                <w:szCs w:val="20"/>
                <w:lang w:val="en-US"/>
              </w:rPr>
              <w:t>russian</w:t>
            </w:r>
            <w:proofErr w:type="spellEnd"/>
            <w:r w:rsidRPr="00644F6B">
              <w:rPr>
                <w:rFonts w:ascii="Arial" w:hAnsi="Arial" w:cs="Arial"/>
                <w:color w:val="4472C4" w:themeColor="accent1"/>
                <w:sz w:val="20"/>
                <w:szCs w:val="20"/>
                <w:lang w:val="en-US"/>
              </w:rPr>
              <w:t>-gas/ (visited on 10/03/2022).</w:t>
            </w:r>
          </w:p>
          <w:p w14:paraId="673A735B" w14:textId="07567B81" w:rsidR="00C93B94" w:rsidRPr="006B3876" w:rsidRDefault="00C93B94" w:rsidP="00C93B94">
            <w:pPr>
              <w:rPr>
                <w:color w:val="4472C4" w:themeColor="accent1"/>
              </w:rPr>
            </w:pPr>
            <w:r w:rsidRPr="00644F6B">
              <w:rPr>
                <w:rFonts w:ascii="Arial" w:hAnsi="Arial" w:cs="Arial"/>
                <w:color w:val="4472C4" w:themeColor="accent1"/>
                <w:sz w:val="20"/>
                <w:szCs w:val="20"/>
                <w:lang w:val="en-US"/>
              </w:rPr>
              <w:t>[</w:t>
            </w:r>
            <w:r w:rsidR="00BC4E79">
              <w:rPr>
                <w:rFonts w:ascii="Arial" w:hAnsi="Arial" w:cs="Arial"/>
                <w:color w:val="4472C4" w:themeColor="accent1"/>
                <w:sz w:val="20"/>
                <w:szCs w:val="20"/>
                <w:lang w:val="en-US"/>
              </w:rPr>
              <w:t>32</w:t>
            </w:r>
            <w:r w:rsidRPr="00644F6B">
              <w:rPr>
                <w:rFonts w:ascii="Arial" w:hAnsi="Arial" w:cs="Arial"/>
                <w:color w:val="4472C4" w:themeColor="accent1"/>
                <w:sz w:val="20"/>
                <w:szCs w:val="20"/>
                <w:lang w:val="en-US"/>
              </w:rPr>
              <w:t xml:space="preserve">] Reuters. Dutch limit gas production at Groningen despite energy crisis. </w:t>
            </w:r>
            <w:r w:rsidRPr="006B3876">
              <w:rPr>
                <w:rFonts w:ascii="Arial" w:hAnsi="Arial" w:cs="Arial"/>
                <w:color w:val="4472C4" w:themeColor="accent1"/>
                <w:sz w:val="20"/>
                <w:szCs w:val="20"/>
              </w:rPr>
              <w:t xml:space="preserve">2022. URL: </w:t>
            </w:r>
            <w:hyperlink r:id="rId11" w:history="1">
              <w:r w:rsidR="000B3B72" w:rsidRPr="002C6A24">
                <w:rPr>
                  <w:rStyle w:val="Hyperlink"/>
                  <w:rFonts w:ascii="Arial" w:hAnsi="Arial" w:cs="Arial"/>
                  <w:sz w:val="20"/>
                  <w:szCs w:val="20"/>
                </w:rPr>
                <w:t>https://www</w:t>
              </w:r>
            </w:hyperlink>
            <w:r w:rsidRPr="006B3876">
              <w:rPr>
                <w:rFonts w:ascii="Arial" w:hAnsi="Arial" w:cs="Arial"/>
                <w:color w:val="4472C4" w:themeColor="accent1"/>
                <w:sz w:val="20"/>
                <w:szCs w:val="20"/>
              </w:rPr>
              <w:t>.reuters.</w:t>
            </w:r>
            <w:r w:rsidRPr="006B3876">
              <w:rPr>
                <w:rFonts w:ascii="Lato" w:hAnsi="Lato"/>
                <w:color w:val="4472C4" w:themeColor="accent1"/>
              </w:rPr>
              <w:br/>
            </w:r>
            <w:r w:rsidRPr="006B3876">
              <w:rPr>
                <w:rFonts w:ascii="Arial" w:hAnsi="Arial" w:cs="Arial"/>
                <w:color w:val="4472C4" w:themeColor="accent1"/>
                <w:sz w:val="20"/>
                <w:szCs w:val="20"/>
              </w:rPr>
              <w:t>com/article/netherlands-gas/dutch-limit-gas-production-at-groningen-despite-energy-</w:t>
            </w:r>
            <w:r w:rsidRPr="006B3876">
              <w:rPr>
                <w:rFonts w:ascii="Lato" w:hAnsi="Lato"/>
                <w:color w:val="4472C4" w:themeColor="accent1"/>
              </w:rPr>
              <w:br/>
            </w:r>
            <w:r w:rsidRPr="006B3876">
              <w:rPr>
                <w:rFonts w:ascii="Arial" w:hAnsi="Arial" w:cs="Arial"/>
                <w:color w:val="4472C4" w:themeColor="accent1"/>
                <w:sz w:val="20"/>
                <w:szCs w:val="20"/>
              </w:rPr>
              <w:t>crisis-idUKL2N2VH1A0.</w:t>
            </w:r>
          </w:p>
          <w:p w14:paraId="138F37E4" w14:textId="77777777" w:rsidR="00BC4E79" w:rsidRPr="006B3876" w:rsidRDefault="00BC4E79" w:rsidP="00BC4E79">
            <w:pPr>
              <w:rPr>
                <w:color w:val="4472C4" w:themeColor="accent1"/>
              </w:rPr>
            </w:pPr>
            <w:r w:rsidRPr="006B3876">
              <w:rPr>
                <w:rFonts w:ascii="Arial" w:hAnsi="Arial" w:cs="Arial"/>
                <w:color w:val="4472C4" w:themeColor="accent1"/>
                <w:sz w:val="20"/>
                <w:szCs w:val="20"/>
              </w:rPr>
              <w:t>[</w:t>
            </w:r>
            <w:r>
              <w:rPr>
                <w:rFonts w:ascii="Arial" w:hAnsi="Arial" w:cs="Arial"/>
                <w:color w:val="4472C4" w:themeColor="accent1"/>
                <w:sz w:val="20"/>
                <w:szCs w:val="20"/>
              </w:rPr>
              <w:t>33</w:t>
            </w:r>
            <w:r w:rsidRPr="006B3876">
              <w:rPr>
                <w:rFonts w:ascii="Arial" w:hAnsi="Arial" w:cs="Arial"/>
                <w:color w:val="4472C4" w:themeColor="accent1"/>
                <w:sz w:val="20"/>
                <w:szCs w:val="20"/>
              </w:rPr>
              <w:t xml:space="preserve">] Altinget. Ea Energianalyse: Sådan kan Danmark frigøre sig fra russisk gas. 2022. URL: </w:t>
            </w:r>
            <w:hyperlink r:id="rId12" w:history="1">
              <w:r w:rsidRPr="002C6A24">
                <w:rPr>
                  <w:rStyle w:val="Hyperlink"/>
                  <w:rFonts w:ascii="Arial" w:hAnsi="Arial" w:cs="Arial"/>
                  <w:sz w:val="20"/>
                  <w:szCs w:val="20"/>
                </w:rPr>
                <w:t>https://www</w:t>
              </w:r>
            </w:hyperlink>
            <w:r w:rsidRPr="006B3876">
              <w:rPr>
                <w:rFonts w:ascii="Arial" w:hAnsi="Arial" w:cs="Arial"/>
                <w:color w:val="4472C4" w:themeColor="accent1"/>
                <w:sz w:val="20"/>
                <w:szCs w:val="20"/>
              </w:rPr>
              <w:t>.altinget.</w:t>
            </w:r>
            <w:r w:rsidRPr="006B3876">
              <w:rPr>
                <w:rFonts w:ascii="Lato" w:hAnsi="Lato"/>
                <w:color w:val="4472C4" w:themeColor="accent1"/>
              </w:rPr>
              <w:br/>
            </w:r>
            <w:r w:rsidRPr="006B3876">
              <w:rPr>
                <w:rFonts w:ascii="Arial" w:hAnsi="Arial" w:cs="Arial"/>
                <w:color w:val="4472C4" w:themeColor="accent1"/>
                <w:sz w:val="20"/>
                <w:szCs w:val="20"/>
              </w:rPr>
              <w:t xml:space="preserve">dk / energi / artikel / ea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energianalyse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w:t>
            </w:r>
            <w:proofErr w:type="spellStart"/>
            <w:r w:rsidRPr="006B3876">
              <w:rPr>
                <w:rFonts w:ascii="Arial" w:hAnsi="Arial" w:cs="Arial"/>
                <w:color w:val="4472C4" w:themeColor="accent1"/>
                <w:sz w:val="20"/>
                <w:szCs w:val="20"/>
              </w:rPr>
              <w:t>saadan</w:t>
            </w:r>
            <w:proofErr w:type="spellEnd"/>
            <w:r w:rsidRPr="006B3876">
              <w:rPr>
                <w:rFonts w:ascii="Arial" w:hAnsi="Arial" w:cs="Arial"/>
                <w:color w:val="4472C4" w:themeColor="accent1"/>
                <w:sz w:val="20"/>
                <w:szCs w:val="20"/>
              </w:rPr>
              <w:t xml:space="preserve">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kan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w:t>
            </w:r>
            <w:proofErr w:type="spellStart"/>
            <w:r w:rsidRPr="006B3876">
              <w:rPr>
                <w:rFonts w:ascii="Arial" w:hAnsi="Arial" w:cs="Arial"/>
                <w:color w:val="4472C4" w:themeColor="accent1"/>
                <w:sz w:val="20"/>
                <w:szCs w:val="20"/>
              </w:rPr>
              <w:t>danmark</w:t>
            </w:r>
            <w:proofErr w:type="spellEnd"/>
            <w:r w:rsidRPr="006B3876">
              <w:rPr>
                <w:rFonts w:ascii="Arial" w:hAnsi="Arial" w:cs="Arial"/>
                <w:color w:val="4472C4" w:themeColor="accent1"/>
                <w:sz w:val="20"/>
                <w:szCs w:val="20"/>
              </w:rPr>
              <w:t xml:space="preserve">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w:t>
            </w:r>
            <w:proofErr w:type="spellStart"/>
            <w:r w:rsidRPr="006B3876">
              <w:rPr>
                <w:rFonts w:ascii="Arial" w:hAnsi="Arial" w:cs="Arial"/>
                <w:color w:val="4472C4" w:themeColor="accent1"/>
                <w:sz w:val="20"/>
                <w:szCs w:val="20"/>
              </w:rPr>
              <w:t>frigoere</w:t>
            </w:r>
            <w:proofErr w:type="spellEnd"/>
            <w:r w:rsidRPr="006B3876">
              <w:rPr>
                <w:rFonts w:ascii="Arial" w:hAnsi="Arial" w:cs="Arial"/>
                <w:color w:val="4472C4" w:themeColor="accent1"/>
                <w:sz w:val="20"/>
                <w:szCs w:val="20"/>
              </w:rPr>
              <w:t xml:space="preserve">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sig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fra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russisk </w:t>
            </w:r>
            <w:r>
              <w:rPr>
                <w:rFonts w:ascii="Arial" w:hAnsi="Arial" w:cs="Arial"/>
                <w:color w:val="4472C4" w:themeColor="accent1"/>
                <w:sz w:val="20"/>
                <w:szCs w:val="20"/>
              </w:rPr>
              <w:t>–</w:t>
            </w:r>
            <w:r w:rsidRPr="006B3876">
              <w:rPr>
                <w:rFonts w:ascii="Arial" w:hAnsi="Arial" w:cs="Arial"/>
                <w:color w:val="4472C4" w:themeColor="accent1"/>
                <w:sz w:val="20"/>
                <w:szCs w:val="20"/>
              </w:rPr>
              <w:t xml:space="preserve"> gas</w:t>
            </w:r>
            <w:r w:rsidRPr="006B3876">
              <w:rPr>
                <w:rFonts w:ascii="Lato" w:hAnsi="Lato"/>
                <w:color w:val="4472C4" w:themeColor="accent1"/>
              </w:rPr>
              <w:br/>
            </w:r>
            <w:r w:rsidRPr="006B3876">
              <w:rPr>
                <w:rFonts w:ascii="Arial" w:hAnsi="Arial" w:cs="Arial"/>
                <w:color w:val="4472C4" w:themeColor="accent1"/>
                <w:sz w:val="20"/>
                <w:szCs w:val="20"/>
              </w:rPr>
              <w:t>(</w:t>
            </w:r>
            <w:proofErr w:type="spellStart"/>
            <w:r w:rsidRPr="006B3876">
              <w:rPr>
                <w:rFonts w:ascii="Arial" w:hAnsi="Arial" w:cs="Arial"/>
                <w:color w:val="4472C4" w:themeColor="accent1"/>
                <w:sz w:val="20"/>
                <w:szCs w:val="20"/>
              </w:rPr>
              <w:t>visited</w:t>
            </w:r>
            <w:proofErr w:type="spellEnd"/>
            <w:r w:rsidRPr="006B3876">
              <w:rPr>
                <w:rFonts w:ascii="Arial" w:hAnsi="Arial" w:cs="Arial"/>
                <w:color w:val="4472C4" w:themeColor="accent1"/>
                <w:sz w:val="20"/>
                <w:szCs w:val="20"/>
              </w:rPr>
              <w:t xml:space="preserve"> on 04/03/2022).</w:t>
            </w:r>
          </w:p>
          <w:p w14:paraId="548E9266" w14:textId="77777777" w:rsidR="00C93B94" w:rsidRDefault="00C93B94" w:rsidP="00C93B94"/>
          <w:p w14:paraId="4BD4B8D8" w14:textId="77777777" w:rsidR="00C93B94" w:rsidRDefault="00C93B94" w:rsidP="00C93B94"/>
          <w:p w14:paraId="6179BF22" w14:textId="617B847D" w:rsidR="00C93B94" w:rsidRPr="00C93B94" w:rsidRDefault="00C93B94" w:rsidP="009F62D0">
            <w:pPr>
              <w:pStyle w:val="NormalWeb"/>
              <w:spacing w:before="0" w:beforeAutospacing="0" w:after="0" w:afterAutospacing="0"/>
              <w:rPr>
                <w:rFonts w:ascii="Calibri" w:hAnsi="Calibri" w:cs="Calibri"/>
                <w:color w:val="4472C4" w:themeColor="accent1"/>
              </w:rPr>
            </w:pPr>
          </w:p>
        </w:tc>
      </w:tr>
    </w:tbl>
    <w:p w14:paraId="58D5E655" w14:textId="4C40BAA7" w:rsidR="005F4788" w:rsidRPr="00644F6B" w:rsidRDefault="005F4788" w:rsidP="00EE303E">
      <w:pPr>
        <w:pStyle w:val="NormalWeb"/>
        <w:spacing w:before="0" w:beforeAutospacing="0" w:after="0" w:afterAutospacing="0"/>
        <w:rPr>
          <w:rFonts w:ascii="Calibri" w:hAnsi="Calibri" w:cs="Calibri"/>
          <w:color w:val="000000"/>
          <w:lang w:val="en-US"/>
        </w:rPr>
      </w:pPr>
      <w:r w:rsidRPr="00BC4E79">
        <w:rPr>
          <w:rFonts w:ascii="Calibri" w:hAnsi="Calibri" w:cs="Calibri"/>
          <w:color w:val="000000"/>
        </w:rPr>
        <w:br/>
      </w:r>
      <w:r w:rsidR="00EE303E" w:rsidRPr="00BC4E79">
        <w:rPr>
          <w:rFonts w:ascii="Calibri" w:hAnsi="Calibri" w:cs="Calibri"/>
          <w:color w:val="000000"/>
        </w:rPr>
        <w:br/>
      </w:r>
      <w:r w:rsidR="00EE303E" w:rsidRPr="00644F6B">
        <w:rPr>
          <w:rFonts w:ascii="Calibri" w:hAnsi="Calibri" w:cs="Calibri"/>
          <w:color w:val="000000"/>
          <w:lang w:val="en-US"/>
        </w:rPr>
        <w:t>Third, the counterfactual 2°C scenario is, in my opinion irrelevant, as it is not in line with EU and MS policy. This is also evident from the numerical results, see e.g., the computed shadow price for CO2 emissions, which is well below the emission allowance futures that are being traded in EU ETS. Similarly, it's a pity that the computed prices aren</w:t>
      </w:r>
      <w:r w:rsidR="000B3B72">
        <w:rPr>
          <w:rFonts w:ascii="Calibri" w:hAnsi="Calibri" w:cs="Calibri"/>
          <w:color w:val="000000"/>
          <w:lang w:val="en-US"/>
        </w:rPr>
        <w:t>’</w:t>
      </w:r>
      <w:r w:rsidR="00EE303E" w:rsidRPr="00644F6B">
        <w:rPr>
          <w:rFonts w:ascii="Calibri" w:hAnsi="Calibri" w:cs="Calibri"/>
          <w:color w:val="000000"/>
          <w:lang w:val="en-US"/>
        </w:rPr>
        <w:t>t compared to today</w:t>
      </w:r>
      <w:r w:rsidR="000B3B72">
        <w:rPr>
          <w:rFonts w:ascii="Calibri" w:hAnsi="Calibri" w:cs="Calibri"/>
          <w:color w:val="000000"/>
          <w:lang w:val="en-US"/>
        </w:rPr>
        <w:t>’</w:t>
      </w:r>
      <w:r w:rsidR="00EE303E" w:rsidRPr="00644F6B">
        <w:rPr>
          <w:rFonts w:ascii="Calibri" w:hAnsi="Calibri" w:cs="Calibri"/>
          <w:color w:val="000000"/>
          <w:lang w:val="en-US"/>
        </w:rPr>
        <w:t>s values.</w:t>
      </w:r>
      <w:r w:rsidR="00EE303E" w:rsidRPr="00644F6B">
        <w:rPr>
          <w:rFonts w:ascii="Calibri" w:hAnsi="Calibri" w:cs="Calibri"/>
          <w:color w:val="000000"/>
          <w:lang w:val="en-US"/>
        </w:rPr>
        <w:br/>
      </w:r>
    </w:p>
    <w:p w14:paraId="20F22206" w14:textId="77777777" w:rsidR="005F4788" w:rsidRPr="00644F6B" w:rsidRDefault="005F4788" w:rsidP="005F478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5F4788" w:rsidRPr="00C75A20" w14:paraId="14846BE6"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040FFD2D" w14:textId="7F875BEF"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06DECD26" w14:textId="4803F4CF" w:rsidR="00BA485F" w:rsidRPr="00644F6B" w:rsidRDefault="00BA485F"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The climate ambition </w:t>
            </w:r>
            <w:r w:rsidR="007511A3" w:rsidRPr="00644F6B">
              <w:rPr>
                <w:rFonts w:ascii="Calibri" w:hAnsi="Calibri" w:cs="Calibri"/>
                <w:color w:val="4472C4" w:themeColor="accent1"/>
                <w:lang w:val="en-US"/>
              </w:rPr>
              <w:t xml:space="preserve">of the European Council </w:t>
            </w:r>
            <w:r w:rsidRPr="00644F6B">
              <w:rPr>
                <w:rFonts w:ascii="Calibri" w:hAnsi="Calibri" w:cs="Calibri"/>
                <w:color w:val="4472C4" w:themeColor="accent1"/>
                <w:lang w:val="en-US"/>
              </w:rPr>
              <w:t xml:space="preserve">is to reduce emissions to stay well below temperature increases of 2C. Thus, the 2C scenario </w:t>
            </w:r>
            <w:r w:rsidR="007511A3" w:rsidRPr="00644F6B">
              <w:rPr>
                <w:rFonts w:ascii="Calibri" w:hAnsi="Calibri" w:cs="Calibri"/>
                <w:color w:val="4472C4" w:themeColor="accent1"/>
                <w:lang w:val="en-US"/>
              </w:rPr>
              <w:t xml:space="preserve">serves as an upper bound for the ambitious set out by the European Commission, as “well below” can be interpreted in several ways. </w:t>
            </w:r>
          </w:p>
          <w:p w14:paraId="11C454A2" w14:textId="77777777" w:rsidR="00BA485F" w:rsidRPr="00644F6B" w:rsidRDefault="00BA485F" w:rsidP="009F62D0">
            <w:pPr>
              <w:pStyle w:val="NormalWeb"/>
              <w:spacing w:before="0" w:beforeAutospacing="0" w:after="0" w:afterAutospacing="0"/>
              <w:rPr>
                <w:rFonts w:ascii="Calibri" w:hAnsi="Calibri" w:cs="Calibri"/>
                <w:color w:val="4472C4" w:themeColor="accent1"/>
                <w:lang w:val="en-US"/>
              </w:rPr>
            </w:pPr>
          </w:p>
          <w:p w14:paraId="200666F6" w14:textId="3D39C769" w:rsidR="00BA485F" w:rsidRPr="00644F6B" w:rsidRDefault="00BA485F"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Historic CO2 prices have been added to Figure 4, showing that model results on CO2 prices is in-line with historic developments. </w:t>
            </w:r>
            <w:r w:rsidR="00B619C0">
              <w:rPr>
                <w:rFonts w:ascii="Calibri" w:hAnsi="Calibri" w:cs="Calibri"/>
                <w:color w:val="4472C4" w:themeColor="accent1"/>
                <w:lang w:val="en-US"/>
              </w:rPr>
              <w:t>However, it should be noted here that the CO2 price in our model does not distinguish between ETS and non-ETS emission rights. Rather it describes the shadow price of reducing CO2 emissions across all sectors. Thus, we do not expect a 1:1 match with the EU ETS futures.</w:t>
            </w:r>
          </w:p>
          <w:p w14:paraId="74705547" w14:textId="6F561A7B" w:rsidR="005F4788" w:rsidRPr="00C75A20" w:rsidRDefault="005F4788" w:rsidP="009F62D0">
            <w:pPr>
              <w:pStyle w:val="NormalWeb"/>
              <w:spacing w:before="0" w:beforeAutospacing="0" w:after="0" w:afterAutospacing="0"/>
              <w:rPr>
                <w:rFonts w:ascii="Calibri" w:hAnsi="Calibri" w:cs="Calibri"/>
                <w:color w:val="4472C4" w:themeColor="accent1"/>
              </w:rPr>
            </w:pPr>
            <w:r w:rsidRPr="00644F6B">
              <w:rPr>
                <w:rFonts w:ascii="Calibri" w:hAnsi="Calibri" w:cs="Calibri"/>
                <w:color w:val="4472C4" w:themeColor="accent1"/>
                <w:lang w:val="en-US"/>
              </w:rPr>
              <w:t xml:space="preserve">   </w:t>
            </w:r>
            <w:r w:rsidR="00BA485F">
              <w:rPr>
                <w:rFonts w:ascii="Calibri" w:hAnsi="Calibri" w:cs="Calibri"/>
                <w:noProof/>
                <w:color w:val="4472C4" w:themeColor="accent1"/>
              </w:rPr>
              <w:drawing>
                <wp:inline distT="0" distB="0" distL="0" distR="0" wp14:anchorId="5542C84F" wp14:editId="73C59F90">
                  <wp:extent cx="5727700" cy="4063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27700" cy="4063365"/>
                          </a:xfrm>
                          <a:prstGeom prst="rect">
                            <a:avLst/>
                          </a:prstGeom>
                        </pic:spPr>
                      </pic:pic>
                    </a:graphicData>
                  </a:graphic>
                </wp:inline>
              </w:drawing>
            </w:r>
          </w:p>
        </w:tc>
      </w:tr>
    </w:tbl>
    <w:p w14:paraId="2F2DAAB8" w14:textId="77777777" w:rsidR="005F4788" w:rsidRPr="00644F6B" w:rsidRDefault="005F4788" w:rsidP="005F4788">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r>
      <w:r w:rsidR="00EE303E" w:rsidRPr="00644F6B">
        <w:rPr>
          <w:rFonts w:ascii="Calibri" w:hAnsi="Calibri" w:cs="Calibri"/>
          <w:color w:val="000000"/>
          <w:lang w:val="en-US"/>
        </w:rPr>
        <w:br/>
        <w:t>In conclusion, I have the impression the authors rushed through this analysis in order to be the first to come out with a study on this topic. In such an important matter, I would, however, recommend a more detailed, nuanced analysis.</w:t>
      </w:r>
      <w:r w:rsidR="00EE303E" w:rsidRPr="00644F6B">
        <w:rPr>
          <w:rFonts w:ascii="Calibri" w:hAnsi="Calibri" w:cs="Calibri"/>
          <w:color w:val="000000"/>
          <w:lang w:val="en-US"/>
        </w:rPr>
        <w:br/>
      </w:r>
      <w:r w:rsidR="00EE303E" w:rsidRPr="00644F6B">
        <w:rPr>
          <w:rFonts w:ascii="Calibri" w:hAnsi="Calibri" w:cs="Calibri"/>
          <w:color w:val="000000"/>
          <w:lang w:val="en-US"/>
        </w:rPr>
        <w:br/>
      </w:r>
    </w:p>
    <w:tbl>
      <w:tblPr>
        <w:tblStyle w:val="TableGrid"/>
        <w:tblW w:w="0" w:type="auto"/>
        <w:tblLook w:val="04A0" w:firstRow="1" w:lastRow="0" w:firstColumn="1" w:lastColumn="0" w:noHBand="0" w:noVBand="1"/>
      </w:tblPr>
      <w:tblGrid>
        <w:gridCol w:w="9010"/>
      </w:tblGrid>
      <w:tr w:rsidR="005F4788" w:rsidRPr="00644F6B" w14:paraId="1436CB6D"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05FB18A8" w14:textId="77777777" w:rsidR="005F4788" w:rsidRPr="00C75A20" w:rsidRDefault="005F4788" w:rsidP="009F62D0">
            <w:pPr>
              <w:pStyle w:val="NormalWeb"/>
              <w:spacing w:before="0" w:beforeAutospacing="0" w:after="0" w:afterAutospacing="0"/>
              <w:rPr>
                <w:rFonts w:ascii="Calibri" w:hAnsi="Calibri" w:cs="Calibri"/>
                <w:color w:val="4472C4" w:themeColor="accent1"/>
              </w:rPr>
            </w:pPr>
            <w:proofErr w:type="spellStart"/>
            <w:r w:rsidRPr="00C75A20">
              <w:rPr>
                <w:rFonts w:ascii="Calibri" w:hAnsi="Calibri" w:cs="Calibri"/>
                <w:color w:val="4472C4" w:themeColor="accent1"/>
              </w:rPr>
              <w:t>Comment</w:t>
            </w:r>
            <w:proofErr w:type="spellEnd"/>
            <w:r w:rsidRPr="00C75A20">
              <w:rPr>
                <w:rFonts w:ascii="Calibri" w:hAnsi="Calibri" w:cs="Calibri"/>
                <w:color w:val="4472C4" w:themeColor="accent1"/>
              </w:rPr>
              <w:t>:</w:t>
            </w:r>
          </w:p>
          <w:p w14:paraId="05726B5F" w14:textId="03503965" w:rsidR="005F4788" w:rsidRPr="00C75A20" w:rsidRDefault="005F4788" w:rsidP="009F62D0">
            <w:pPr>
              <w:pStyle w:val="NormalWeb"/>
              <w:spacing w:before="0" w:beforeAutospacing="0" w:after="0" w:afterAutospacing="0"/>
              <w:rPr>
                <w:rFonts w:ascii="Calibri" w:hAnsi="Calibri" w:cs="Calibri"/>
                <w:color w:val="4472C4" w:themeColor="accent1"/>
              </w:rPr>
            </w:pPr>
            <w:r w:rsidRPr="00C75A20">
              <w:rPr>
                <w:rFonts w:ascii="Calibri" w:hAnsi="Calibri" w:cs="Calibri"/>
                <w:color w:val="4472C4" w:themeColor="accent1"/>
              </w:rPr>
              <w:t xml:space="preserve">   </w:t>
            </w:r>
          </w:p>
          <w:p w14:paraId="0CEDA745" w14:textId="192FFB1E" w:rsidR="005F4788" w:rsidRPr="00644F6B" w:rsidRDefault="002249A5" w:rsidP="001C0F74">
            <w:pPr>
              <w:pStyle w:val="NormalWeb"/>
              <w:spacing w:before="0" w:beforeAutospacing="0" w:after="0" w:afterAutospacing="0"/>
              <w:rPr>
                <w:rFonts w:ascii="Calibri" w:hAnsi="Calibri" w:cs="Calibri"/>
                <w:color w:val="4472C4" w:themeColor="accent1"/>
                <w:lang w:val="en-US"/>
              </w:rPr>
            </w:pPr>
            <w:r>
              <w:rPr>
                <w:rFonts w:ascii="Calibri" w:hAnsi="Calibri" w:cs="Calibri"/>
                <w:color w:val="4472C4" w:themeColor="accent1"/>
                <w:lang w:val="en-US"/>
              </w:rPr>
              <w:t xml:space="preserve">We believe that the topic of the paper is of immediate interest to both policymakers and the scientific community, which is why we have prioritized an unusual </w:t>
            </w:r>
            <w:proofErr w:type="gramStart"/>
            <w:r>
              <w:rPr>
                <w:rFonts w:ascii="Calibri" w:hAnsi="Calibri" w:cs="Calibri"/>
                <w:color w:val="4472C4" w:themeColor="accent1"/>
                <w:lang w:val="en-US"/>
              </w:rPr>
              <w:t>amount</w:t>
            </w:r>
            <w:proofErr w:type="gramEnd"/>
            <w:r>
              <w:rPr>
                <w:rFonts w:ascii="Calibri" w:hAnsi="Calibri" w:cs="Calibri"/>
                <w:color w:val="4472C4" w:themeColor="accent1"/>
                <w:lang w:val="en-US"/>
              </w:rPr>
              <w:t xml:space="preserve"> of </w:t>
            </w:r>
            <w:r>
              <w:rPr>
                <w:rFonts w:ascii="Calibri" w:hAnsi="Calibri" w:cs="Calibri"/>
                <w:color w:val="4472C4" w:themeColor="accent1"/>
                <w:lang w:val="en-US"/>
              </w:rPr>
              <w:lastRenderedPageBreak/>
              <w:t>resources to the analysis. We are thankful for all the reviewer comments as you have helped us identify nuances that we did not include in the first revision</w:t>
            </w:r>
            <w:r w:rsidR="00BC4E79">
              <w:rPr>
                <w:rFonts w:ascii="Calibri" w:hAnsi="Calibri" w:cs="Calibri"/>
                <w:color w:val="4472C4" w:themeColor="accent1"/>
                <w:lang w:val="en-US"/>
              </w:rPr>
              <w:t>.</w:t>
            </w:r>
          </w:p>
        </w:tc>
      </w:tr>
    </w:tbl>
    <w:p w14:paraId="7F19AE5D" w14:textId="3DEEA270" w:rsidR="005F4788" w:rsidRPr="00644F6B" w:rsidRDefault="005F4788"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lastRenderedPageBreak/>
        <w:br/>
      </w:r>
      <w:r w:rsidR="00EE303E" w:rsidRPr="00644F6B">
        <w:rPr>
          <w:rFonts w:ascii="Calibri" w:hAnsi="Calibri" w:cs="Calibri"/>
          <w:color w:val="000000"/>
          <w:lang w:val="en-US"/>
        </w:rPr>
        <w:br/>
      </w:r>
      <w:r w:rsidR="00EE303E" w:rsidRPr="00644F6B">
        <w:rPr>
          <w:rFonts w:ascii="Calibri" w:hAnsi="Calibri" w:cs="Calibri"/>
          <w:color w:val="000000"/>
          <w:lang w:val="en-US"/>
        </w:rPr>
        <w:br/>
      </w:r>
      <w:r w:rsidR="00EE303E" w:rsidRPr="00644F6B">
        <w:rPr>
          <w:rFonts w:ascii="Calibri" w:hAnsi="Calibri" w:cs="Calibri"/>
          <w:color w:val="000000"/>
          <w:lang w:val="en-US"/>
        </w:rPr>
        <w:br/>
        <w:t>Reviewer #3:</w:t>
      </w:r>
      <w:r w:rsidR="00EE303E" w:rsidRPr="00644F6B">
        <w:rPr>
          <w:rFonts w:ascii="Calibri" w:hAnsi="Calibri" w:cs="Calibri"/>
          <w:color w:val="000000"/>
          <w:lang w:val="en-US"/>
        </w:rPr>
        <w:br/>
      </w:r>
      <w:r w:rsidR="00EE303E" w:rsidRPr="00644F6B">
        <w:rPr>
          <w:rFonts w:ascii="Calibri" w:hAnsi="Calibri" w:cs="Calibri"/>
          <w:color w:val="000000"/>
          <w:lang w:val="en-US"/>
        </w:rPr>
        <w:br/>
        <w:t xml:space="preserve">The authors model the difference in </w:t>
      </w:r>
      <w:proofErr w:type="gramStart"/>
      <w:r w:rsidR="00EE303E" w:rsidRPr="00644F6B">
        <w:rPr>
          <w:rFonts w:ascii="Calibri" w:hAnsi="Calibri" w:cs="Calibri"/>
          <w:color w:val="000000"/>
          <w:lang w:val="en-US"/>
        </w:rPr>
        <w:t>an</w:t>
      </w:r>
      <w:proofErr w:type="gramEnd"/>
      <w:r w:rsidR="00EE303E" w:rsidRPr="00644F6B">
        <w:rPr>
          <w:rFonts w:ascii="Calibri" w:hAnsi="Calibri" w:cs="Calibri"/>
          <w:color w:val="000000"/>
          <w:lang w:val="en-US"/>
        </w:rPr>
        <w:t xml:space="preserve"> European energy system, taking into account potential gas supply constraints to Europe. While the paper is of course very timely, I do not see that it generates sufficiently new insights into our understanding of the European energy system to warrant a publication in Joule. </w:t>
      </w:r>
    </w:p>
    <w:p w14:paraId="0915BFA1" w14:textId="73873027" w:rsidR="001A411B" w:rsidRPr="00644F6B" w:rsidRDefault="001A411B" w:rsidP="001A411B">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t xml:space="preserve">In particular, the transition pathways with or without limiting gas are very similar, and the main difference is between the 1.5°C and 2°C pathway, which is an extensively studied topic </w:t>
      </w:r>
      <w:r w:rsidR="000B3B72">
        <w:rPr>
          <w:rFonts w:ascii="Calibri" w:hAnsi="Calibri" w:cs="Calibri"/>
          <w:color w:val="000000"/>
          <w:lang w:val="en-US"/>
        </w:rPr>
        <w:t>–</w:t>
      </w:r>
      <w:r w:rsidRPr="00644F6B">
        <w:rPr>
          <w:rFonts w:ascii="Calibri" w:hAnsi="Calibri" w:cs="Calibri"/>
          <w:color w:val="000000"/>
          <w:lang w:val="en-US"/>
        </w:rPr>
        <w:t xml:space="preserve"> and is not addressed in depth in the paper</w:t>
      </w:r>
      <w:r w:rsidRPr="00644F6B">
        <w:rPr>
          <w:rFonts w:ascii="Calibri" w:hAnsi="Calibri" w:cs="Calibri"/>
          <w:color w:val="000000"/>
          <w:highlight w:val="yellow"/>
          <w:lang w:val="en-US"/>
        </w:rPr>
        <w:t>.</w:t>
      </w:r>
      <w:r w:rsidRPr="00644F6B">
        <w:rPr>
          <w:rFonts w:ascii="Calibri" w:hAnsi="Calibri" w:cs="Calibri"/>
          <w:color w:val="000000"/>
          <w:lang w:val="en-US"/>
        </w:rPr>
        <w:t xml:space="preserve"> </w:t>
      </w:r>
    </w:p>
    <w:p w14:paraId="47E6FB8B" w14:textId="77777777" w:rsidR="005F4788" w:rsidRPr="00644F6B" w:rsidRDefault="005F4788" w:rsidP="005F4788">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5F4788" w:rsidRPr="00644F6B" w14:paraId="20F5C568" w14:textId="77777777" w:rsidTr="00644F6B">
        <w:trPr>
          <w:trHeight w:val="11321"/>
        </w:trPr>
        <w:tc>
          <w:tcPr>
            <w:tcW w:w="9010" w:type="dxa"/>
            <w:tcBorders>
              <w:top w:val="single" w:sz="4" w:space="0" w:color="4472C4"/>
              <w:left w:val="single" w:sz="4" w:space="0" w:color="4472C4"/>
              <w:bottom w:val="single" w:sz="4" w:space="0" w:color="4472C4"/>
              <w:right w:val="single" w:sz="4" w:space="0" w:color="4472C4"/>
            </w:tcBorders>
          </w:tcPr>
          <w:p w14:paraId="034CE6EE" w14:textId="426B80F5" w:rsidR="005F4788" w:rsidRPr="00644F6B" w:rsidRDefault="005F4788"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lastRenderedPageBreak/>
              <w:t>Comment:</w:t>
            </w:r>
          </w:p>
          <w:p w14:paraId="313F0E12" w14:textId="77777777" w:rsidR="00616303" w:rsidRPr="00644F6B" w:rsidRDefault="00616303" w:rsidP="009F62D0">
            <w:pPr>
              <w:pStyle w:val="NormalWeb"/>
              <w:spacing w:before="0" w:beforeAutospacing="0" w:after="0" w:afterAutospacing="0"/>
              <w:rPr>
                <w:rFonts w:ascii="Calibri" w:hAnsi="Calibri" w:cs="Calibri"/>
                <w:color w:val="4472C4" w:themeColor="accent1"/>
                <w:lang w:val="en-US"/>
              </w:rPr>
            </w:pPr>
          </w:p>
          <w:p w14:paraId="71828410" w14:textId="77777777" w:rsidR="001A110C" w:rsidRPr="00644F6B" w:rsidRDefault="005F4788" w:rsidP="001A110C">
            <w:pPr>
              <w:rPr>
                <w:color w:val="4472C4" w:themeColor="accent1"/>
                <w:lang w:val="en-US"/>
              </w:rPr>
            </w:pPr>
            <w:r w:rsidRPr="00644F6B">
              <w:rPr>
                <w:rFonts w:ascii="Calibri" w:hAnsi="Calibri" w:cs="Calibri"/>
                <w:color w:val="4472C4" w:themeColor="accent1"/>
                <w:lang w:val="en-US"/>
              </w:rPr>
              <w:t xml:space="preserve">   </w:t>
            </w:r>
            <w:r w:rsidR="001A110C" w:rsidRPr="00644F6B">
              <w:rPr>
                <w:color w:val="4472C4" w:themeColor="accent1"/>
                <w:lang w:val="en-US"/>
              </w:rPr>
              <w:t>The central idea and timing of the paper is obviously sparked by the current conflict between Russia and most Western nations, but this is not the scientific motivation for writing the paper. Rather the scientific novelty of the paper is in the fact that natural gas is seen as a key transitional fossil fuel in numerous studies in the literature. This point of view was also recently implemented directly in the European policy when natural gas was included in the EU green taxonomy, further emphasizing its wide-spread acceptance.</w:t>
            </w:r>
            <w:r w:rsidR="001A110C" w:rsidRPr="00644F6B">
              <w:rPr>
                <w:rStyle w:val="apple-converted-space"/>
                <w:color w:val="4472C4" w:themeColor="accent1"/>
                <w:lang w:val="en-US"/>
              </w:rPr>
              <w:t> </w:t>
            </w:r>
            <w:r w:rsidR="001A110C" w:rsidRPr="00644F6B">
              <w:rPr>
                <w:color w:val="4472C4" w:themeColor="accent1"/>
                <w:lang w:val="en-US"/>
              </w:rPr>
              <w:t> </w:t>
            </w:r>
          </w:p>
          <w:p w14:paraId="2CEB7468" w14:textId="244F40CF" w:rsidR="001A110C" w:rsidRPr="00644F6B" w:rsidRDefault="001A110C" w:rsidP="001A110C">
            <w:pPr>
              <w:rPr>
                <w:color w:val="4472C4" w:themeColor="accent1"/>
                <w:lang w:val="en-US"/>
              </w:rPr>
            </w:pPr>
            <w:r w:rsidRPr="00644F6B">
              <w:rPr>
                <w:color w:val="4472C4" w:themeColor="accent1"/>
                <w:lang w:val="en-US"/>
              </w:rPr>
              <w:t xml:space="preserve">However, the current Russian-European energy crisis is shining a new light on the role of gas in the European transition by highlighting the uncertainties associated with EU’s dependence on energy import. At the same time the carbon-equivalent emissions from gas over other fossil fuels </w:t>
            </w:r>
            <w:proofErr w:type="gramStart"/>
            <w:r w:rsidRPr="00644F6B">
              <w:rPr>
                <w:color w:val="4472C4" w:themeColor="accent1"/>
                <w:lang w:val="en-US"/>
              </w:rPr>
              <w:t>is</w:t>
            </w:r>
            <w:proofErr w:type="gramEnd"/>
            <w:r w:rsidRPr="00644F6B">
              <w:rPr>
                <w:color w:val="4472C4" w:themeColor="accent1"/>
                <w:lang w:val="en-US"/>
              </w:rPr>
              <w:t xml:space="preserve"> being heavily debated in the scientific literature, further challenging the role that gas can potentially play as a transitional fuel.</w:t>
            </w:r>
            <w:r w:rsidRPr="00644F6B">
              <w:rPr>
                <w:rStyle w:val="apple-converted-space"/>
                <w:color w:val="4472C4" w:themeColor="accent1"/>
                <w:lang w:val="en-US"/>
              </w:rPr>
              <w:t> </w:t>
            </w:r>
            <w:r w:rsidRPr="00644F6B">
              <w:rPr>
                <w:color w:val="4472C4" w:themeColor="accent1"/>
                <w:lang w:val="en-US"/>
              </w:rPr>
              <w:t> </w:t>
            </w:r>
          </w:p>
          <w:p w14:paraId="5FDD8768" w14:textId="77777777" w:rsidR="001A110C" w:rsidRPr="00644F6B" w:rsidRDefault="001A110C" w:rsidP="001A110C">
            <w:pPr>
              <w:rPr>
                <w:color w:val="4472C4" w:themeColor="accent1"/>
                <w:lang w:val="en-US"/>
              </w:rPr>
            </w:pPr>
            <w:r w:rsidRPr="00644F6B">
              <w:rPr>
                <w:color w:val="4472C4" w:themeColor="accent1"/>
                <w:lang w:val="en-US"/>
              </w:rPr>
              <w:t>Thus, the scientific motivation and novelty of the paper is to study how the decarbonization of the European energy system is affected if natural gas is limited in its ability to play a key role as a transitional fossil fuel. To the best of our knowledge no other study in the literature takes the point of view of a significantly reduced availability of natural gas and, thus, the insights gained from our study will advance the understanding of the European transition. Clearly, such insights are currently in high demand by both public, political and academic communities.</w:t>
            </w:r>
            <w:r w:rsidRPr="00644F6B">
              <w:rPr>
                <w:rStyle w:val="apple-converted-space"/>
                <w:color w:val="4472C4" w:themeColor="accent1"/>
                <w:lang w:val="en-US"/>
              </w:rPr>
              <w:t> </w:t>
            </w:r>
            <w:r w:rsidRPr="00644F6B">
              <w:rPr>
                <w:color w:val="4472C4" w:themeColor="accent1"/>
                <w:lang w:val="en-US"/>
              </w:rPr>
              <w:t> </w:t>
            </w:r>
          </w:p>
          <w:p w14:paraId="50A08183" w14:textId="77777777" w:rsidR="001A110C" w:rsidRPr="00644F6B" w:rsidRDefault="001A110C" w:rsidP="001A110C">
            <w:pPr>
              <w:rPr>
                <w:color w:val="4472C4" w:themeColor="accent1"/>
                <w:lang w:val="en-US"/>
              </w:rPr>
            </w:pPr>
            <w:r w:rsidRPr="00644F6B">
              <w:rPr>
                <w:color w:val="4472C4" w:themeColor="accent1"/>
                <w:lang w:val="en-US"/>
              </w:rPr>
              <w:t> </w:t>
            </w:r>
          </w:p>
          <w:p w14:paraId="29647167" w14:textId="77777777" w:rsidR="002B6C8C" w:rsidRDefault="001A110C" w:rsidP="002B6C8C">
            <w:pPr>
              <w:rPr>
                <w:rStyle w:val="apple-converted-space"/>
                <w:color w:val="4472C4" w:themeColor="accent1"/>
                <w:lang w:val="en-US"/>
              </w:rPr>
            </w:pPr>
            <w:r w:rsidRPr="00644F6B">
              <w:rPr>
                <w:color w:val="4472C4" w:themeColor="accent1"/>
                <w:lang w:val="en-US"/>
              </w:rPr>
              <w:t>In the paper, the above reasons for conducting the study are highlighted in the introduction:</w:t>
            </w:r>
            <w:r w:rsidRPr="00644F6B">
              <w:rPr>
                <w:rStyle w:val="apple-converted-space"/>
                <w:color w:val="4472C4" w:themeColor="accent1"/>
                <w:lang w:val="en-US"/>
              </w:rPr>
              <w:t> </w:t>
            </w:r>
          </w:p>
          <w:p w14:paraId="09064159" w14:textId="174BD01E" w:rsidR="000B3B72" w:rsidRPr="002B6C8C" w:rsidRDefault="002B6C8C" w:rsidP="002B6C8C">
            <w:pPr>
              <w:rPr>
                <w:i/>
                <w:iCs/>
                <w:color w:val="4472C4" w:themeColor="accent1"/>
                <w:lang w:val="en-US"/>
              </w:rPr>
            </w:pPr>
            <w:r>
              <w:rPr>
                <w:i/>
                <w:iCs/>
                <w:color w:val="4472C4" w:themeColor="accent1"/>
                <w:lang w:val="en-US"/>
              </w:rPr>
              <w:t>“</w:t>
            </w:r>
            <w:r w:rsidRPr="002B6C8C">
              <w:rPr>
                <w:i/>
                <w:iCs/>
                <w:color w:val="4472C4" w:themeColor="accent1"/>
                <w:lang w:val="en-US"/>
              </w:rPr>
              <w:t>Fossil gas has been regarded as a key transition fuel that could help bridge the gap between the present</w:t>
            </w:r>
            <w:r w:rsidRPr="002B6C8C">
              <w:rPr>
                <w:i/>
                <w:iCs/>
                <w:color w:val="4472C4" w:themeColor="accent1"/>
                <w:lang w:val="en-US"/>
              </w:rPr>
              <w:t xml:space="preserve"> </w:t>
            </w:r>
            <w:r w:rsidRPr="002B6C8C">
              <w:rPr>
                <w:i/>
                <w:iCs/>
                <w:color w:val="4472C4" w:themeColor="accent1"/>
                <w:lang w:val="en-US"/>
              </w:rPr>
              <w:t>day and a carbon neutral future. Though carbon-emitting, gas has the following advantages compared</w:t>
            </w:r>
            <w:r w:rsidRPr="002B6C8C">
              <w:rPr>
                <w:i/>
                <w:iCs/>
                <w:color w:val="4472C4" w:themeColor="accent1"/>
                <w:lang w:val="en-US"/>
              </w:rPr>
              <w:t xml:space="preserve"> </w:t>
            </w:r>
            <w:r w:rsidRPr="002B6C8C">
              <w:rPr>
                <w:i/>
                <w:iCs/>
                <w:color w:val="4472C4" w:themeColor="accent1"/>
                <w:lang w:val="en-US"/>
              </w:rPr>
              <w:t>to other fossil fuels: gas power plants have lower capital costs,</w:t>
            </w:r>
            <w:r>
              <w:rPr>
                <w:i/>
                <w:iCs/>
                <w:color w:val="4472C4" w:themeColor="accent1"/>
                <w:lang w:val="en-US"/>
              </w:rPr>
              <w:t>[</w:t>
            </w:r>
            <w:r w:rsidRPr="002B6C8C">
              <w:rPr>
                <w:i/>
                <w:iCs/>
                <w:color w:val="4472C4" w:themeColor="accent1"/>
                <w:lang w:val="en-US"/>
              </w:rPr>
              <w:t>1,2</w:t>
            </w:r>
            <w:r>
              <w:rPr>
                <w:i/>
                <w:iCs/>
                <w:color w:val="4472C4" w:themeColor="accent1"/>
                <w:lang w:val="en-US"/>
              </w:rPr>
              <w:t>]</w:t>
            </w:r>
            <w:r w:rsidRPr="002B6C8C">
              <w:rPr>
                <w:i/>
                <w:iCs/>
                <w:color w:val="4472C4" w:themeColor="accent1"/>
                <w:lang w:val="en-US"/>
              </w:rPr>
              <w:t xml:space="preserve"> lower CO2-equivalent emissions</w:t>
            </w:r>
            <w:r w:rsidRPr="002B6C8C">
              <w:rPr>
                <w:i/>
                <w:iCs/>
                <w:color w:val="4472C4" w:themeColor="accent1"/>
                <w:lang w:val="en-US"/>
              </w:rPr>
              <w:t xml:space="preserve"> </w:t>
            </w:r>
            <w:r w:rsidRPr="002B6C8C">
              <w:rPr>
                <w:i/>
                <w:iCs/>
                <w:color w:val="4472C4" w:themeColor="accent1"/>
                <w:lang w:val="en-US"/>
              </w:rPr>
              <w:t>when burned,</w:t>
            </w:r>
            <w:r>
              <w:rPr>
                <w:i/>
                <w:iCs/>
                <w:color w:val="4472C4" w:themeColor="accent1"/>
                <w:lang w:val="en-US"/>
              </w:rPr>
              <w:t>[</w:t>
            </w:r>
            <w:r w:rsidRPr="002B6C8C">
              <w:rPr>
                <w:i/>
                <w:iCs/>
                <w:color w:val="4472C4" w:themeColor="accent1"/>
                <w:lang w:val="en-US"/>
              </w:rPr>
              <w:t>3,4</w:t>
            </w:r>
            <w:r>
              <w:rPr>
                <w:i/>
                <w:iCs/>
                <w:color w:val="4472C4" w:themeColor="accent1"/>
                <w:lang w:val="en-US"/>
              </w:rPr>
              <w:t>]</w:t>
            </w:r>
            <w:r w:rsidRPr="002B6C8C">
              <w:rPr>
                <w:i/>
                <w:iCs/>
                <w:color w:val="4472C4" w:themeColor="accent1"/>
                <w:lang w:val="en-US"/>
              </w:rPr>
              <w:t xml:space="preserve"> and generators have quick ramp-up times.</w:t>
            </w:r>
            <w:r>
              <w:rPr>
                <w:i/>
                <w:iCs/>
                <w:color w:val="4472C4" w:themeColor="accent1"/>
                <w:lang w:val="en-US"/>
              </w:rPr>
              <w:t>[</w:t>
            </w:r>
            <w:r w:rsidRPr="002B6C8C">
              <w:rPr>
                <w:i/>
                <w:iCs/>
                <w:color w:val="4472C4" w:themeColor="accent1"/>
                <w:lang w:val="en-US"/>
              </w:rPr>
              <w:t>1</w:t>
            </w:r>
            <w:r>
              <w:rPr>
                <w:i/>
                <w:iCs/>
                <w:color w:val="4472C4" w:themeColor="accent1"/>
                <w:lang w:val="en-US"/>
              </w:rPr>
              <w:t>]</w:t>
            </w:r>
            <w:r w:rsidRPr="002B6C8C">
              <w:rPr>
                <w:i/>
                <w:iCs/>
                <w:color w:val="4472C4" w:themeColor="accent1"/>
                <w:lang w:val="en-US"/>
              </w:rPr>
              <w:t xml:space="preserve"> The European Commission has even</w:t>
            </w:r>
            <w:r w:rsidRPr="002B6C8C">
              <w:rPr>
                <w:i/>
                <w:iCs/>
                <w:color w:val="4472C4" w:themeColor="accent1"/>
                <w:lang w:val="en-US"/>
              </w:rPr>
              <w:t xml:space="preserve"> </w:t>
            </w:r>
            <w:r w:rsidRPr="002B6C8C">
              <w:rPr>
                <w:i/>
                <w:iCs/>
                <w:color w:val="4472C4" w:themeColor="accent1"/>
                <w:lang w:val="en-US"/>
              </w:rPr>
              <w:t>labeled gas activities as contributing to the green transition.</w:t>
            </w:r>
            <w:r>
              <w:rPr>
                <w:i/>
                <w:iCs/>
                <w:color w:val="4472C4" w:themeColor="accent1"/>
                <w:lang w:val="en-US"/>
              </w:rPr>
              <w:t>[</w:t>
            </w:r>
            <w:r w:rsidRPr="002B6C8C">
              <w:rPr>
                <w:i/>
                <w:iCs/>
                <w:color w:val="4472C4" w:themeColor="accent1"/>
                <w:lang w:val="en-US"/>
              </w:rPr>
              <w:t>5</w:t>
            </w:r>
            <w:r>
              <w:rPr>
                <w:i/>
                <w:iCs/>
                <w:color w:val="4472C4" w:themeColor="accent1"/>
                <w:lang w:val="en-US"/>
              </w:rPr>
              <w:t>]</w:t>
            </w:r>
            <w:r w:rsidRPr="002B6C8C">
              <w:rPr>
                <w:i/>
                <w:iCs/>
                <w:color w:val="4472C4" w:themeColor="accent1"/>
                <w:lang w:val="en-US"/>
              </w:rPr>
              <w:t xml:space="preserve"> For these reasons, numerous studies of</w:t>
            </w:r>
            <w:r w:rsidRPr="002B6C8C">
              <w:rPr>
                <w:i/>
                <w:iCs/>
                <w:color w:val="4472C4" w:themeColor="accent1"/>
                <w:lang w:val="en-US"/>
              </w:rPr>
              <w:t xml:space="preserve"> </w:t>
            </w:r>
            <w:r w:rsidRPr="002B6C8C">
              <w:rPr>
                <w:i/>
                <w:iCs/>
                <w:color w:val="4472C4" w:themeColor="accent1"/>
                <w:lang w:val="en-US"/>
              </w:rPr>
              <w:t>highly renewable energy systems keep gas as the only conventional form of power generation</w:t>
            </w:r>
            <w:r>
              <w:rPr>
                <w:i/>
                <w:iCs/>
                <w:color w:val="4472C4" w:themeColor="accent1"/>
                <w:lang w:val="en-US"/>
              </w:rPr>
              <w:t xml:space="preserve"> </w:t>
            </w:r>
            <w:r w:rsidRPr="002B6C8C">
              <w:rPr>
                <w:i/>
                <w:iCs/>
                <w:lang w:val="en-US"/>
              </w:rPr>
              <w:t>[</w:t>
            </w:r>
            <w:r w:rsidRPr="002B6C8C">
              <w:rPr>
                <w:i/>
                <w:iCs/>
                <w:color w:val="4472C4" w:themeColor="accent1"/>
                <w:lang w:val="en-US"/>
              </w:rPr>
              <w:t>6,7,8,9,10</w:t>
            </w:r>
            <w:r>
              <w:rPr>
                <w:i/>
                <w:iCs/>
                <w:color w:val="4472C4" w:themeColor="accent1"/>
                <w:lang w:val="en-US"/>
              </w:rPr>
              <w:t>]</w:t>
            </w:r>
            <w:r w:rsidRPr="002B6C8C">
              <w:rPr>
                <w:i/>
                <w:iCs/>
                <w:color w:val="4472C4" w:themeColor="accent1"/>
                <w:lang w:val="en-US"/>
              </w:rPr>
              <w:t xml:space="preserve"> </w:t>
            </w:r>
            <w:r w:rsidRPr="002B6C8C">
              <w:rPr>
                <w:i/>
                <w:iCs/>
                <w:color w:val="4472C4" w:themeColor="accent1"/>
                <w:lang w:val="en-US"/>
              </w:rPr>
              <w:t>or otherwise phase it out last.</w:t>
            </w:r>
            <w:r>
              <w:rPr>
                <w:i/>
                <w:iCs/>
                <w:color w:val="4472C4" w:themeColor="accent1"/>
                <w:lang w:val="en-US"/>
              </w:rPr>
              <w:t>[</w:t>
            </w:r>
            <w:r w:rsidRPr="002B6C8C">
              <w:rPr>
                <w:i/>
                <w:iCs/>
                <w:color w:val="4472C4" w:themeColor="accent1"/>
                <w:lang w:val="en-US"/>
              </w:rPr>
              <w:t>11,12</w:t>
            </w:r>
            <w:r>
              <w:rPr>
                <w:i/>
                <w:iCs/>
                <w:color w:val="4472C4" w:themeColor="accent1"/>
                <w:lang w:val="en-US"/>
              </w:rPr>
              <w:t>]</w:t>
            </w:r>
            <w:r w:rsidRPr="002B6C8C">
              <w:rPr>
                <w:i/>
                <w:iCs/>
                <w:color w:val="4472C4" w:themeColor="accent1"/>
                <w:lang w:val="en-US"/>
              </w:rPr>
              <w:t xml:space="preserve"> However, as a fossil fuel, gas must still be eliminated during the</w:t>
            </w:r>
            <w:r w:rsidRPr="002B6C8C">
              <w:rPr>
                <w:i/>
                <w:iCs/>
                <w:color w:val="4472C4" w:themeColor="accent1"/>
                <w:lang w:val="en-US"/>
              </w:rPr>
              <w:t xml:space="preserve"> </w:t>
            </w:r>
            <w:r w:rsidRPr="002B6C8C">
              <w:rPr>
                <w:i/>
                <w:iCs/>
                <w:color w:val="4472C4" w:themeColor="accent1"/>
                <w:lang w:val="en-US"/>
              </w:rPr>
              <w:t>transition. In addition, the savings of CO2equivalent emissions from gas over other fossil fuels may</w:t>
            </w:r>
            <w:r w:rsidRPr="002B6C8C">
              <w:rPr>
                <w:i/>
                <w:iCs/>
                <w:color w:val="4472C4" w:themeColor="accent1"/>
                <w:lang w:val="en-US"/>
              </w:rPr>
              <w:t xml:space="preserve"> </w:t>
            </w:r>
            <w:r w:rsidRPr="002B6C8C">
              <w:rPr>
                <w:i/>
                <w:iCs/>
                <w:color w:val="4472C4" w:themeColor="accent1"/>
                <w:lang w:val="en-US"/>
              </w:rPr>
              <w:t>be overstated or non-existent due to leakage of methane during extraction, distribution, processing,</w:t>
            </w:r>
            <w:r w:rsidRPr="002B6C8C">
              <w:rPr>
                <w:i/>
                <w:iCs/>
                <w:color w:val="4472C4" w:themeColor="accent1"/>
                <w:lang w:val="en-US"/>
              </w:rPr>
              <w:t xml:space="preserve"> </w:t>
            </w:r>
            <w:r w:rsidRPr="002B6C8C">
              <w:rPr>
                <w:i/>
                <w:iCs/>
                <w:color w:val="4472C4" w:themeColor="accent1"/>
                <w:lang w:val="en-US"/>
              </w:rPr>
              <w:t>and end use.</w:t>
            </w:r>
            <w:r>
              <w:rPr>
                <w:i/>
                <w:iCs/>
                <w:color w:val="4472C4" w:themeColor="accent1"/>
                <w:lang w:val="en-US"/>
              </w:rPr>
              <w:t>[</w:t>
            </w:r>
            <w:r w:rsidRPr="002B6C8C">
              <w:rPr>
                <w:i/>
                <w:iCs/>
                <w:color w:val="4472C4" w:themeColor="accent1"/>
                <w:lang w:val="en-US"/>
              </w:rPr>
              <w:t>13</w:t>
            </w:r>
            <w:r>
              <w:rPr>
                <w:i/>
                <w:iCs/>
                <w:color w:val="4472C4" w:themeColor="accent1"/>
                <w:lang w:val="en-US"/>
              </w:rPr>
              <w:t>]</w:t>
            </w:r>
            <w:r w:rsidRPr="002B6C8C">
              <w:rPr>
                <w:i/>
                <w:iCs/>
                <w:color w:val="4472C4" w:themeColor="accent1"/>
                <w:lang w:val="en-US"/>
              </w:rPr>
              <w:t xml:space="preserve"> Nations must wean themselves off of gas by 2050 in order to comply with the Paris</w:t>
            </w:r>
            <w:r w:rsidRPr="002B6C8C">
              <w:rPr>
                <w:i/>
                <w:iCs/>
                <w:color w:val="4472C4" w:themeColor="accent1"/>
                <w:lang w:val="en-US"/>
              </w:rPr>
              <w:t xml:space="preserve"> </w:t>
            </w:r>
            <w:r w:rsidRPr="002B6C8C">
              <w:rPr>
                <w:i/>
                <w:iCs/>
                <w:color w:val="4472C4" w:themeColor="accent1"/>
                <w:lang w:val="en-US"/>
              </w:rPr>
              <w:t>Agreement. For the EU, this is no easy task. In 2019, gas made up 21% of final energy consumption,</w:t>
            </w:r>
            <w:r>
              <w:rPr>
                <w:i/>
                <w:iCs/>
                <w:color w:val="4472C4" w:themeColor="accent1"/>
                <w:lang w:val="en-US"/>
              </w:rPr>
              <w:t>[</w:t>
            </w:r>
            <w:r w:rsidRPr="002B6C8C">
              <w:rPr>
                <w:i/>
                <w:iCs/>
                <w:color w:val="4472C4" w:themeColor="accent1"/>
                <w:lang w:val="en-US"/>
              </w:rPr>
              <w:t>14</w:t>
            </w:r>
            <w:r>
              <w:rPr>
                <w:i/>
                <w:iCs/>
                <w:color w:val="4472C4" w:themeColor="accent1"/>
                <w:lang w:val="en-US"/>
              </w:rPr>
              <w:t>]</w:t>
            </w:r>
            <w:r w:rsidRPr="002B6C8C">
              <w:rPr>
                <w:i/>
                <w:iCs/>
                <w:color w:val="4472C4" w:themeColor="accent1"/>
                <w:lang w:val="en-US"/>
              </w:rPr>
              <w:t xml:space="preserve"> </w:t>
            </w:r>
            <w:r w:rsidRPr="002B6C8C">
              <w:rPr>
                <w:i/>
                <w:iCs/>
                <w:color w:val="4472C4" w:themeColor="accent1"/>
                <w:lang w:val="en-US"/>
              </w:rPr>
              <w:t xml:space="preserve">including 43% of residential use and 35% of industry energy </w:t>
            </w:r>
            <w:proofErr w:type="gramStart"/>
            <w:r w:rsidRPr="002B6C8C">
              <w:rPr>
                <w:i/>
                <w:iCs/>
                <w:color w:val="4472C4" w:themeColor="accent1"/>
                <w:lang w:val="en-US"/>
              </w:rPr>
              <w:t>use.</w:t>
            </w:r>
            <w:r>
              <w:rPr>
                <w:i/>
                <w:iCs/>
                <w:color w:val="4472C4" w:themeColor="accent1"/>
                <w:lang w:val="en-US"/>
              </w:rPr>
              <w:t>[</w:t>
            </w:r>
            <w:proofErr w:type="gramEnd"/>
            <w:r w:rsidRPr="002B6C8C">
              <w:rPr>
                <w:i/>
                <w:iCs/>
                <w:color w:val="4472C4" w:themeColor="accent1"/>
                <w:lang w:val="en-US"/>
              </w:rPr>
              <w:t>15,16</w:t>
            </w:r>
            <w:r>
              <w:rPr>
                <w:i/>
                <w:iCs/>
                <w:color w:val="4472C4" w:themeColor="accent1"/>
                <w:lang w:val="en-US"/>
              </w:rPr>
              <w:t>]</w:t>
            </w:r>
            <w:r w:rsidRPr="002B6C8C">
              <w:rPr>
                <w:i/>
                <w:iCs/>
                <w:color w:val="4472C4" w:themeColor="accent1"/>
                <w:lang w:val="en-US"/>
              </w:rPr>
              <w:t xml:space="preserve"> Gas in Europe is primarily</w:t>
            </w:r>
            <w:r w:rsidRPr="002B6C8C">
              <w:rPr>
                <w:i/>
                <w:iCs/>
                <w:color w:val="4472C4" w:themeColor="accent1"/>
                <w:lang w:val="en-US"/>
              </w:rPr>
              <w:t xml:space="preserve"> </w:t>
            </w:r>
            <w:r w:rsidRPr="002B6C8C">
              <w:rPr>
                <w:i/>
                <w:iCs/>
                <w:color w:val="4472C4" w:themeColor="accent1"/>
                <w:lang w:val="en-US"/>
              </w:rPr>
              <w:t>imported, with 70% coming from outside of Europe14 when counting Norwegian gas as internal</w:t>
            </w:r>
            <w:r w:rsidRPr="002B6C8C">
              <w:rPr>
                <w:i/>
                <w:iCs/>
                <w:color w:val="4472C4" w:themeColor="accent1"/>
                <w:lang w:val="en-US"/>
              </w:rPr>
              <w:t xml:space="preserve"> </w:t>
            </w:r>
            <w:r w:rsidRPr="002B6C8C">
              <w:rPr>
                <w:i/>
                <w:iCs/>
                <w:color w:val="4472C4" w:themeColor="accent1"/>
                <w:lang w:val="en-US"/>
              </w:rPr>
              <w:t>production. The current energy supply in Europe has a particularly strong dependence on Russian</w:t>
            </w:r>
            <w:r w:rsidRPr="002B6C8C">
              <w:rPr>
                <w:i/>
                <w:iCs/>
                <w:color w:val="4472C4" w:themeColor="accent1"/>
                <w:lang w:val="en-US"/>
              </w:rPr>
              <w:t xml:space="preserve"> </w:t>
            </w:r>
            <w:r w:rsidRPr="002B6C8C">
              <w:rPr>
                <w:i/>
                <w:iCs/>
                <w:color w:val="4472C4" w:themeColor="accent1"/>
                <w:lang w:val="en-US"/>
              </w:rPr>
              <w:t xml:space="preserve">imports. Out of the 398 </w:t>
            </w:r>
            <w:proofErr w:type="spellStart"/>
            <w:r w:rsidRPr="002B6C8C">
              <w:rPr>
                <w:i/>
                <w:iCs/>
                <w:color w:val="4472C4" w:themeColor="accent1"/>
                <w:lang w:val="en-US"/>
              </w:rPr>
              <w:t>bcm</w:t>
            </w:r>
            <w:proofErr w:type="spellEnd"/>
            <w:r w:rsidRPr="002B6C8C">
              <w:rPr>
                <w:i/>
                <w:iCs/>
                <w:color w:val="4472C4" w:themeColor="accent1"/>
                <w:lang w:val="en-US"/>
              </w:rPr>
              <w:t xml:space="preserve"> (3890 </w:t>
            </w:r>
            <w:proofErr w:type="spellStart"/>
            <w:r w:rsidRPr="002B6C8C">
              <w:rPr>
                <w:i/>
                <w:iCs/>
                <w:color w:val="4472C4" w:themeColor="accent1"/>
                <w:lang w:val="en-US"/>
              </w:rPr>
              <w:t>TWh</w:t>
            </w:r>
            <w:proofErr w:type="spellEnd"/>
            <w:r w:rsidRPr="002B6C8C">
              <w:rPr>
                <w:i/>
                <w:iCs/>
                <w:color w:val="4472C4" w:themeColor="accent1"/>
                <w:lang w:val="en-US"/>
              </w:rPr>
              <w:t>) of gas imported by the European Union in 2019 (EU27 +</w:t>
            </w:r>
            <w:r w:rsidRPr="002B6C8C">
              <w:rPr>
                <w:i/>
                <w:iCs/>
                <w:color w:val="4472C4" w:themeColor="accent1"/>
                <w:lang w:val="en-US"/>
              </w:rPr>
              <w:t xml:space="preserve"> </w:t>
            </w:r>
            <w:r w:rsidRPr="002B6C8C">
              <w:rPr>
                <w:i/>
                <w:iCs/>
                <w:color w:val="4472C4" w:themeColor="accent1"/>
                <w:lang w:val="en-US"/>
              </w:rPr>
              <w:t>GB),</w:t>
            </w:r>
            <w:r>
              <w:rPr>
                <w:i/>
                <w:iCs/>
                <w:color w:val="4472C4" w:themeColor="accent1"/>
                <w:lang w:val="en-US"/>
              </w:rPr>
              <w:t>[</w:t>
            </w:r>
            <w:r w:rsidRPr="002B6C8C">
              <w:rPr>
                <w:i/>
                <w:iCs/>
                <w:color w:val="4472C4" w:themeColor="accent1"/>
                <w:lang w:val="en-US"/>
              </w:rPr>
              <w:t>17</w:t>
            </w:r>
            <w:r>
              <w:rPr>
                <w:i/>
                <w:iCs/>
                <w:color w:val="4472C4" w:themeColor="accent1"/>
                <w:lang w:val="en-US"/>
              </w:rPr>
              <w:t>]</w:t>
            </w:r>
            <w:r w:rsidRPr="002B6C8C">
              <w:rPr>
                <w:i/>
                <w:iCs/>
                <w:color w:val="4472C4" w:themeColor="accent1"/>
                <w:lang w:val="en-US"/>
              </w:rPr>
              <w:t xml:space="preserve"> 41%18 had Russian origin (Fig. 1). On top of that, 27% and 47% of oil and coal imports in</w:t>
            </w:r>
            <w:r w:rsidRPr="002B6C8C">
              <w:rPr>
                <w:i/>
                <w:iCs/>
                <w:color w:val="4472C4" w:themeColor="accent1"/>
                <w:lang w:val="en-US"/>
              </w:rPr>
              <w:t xml:space="preserve"> </w:t>
            </w:r>
            <w:r w:rsidRPr="002B6C8C">
              <w:rPr>
                <w:i/>
                <w:iCs/>
                <w:color w:val="4472C4" w:themeColor="accent1"/>
                <w:lang w:val="en-US"/>
              </w:rPr>
              <w:t>2019 came from Russia.</w:t>
            </w:r>
            <w:r>
              <w:rPr>
                <w:i/>
                <w:iCs/>
                <w:color w:val="4472C4" w:themeColor="accent1"/>
                <w:lang w:val="en-US"/>
              </w:rPr>
              <w:t>”</w:t>
            </w:r>
          </w:p>
          <w:p w14:paraId="5AE80094" w14:textId="77777777" w:rsidR="002B6C8C" w:rsidRPr="002B6C8C" w:rsidRDefault="002B6C8C" w:rsidP="002B6C8C">
            <w:pPr>
              <w:rPr>
                <w:color w:val="4472C4" w:themeColor="accent1"/>
                <w:lang w:val="en-US"/>
              </w:rPr>
            </w:pPr>
          </w:p>
          <w:p w14:paraId="3843ED5C" w14:textId="0F75FA54" w:rsidR="005F4788" w:rsidRPr="00644F6B" w:rsidRDefault="000B3B72" w:rsidP="00644F6B">
            <w:pPr>
              <w:rPr>
                <w:rFonts w:ascii="Calibri" w:hAnsi="Calibri" w:cs="Calibri"/>
                <w:color w:val="4472C4" w:themeColor="accent1"/>
                <w:lang w:val="en-US"/>
              </w:rPr>
            </w:pPr>
            <w:r w:rsidRPr="00644F6B">
              <w:rPr>
                <w:color w:val="4472C4" w:themeColor="accent1"/>
                <w:lang w:val="en-US"/>
              </w:rPr>
              <w:t xml:space="preserve">In addition, </w:t>
            </w:r>
            <w:r w:rsidR="00043EBE" w:rsidRPr="00644F6B">
              <w:rPr>
                <w:color w:val="4472C4" w:themeColor="accent1"/>
                <w:lang w:val="en-US"/>
              </w:rPr>
              <w:t xml:space="preserve">Figure 5 was added to </w:t>
            </w:r>
            <w:r w:rsidR="00E87F87">
              <w:rPr>
                <w:color w:val="4472C4" w:themeColor="accent1"/>
                <w:lang w:val="en-US"/>
              </w:rPr>
              <w:t>more clearly identify the differences</w:t>
            </w:r>
            <w:r w:rsidR="007649D0">
              <w:rPr>
                <w:color w:val="4472C4" w:themeColor="accent1"/>
                <w:lang w:val="en-US"/>
              </w:rPr>
              <w:t xml:space="preserve"> in the energy balance</w:t>
            </w:r>
            <w:r w:rsidR="00E87F87">
              <w:rPr>
                <w:color w:val="4472C4" w:themeColor="accent1"/>
                <w:lang w:val="en-US"/>
              </w:rPr>
              <w:t xml:space="preserve"> </w:t>
            </w:r>
            <w:r w:rsidR="00380DF1">
              <w:rPr>
                <w:color w:val="4472C4" w:themeColor="accent1"/>
                <w:lang w:val="en-US"/>
              </w:rPr>
              <w:t>between the gas limited and baseline scenarios</w:t>
            </w:r>
            <w:r w:rsidR="00587E70">
              <w:rPr>
                <w:color w:val="4472C4" w:themeColor="accent1"/>
                <w:lang w:val="en-US"/>
              </w:rPr>
              <w:t>.</w:t>
            </w:r>
          </w:p>
        </w:tc>
      </w:tr>
    </w:tbl>
    <w:p w14:paraId="44E2B282" w14:textId="77777777" w:rsidR="005F4788" w:rsidRPr="00644F6B" w:rsidRDefault="005F4788" w:rsidP="00EE303E">
      <w:pPr>
        <w:pStyle w:val="NormalWeb"/>
        <w:spacing w:before="0" w:beforeAutospacing="0" w:after="0" w:afterAutospacing="0"/>
        <w:rPr>
          <w:rFonts w:ascii="Calibri" w:hAnsi="Calibri" w:cs="Calibri"/>
          <w:color w:val="000000"/>
          <w:lang w:val="en-US"/>
        </w:rPr>
      </w:pPr>
    </w:p>
    <w:p w14:paraId="12D4CF74" w14:textId="77777777" w:rsidR="005F4788" w:rsidRPr="00644F6B" w:rsidRDefault="005F4788" w:rsidP="00EE303E">
      <w:pPr>
        <w:pStyle w:val="NormalWeb"/>
        <w:spacing w:before="0" w:beforeAutospacing="0" w:after="0" w:afterAutospacing="0"/>
        <w:rPr>
          <w:rFonts w:ascii="Calibri" w:hAnsi="Calibri" w:cs="Calibri"/>
          <w:color w:val="000000"/>
          <w:lang w:val="en-US"/>
        </w:rPr>
      </w:pPr>
    </w:p>
    <w:p w14:paraId="7B08DE4C" w14:textId="77777777" w:rsidR="001676BB"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t xml:space="preserve">Furthermore, you do not provide any insights into how those systems may adapt apart from - to put it bluntly - "things are built quicker". </w:t>
      </w:r>
    </w:p>
    <w:p w14:paraId="5B5C6DE0" w14:textId="77777777" w:rsidR="001676BB" w:rsidRPr="00644F6B" w:rsidRDefault="001676BB" w:rsidP="00EE303E">
      <w:pPr>
        <w:pStyle w:val="NormalWeb"/>
        <w:spacing w:before="0" w:beforeAutospacing="0" w:after="0" w:afterAutospacing="0"/>
        <w:rPr>
          <w:rFonts w:ascii="Calibri" w:hAnsi="Calibri" w:cs="Calibri"/>
          <w:color w:val="000000"/>
          <w:lang w:val="en-US"/>
        </w:rPr>
      </w:pPr>
    </w:p>
    <w:p w14:paraId="5A353E03" w14:textId="77777777" w:rsidR="001676BB" w:rsidRPr="00644F6B" w:rsidRDefault="001676BB" w:rsidP="001676BB">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1676BB" w:rsidRPr="00644F6B" w14:paraId="2A62A57A"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4798ED27" w14:textId="77777777"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4EA0C2A7" w14:textId="03E78FD9"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65862E87" w14:textId="60F3CF99" w:rsidR="0080693B" w:rsidRDefault="0080693B" w:rsidP="009F62D0">
            <w:pPr>
              <w:pStyle w:val="NormalWeb"/>
              <w:spacing w:before="0" w:beforeAutospacing="0" w:after="0" w:afterAutospacing="0"/>
              <w:rPr>
                <w:rFonts w:ascii="Calibri" w:hAnsi="Calibri" w:cs="Calibri"/>
                <w:color w:val="4472C4" w:themeColor="accent1"/>
                <w:lang w:val="en-US"/>
              </w:rPr>
            </w:pPr>
            <w:r>
              <w:rPr>
                <w:rFonts w:ascii="Calibri" w:hAnsi="Calibri" w:cs="Calibri"/>
                <w:color w:val="4472C4" w:themeColor="accent1"/>
                <w:lang w:val="en-US"/>
              </w:rPr>
              <w:t>Thank you for the “blunt” statement, which has motivated us to thoroughly revise the manuscript to highlight as many insights as possible. The major changes are listed below, but we have also made a number of minor changes to clarify how and why imposing gas scarcity changes the transition. E.g. in the conclusion of the paper.</w:t>
            </w:r>
          </w:p>
          <w:p w14:paraId="52B85EAD" w14:textId="77777777" w:rsidR="0080693B" w:rsidRPr="00644F6B" w:rsidRDefault="0080693B" w:rsidP="009F62D0">
            <w:pPr>
              <w:pStyle w:val="NormalWeb"/>
              <w:spacing w:before="0" w:beforeAutospacing="0" w:after="0" w:afterAutospacing="0"/>
              <w:rPr>
                <w:rFonts w:ascii="Calibri" w:hAnsi="Calibri" w:cs="Calibri"/>
                <w:color w:val="4472C4" w:themeColor="accent1"/>
                <w:lang w:val="en-US"/>
              </w:rPr>
            </w:pPr>
          </w:p>
          <w:p w14:paraId="0A49EDD4" w14:textId="21452056" w:rsidR="00E34714" w:rsidRPr="00644F6B" w:rsidRDefault="00E34714"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We have elaborated on our discussion of results to further show how the system may adapt. A discussion of build-out rates </w:t>
            </w:r>
            <w:proofErr w:type="gramStart"/>
            <w:r w:rsidRPr="00644F6B">
              <w:rPr>
                <w:rFonts w:ascii="Calibri" w:hAnsi="Calibri" w:cs="Calibri"/>
                <w:color w:val="4472C4" w:themeColor="accent1"/>
                <w:lang w:val="en-US"/>
              </w:rPr>
              <w:t>have</w:t>
            </w:r>
            <w:proofErr w:type="gramEnd"/>
            <w:r w:rsidRPr="00644F6B">
              <w:rPr>
                <w:rFonts w:ascii="Calibri" w:hAnsi="Calibri" w:cs="Calibri"/>
                <w:color w:val="4472C4" w:themeColor="accent1"/>
                <w:lang w:val="en-US"/>
              </w:rPr>
              <w:t xml:space="preserve"> been added, supported by two additional supplementary figures on growth rates. Furthermore, discussion on distributional impacts have also been included </w:t>
            </w:r>
            <w:proofErr w:type="spellStart"/>
            <w:r w:rsidRPr="00644F6B">
              <w:rPr>
                <w:rFonts w:ascii="Calibri" w:hAnsi="Calibri" w:cs="Calibri"/>
                <w:color w:val="4472C4" w:themeColor="accent1"/>
                <w:lang w:val="en-US"/>
              </w:rPr>
              <w:t>supportet</w:t>
            </w:r>
            <w:proofErr w:type="spellEnd"/>
            <w:r w:rsidRPr="00644F6B">
              <w:rPr>
                <w:rFonts w:ascii="Calibri" w:hAnsi="Calibri" w:cs="Calibri"/>
                <w:color w:val="4472C4" w:themeColor="accent1"/>
                <w:lang w:val="en-US"/>
              </w:rPr>
              <w:t xml:space="preserve"> by an additional panel in Figure 4(e), as seen below. </w:t>
            </w:r>
          </w:p>
          <w:p w14:paraId="76DACA49" w14:textId="77777777" w:rsidR="00120498" w:rsidRDefault="00120498" w:rsidP="00120498">
            <w:pPr>
              <w:pStyle w:val="NormalWeb"/>
              <w:rPr>
                <w:rFonts w:ascii="Calibri" w:hAnsi="Calibri" w:cs="Calibri"/>
                <w:i/>
                <w:iCs/>
                <w:color w:val="4472C4" w:themeColor="accent1"/>
                <w:lang w:val="en-US"/>
              </w:rPr>
            </w:pPr>
            <w:r w:rsidRPr="00257793">
              <w:rPr>
                <w:rFonts w:ascii="Calibri" w:hAnsi="Calibri" w:cs="Calibri"/>
                <w:i/>
                <w:iCs/>
                <w:color w:val="4472C4" w:themeColor="accent1"/>
                <w:lang w:val="en-US"/>
              </w:rPr>
              <w:t xml:space="preserve">“The </w:t>
            </w:r>
            <w:proofErr w:type="spellStart"/>
            <w:r w:rsidRPr="00257793">
              <w:rPr>
                <w:rFonts w:ascii="Calibri" w:hAnsi="Calibri" w:cs="Calibri"/>
                <w:i/>
                <w:iCs/>
                <w:color w:val="4472C4" w:themeColor="accent1"/>
                <w:lang w:val="en-US"/>
              </w:rPr>
              <w:t>PyPSA</w:t>
            </w:r>
            <w:proofErr w:type="spellEnd"/>
            <w:r w:rsidRPr="00257793">
              <w:rPr>
                <w:rFonts w:ascii="Calibri" w:hAnsi="Calibri" w:cs="Calibri"/>
                <w:i/>
                <w:iCs/>
                <w:color w:val="4472C4" w:themeColor="accent1"/>
                <w:lang w:val="en-US"/>
              </w:rPr>
              <w:t>-</w:t>
            </w:r>
            <w:proofErr w:type="spellStart"/>
            <w:r w:rsidRPr="00257793">
              <w:rPr>
                <w:rFonts w:ascii="Calibri" w:hAnsi="Calibri" w:cs="Calibri"/>
                <w:i/>
                <w:iCs/>
                <w:color w:val="4472C4" w:themeColor="accent1"/>
                <w:lang w:val="en-US"/>
              </w:rPr>
              <w:t>Eur</w:t>
            </w:r>
            <w:proofErr w:type="spellEnd"/>
            <w:r w:rsidRPr="00257793">
              <w:rPr>
                <w:rFonts w:ascii="Calibri" w:hAnsi="Calibri" w:cs="Calibri"/>
                <w:i/>
                <w:iCs/>
                <w:color w:val="4472C4" w:themeColor="accent1"/>
                <w:lang w:val="en-US"/>
              </w:rPr>
              <w:t xml:space="preserve">-Sec model used in this work does not constrain build-out rates of generation capacity. As there is significant uncertainty related to future build-out rates, we prefer not to limit the model in this way, allowing us to observe the preferred rates. Installation rate of renewables can be seen on Figure S3 and total annual change in primary energy consumption in Figure S2. It is clear that a transition of our energy supply requires significant build-out of renewable and heat-pump capacities. Results show installation rates of approximately 600 GW/a of wind and solar. These figures are naturally higher than any historical values [29]. However, this does not necessarily mean that achieving this transition is infeasible. As wind and solar costs decrease, demand and production capacity will increase since these technologies show already lower costs than fossil fuel-based generators in most world regions [30]. Such a fast transition will require ambitious policies implemented globally together with strategies that avoid regulatory bottlenecks and ensure public acceptance. Rather than focusing on the build-out required to attain the 1.5 ◦C and 2 ◦C scenarios, which has been extensively discussed previously [23], we instead focus on the impact of reducing reliance on gas. </w:t>
            </w:r>
          </w:p>
          <w:p w14:paraId="0324A06E" w14:textId="428F3F8A" w:rsidR="00E34714" w:rsidRPr="00644F6B" w:rsidRDefault="00120498" w:rsidP="00120498">
            <w:pPr>
              <w:pStyle w:val="NormalWeb"/>
              <w:spacing w:before="0" w:beforeAutospacing="0" w:after="0" w:afterAutospacing="0"/>
              <w:rPr>
                <w:rFonts w:ascii="Calibri" w:hAnsi="Calibri" w:cs="Calibri"/>
                <w:i/>
                <w:color w:val="4472C4" w:themeColor="accent1"/>
                <w:lang w:val="en-US"/>
              </w:rPr>
            </w:pPr>
            <w:r w:rsidRPr="00257793">
              <w:rPr>
                <w:rFonts w:ascii="Calibri" w:hAnsi="Calibri" w:cs="Calibri"/>
                <w:i/>
                <w:iCs/>
                <w:color w:val="4472C4" w:themeColor="accent1"/>
                <w:lang w:val="en-US"/>
              </w:rPr>
              <w:t>Results show that limiting gas availability incentivizes early decarbonization of the energy supply. In both the 1.5 ◦C and 2 ◦C scenarios, this results in lower annual build-out rates as the transition is performed more gradually. The impact on growth rates caused by reduced availability of gas compared to the impact of climate ambition is, however, small.”</w:t>
            </w:r>
          </w:p>
          <w:p w14:paraId="50CED8DE" w14:textId="4C24823E" w:rsidR="00E34714" w:rsidRPr="00644F6B" w:rsidRDefault="00E34714" w:rsidP="00E34714">
            <w:pPr>
              <w:pStyle w:val="NormalWeb"/>
              <w:spacing w:before="0" w:beforeAutospacing="0" w:after="0" w:afterAutospacing="0"/>
              <w:rPr>
                <w:rFonts w:ascii="Calibri" w:hAnsi="Calibri" w:cs="Calibri"/>
                <w:color w:val="4472C4" w:themeColor="accent1"/>
                <w:lang w:val="en-US"/>
              </w:rPr>
            </w:pPr>
          </w:p>
        </w:tc>
      </w:tr>
    </w:tbl>
    <w:p w14:paraId="2B00D698" w14:textId="77777777" w:rsidR="001676BB" w:rsidRPr="00644F6B" w:rsidRDefault="001676BB" w:rsidP="00EE303E">
      <w:pPr>
        <w:pStyle w:val="NormalWeb"/>
        <w:spacing w:before="0" w:beforeAutospacing="0" w:after="0" w:afterAutospacing="0"/>
        <w:rPr>
          <w:rFonts w:ascii="Calibri" w:hAnsi="Calibri" w:cs="Calibri"/>
          <w:color w:val="000000"/>
          <w:lang w:val="en-US"/>
        </w:rPr>
      </w:pPr>
    </w:p>
    <w:p w14:paraId="459CB827" w14:textId="77777777" w:rsidR="001676BB"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t xml:space="preserve">Furthermore, the difference between the scenarios with and without gas limits are minor and not structurally explored in the paper to discover interesting features. </w:t>
      </w:r>
    </w:p>
    <w:p w14:paraId="5925B78C" w14:textId="16FF5805" w:rsidR="001676BB" w:rsidRPr="00644F6B" w:rsidRDefault="001676BB" w:rsidP="00EE303E">
      <w:pPr>
        <w:pStyle w:val="NormalWeb"/>
        <w:spacing w:before="0" w:beforeAutospacing="0" w:after="0" w:afterAutospacing="0"/>
        <w:rPr>
          <w:rFonts w:ascii="Calibri" w:hAnsi="Calibri" w:cs="Calibri"/>
          <w:color w:val="000000"/>
          <w:lang w:val="en-US"/>
        </w:rPr>
      </w:pPr>
    </w:p>
    <w:p w14:paraId="28363148" w14:textId="77777777" w:rsidR="001676BB" w:rsidRPr="00644F6B" w:rsidRDefault="001676BB" w:rsidP="001676BB">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1676BB" w:rsidRPr="00644F6B" w14:paraId="29413456"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420D689A" w14:textId="71CEC8CC" w:rsidR="001676BB" w:rsidRDefault="001676BB" w:rsidP="009F62D0">
            <w:pPr>
              <w:pStyle w:val="NormalWeb"/>
              <w:spacing w:before="0" w:beforeAutospacing="0" w:after="0" w:afterAutospacing="0"/>
              <w:rPr>
                <w:rFonts w:ascii="Calibri" w:hAnsi="Calibri" w:cs="Calibri"/>
                <w:color w:val="4472C4" w:themeColor="accent1"/>
              </w:rPr>
            </w:pPr>
            <w:proofErr w:type="spellStart"/>
            <w:r w:rsidRPr="00C75A20">
              <w:rPr>
                <w:rFonts w:ascii="Calibri" w:hAnsi="Calibri" w:cs="Calibri"/>
                <w:color w:val="4472C4" w:themeColor="accent1"/>
              </w:rPr>
              <w:t>Comment</w:t>
            </w:r>
            <w:proofErr w:type="spellEnd"/>
            <w:r w:rsidRPr="00C75A20">
              <w:rPr>
                <w:rFonts w:ascii="Calibri" w:hAnsi="Calibri" w:cs="Calibri"/>
                <w:color w:val="4472C4" w:themeColor="accent1"/>
              </w:rPr>
              <w:t>:</w:t>
            </w:r>
          </w:p>
          <w:p w14:paraId="24FA3FEF" w14:textId="2F738293" w:rsidR="00321AAA" w:rsidRDefault="00321AAA" w:rsidP="009F62D0">
            <w:pPr>
              <w:pStyle w:val="NormalWeb"/>
              <w:spacing w:before="0" w:beforeAutospacing="0" w:after="0" w:afterAutospacing="0"/>
              <w:rPr>
                <w:rFonts w:ascii="Calibri" w:hAnsi="Calibri" w:cs="Calibri"/>
                <w:color w:val="4472C4" w:themeColor="accent1"/>
              </w:rPr>
            </w:pPr>
          </w:p>
          <w:p w14:paraId="7FAED1B7" w14:textId="762C9F4C" w:rsidR="0056479F" w:rsidRDefault="0071778A" w:rsidP="009F62D0">
            <w:pPr>
              <w:pStyle w:val="NormalWeb"/>
              <w:spacing w:before="0" w:beforeAutospacing="0" w:after="0" w:afterAutospacing="0"/>
              <w:rPr>
                <w:rFonts w:ascii="Calibri" w:hAnsi="Calibri" w:cs="Calibri"/>
                <w:color w:val="4472C4" w:themeColor="accent1"/>
                <w:lang w:val="en-US"/>
              </w:rPr>
            </w:pPr>
            <w:r>
              <w:rPr>
                <w:rFonts w:ascii="Calibri" w:hAnsi="Calibri" w:cs="Calibri"/>
                <w:color w:val="4472C4" w:themeColor="accent1"/>
                <w:lang w:val="en-US"/>
              </w:rPr>
              <w:t>As mentioned above, a</w:t>
            </w:r>
            <w:r w:rsidR="00D417B2">
              <w:rPr>
                <w:rFonts w:ascii="Calibri" w:hAnsi="Calibri" w:cs="Calibri"/>
                <w:color w:val="4472C4" w:themeColor="accent1"/>
                <w:lang w:val="en-US"/>
              </w:rPr>
              <w:t xml:space="preserve"> major rewrite of the results section </w:t>
            </w:r>
            <w:proofErr w:type="gramStart"/>
            <w:r w:rsidR="00D417B2">
              <w:rPr>
                <w:rFonts w:ascii="Calibri" w:hAnsi="Calibri" w:cs="Calibri"/>
                <w:color w:val="4472C4" w:themeColor="accent1"/>
                <w:lang w:val="en-US"/>
              </w:rPr>
              <w:t>have</w:t>
            </w:r>
            <w:proofErr w:type="gramEnd"/>
            <w:r w:rsidR="00D417B2">
              <w:rPr>
                <w:rFonts w:ascii="Calibri" w:hAnsi="Calibri" w:cs="Calibri"/>
                <w:color w:val="4472C4" w:themeColor="accent1"/>
                <w:lang w:val="en-US"/>
              </w:rPr>
              <w:t xml:space="preserve"> been performed to ensure that the primary focus is placed on the impact of reducing gas availability and the impact of climate ambitions as secondary. </w:t>
            </w:r>
            <w:r w:rsidR="0084515F">
              <w:rPr>
                <w:rFonts w:ascii="Calibri" w:hAnsi="Calibri" w:cs="Calibri"/>
                <w:color w:val="4472C4" w:themeColor="accent1"/>
                <w:lang w:val="en-US"/>
              </w:rPr>
              <w:t xml:space="preserve">The main purpose of the new Figure 5 is to </w:t>
            </w:r>
            <w:r w:rsidR="00606F2A">
              <w:rPr>
                <w:rFonts w:ascii="Calibri" w:hAnsi="Calibri" w:cs="Calibri"/>
                <w:color w:val="4472C4" w:themeColor="accent1"/>
                <w:lang w:val="en-US"/>
              </w:rPr>
              <w:t xml:space="preserve">uncover differences between gas-limited and baseline scenarios, and </w:t>
            </w:r>
            <w:r w:rsidR="00E6263E">
              <w:rPr>
                <w:rFonts w:ascii="Calibri" w:hAnsi="Calibri" w:cs="Calibri"/>
                <w:color w:val="4472C4" w:themeColor="accent1"/>
                <w:lang w:val="en-US"/>
              </w:rPr>
              <w:t xml:space="preserve">we </w:t>
            </w:r>
            <w:r w:rsidR="00606F2A">
              <w:rPr>
                <w:rFonts w:ascii="Calibri" w:hAnsi="Calibri" w:cs="Calibri"/>
                <w:color w:val="4472C4" w:themeColor="accent1"/>
                <w:lang w:val="en-US"/>
              </w:rPr>
              <w:t xml:space="preserve">do find </w:t>
            </w:r>
            <w:r w:rsidR="00E6263E">
              <w:rPr>
                <w:rFonts w:ascii="Calibri" w:hAnsi="Calibri" w:cs="Calibri"/>
                <w:color w:val="4472C4" w:themeColor="accent1"/>
                <w:lang w:val="en-US"/>
              </w:rPr>
              <w:t xml:space="preserve">new interesting features </w:t>
            </w:r>
            <w:r w:rsidR="007279DB">
              <w:rPr>
                <w:rFonts w:ascii="Calibri" w:hAnsi="Calibri" w:cs="Calibri"/>
                <w:color w:val="4472C4" w:themeColor="accent1"/>
                <w:lang w:val="en-US"/>
              </w:rPr>
              <w:t>as discussed in the paper.</w:t>
            </w:r>
            <w:r w:rsidR="00606F2A">
              <w:rPr>
                <w:rFonts w:ascii="Calibri" w:hAnsi="Calibri" w:cs="Calibri"/>
                <w:color w:val="4472C4" w:themeColor="accent1"/>
                <w:lang w:val="en-US"/>
              </w:rPr>
              <w:t xml:space="preserve"> </w:t>
            </w:r>
          </w:p>
          <w:p w14:paraId="464ADD01" w14:textId="77777777" w:rsidR="00BA095B" w:rsidRDefault="00BA095B" w:rsidP="009F62D0">
            <w:pPr>
              <w:pStyle w:val="NormalWeb"/>
              <w:spacing w:before="0" w:beforeAutospacing="0" w:after="0" w:afterAutospacing="0"/>
              <w:rPr>
                <w:rFonts w:ascii="Calibri" w:hAnsi="Calibri" w:cs="Calibri"/>
                <w:color w:val="4472C4" w:themeColor="accent1"/>
                <w:lang w:val="en-US"/>
              </w:rPr>
            </w:pPr>
          </w:p>
          <w:p w14:paraId="399E0E7A" w14:textId="1CA4FBE9" w:rsidR="0056479F" w:rsidRPr="00193A2F" w:rsidRDefault="002976B3" w:rsidP="00193A2F">
            <w:pPr>
              <w:pStyle w:val="NormalWeb"/>
              <w:rPr>
                <w:rFonts w:ascii="Calibri" w:hAnsi="Calibri" w:cs="Calibri"/>
                <w:i/>
                <w:iCs/>
                <w:color w:val="4472C4" w:themeColor="accent1"/>
                <w:lang w:val="en-US"/>
              </w:rPr>
            </w:pPr>
            <w:r>
              <w:rPr>
                <w:rFonts w:ascii="Calibri" w:hAnsi="Calibri" w:cs="Calibri"/>
                <w:i/>
                <w:iCs/>
                <w:color w:val="4472C4" w:themeColor="accent1"/>
                <w:lang w:val="en-US"/>
              </w:rPr>
              <w:lastRenderedPageBreak/>
              <w:t>“</w:t>
            </w:r>
            <w:r w:rsidR="00193A2F" w:rsidRPr="00193A2F">
              <w:rPr>
                <w:rFonts w:ascii="Calibri" w:hAnsi="Calibri" w:cs="Calibri"/>
                <w:i/>
                <w:iCs/>
                <w:color w:val="4472C4" w:themeColor="accent1"/>
                <w:lang w:val="en-US"/>
              </w:rPr>
              <w:t>Highly renewable energy systems are challenged by dark doldrums (i.e., a week in winter in which</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solar and wind generation is low but electricity and heating demand is high)9,</w:t>
            </w:r>
            <w:proofErr w:type="gramStart"/>
            <w:r w:rsidR="00193A2F" w:rsidRPr="00193A2F">
              <w:rPr>
                <w:rFonts w:ascii="Calibri" w:hAnsi="Calibri" w:cs="Calibri"/>
                <w:i/>
                <w:iCs/>
                <w:color w:val="4472C4" w:themeColor="accent1"/>
                <w:lang w:val="en-US"/>
              </w:rPr>
              <w:t>11 .</w:t>
            </w:r>
            <w:proofErr w:type="gramEnd"/>
            <w:r w:rsidR="00193A2F" w:rsidRPr="00193A2F">
              <w:rPr>
                <w:rFonts w:ascii="Calibri" w:hAnsi="Calibri" w:cs="Calibri"/>
                <w:i/>
                <w:iCs/>
                <w:color w:val="4472C4" w:themeColor="accent1"/>
                <w:lang w:val="en-US"/>
              </w:rPr>
              <w:t xml:space="preserve"> We investigate the</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system operation throughout the most critical week of the year in which gas consumption in the 2 ◦C</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gas-unlimited scenario is highest, Fig. 5. When unlimited, gas used in OCGT, CCGT, and CHP</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units is the main source of electricity besides the renewable production. In the gas-limited scenario,</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a much higher proportion of renewable energy is shown, as well as an increase in coal and biomass.</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Battery storage now appears in the balancing during night. For the heating supply, gas is clearly the</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predominant source in both the baseline and gas-limited scenarios. In the latter, a fraction of the gas</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use is replaced with heat pumps. In addition, biomass CHP plants are now on par with or even surpass</w:t>
            </w:r>
            <w:r w:rsidR="00193A2F">
              <w:rPr>
                <w:rFonts w:ascii="Calibri" w:hAnsi="Calibri" w:cs="Calibri"/>
                <w:i/>
                <w:iCs/>
                <w:color w:val="4472C4" w:themeColor="accent1"/>
                <w:lang w:val="en-US"/>
              </w:rPr>
              <w:t xml:space="preserve"> </w:t>
            </w:r>
            <w:r w:rsidR="00193A2F" w:rsidRPr="00193A2F">
              <w:rPr>
                <w:rFonts w:ascii="Calibri" w:hAnsi="Calibri" w:cs="Calibri"/>
                <w:i/>
                <w:iCs/>
                <w:color w:val="4472C4" w:themeColor="accent1"/>
                <w:lang w:val="en-US"/>
              </w:rPr>
              <w:t>the gas CHP plants, while they were not present in the baseline scenario</w:t>
            </w:r>
            <w:r w:rsidRPr="002976B3">
              <w:rPr>
                <w:rFonts w:ascii="Calibri" w:hAnsi="Calibri" w:cs="Calibri"/>
                <w:i/>
                <w:iCs/>
                <w:color w:val="4472C4" w:themeColor="accent1"/>
                <w:lang w:val="en-US"/>
              </w:rPr>
              <w:t>.</w:t>
            </w:r>
            <w:r>
              <w:rPr>
                <w:rFonts w:ascii="Calibri" w:hAnsi="Calibri" w:cs="Calibri"/>
                <w:i/>
                <w:iCs/>
                <w:color w:val="4472C4" w:themeColor="accent1"/>
                <w:lang w:val="en-US"/>
              </w:rPr>
              <w:t>”</w:t>
            </w:r>
          </w:p>
          <w:p w14:paraId="29A1A8B7" w14:textId="0EB7BB6D" w:rsidR="00321AAA" w:rsidRPr="00D417B2" w:rsidRDefault="00D417B2" w:rsidP="009F62D0">
            <w:pPr>
              <w:pStyle w:val="NormalWeb"/>
              <w:spacing w:before="0" w:beforeAutospacing="0" w:after="0" w:afterAutospacing="0"/>
              <w:rPr>
                <w:rFonts w:ascii="Calibri" w:hAnsi="Calibri" w:cs="Calibri"/>
                <w:color w:val="4472C4" w:themeColor="accent1"/>
                <w:lang w:val="en-US"/>
              </w:rPr>
            </w:pPr>
            <w:r w:rsidRPr="00D417B2">
              <w:rPr>
                <w:rFonts w:ascii="Calibri" w:hAnsi="Calibri" w:cs="Calibri"/>
                <w:color w:val="4472C4" w:themeColor="accent1"/>
                <w:lang w:val="en-US"/>
              </w:rPr>
              <w:t xml:space="preserve">Further detail </w:t>
            </w:r>
            <w:proofErr w:type="gramStart"/>
            <w:r w:rsidRPr="00D417B2">
              <w:rPr>
                <w:rFonts w:ascii="Calibri" w:hAnsi="Calibri" w:cs="Calibri"/>
                <w:color w:val="4472C4" w:themeColor="accent1"/>
                <w:lang w:val="en-US"/>
              </w:rPr>
              <w:t>have</w:t>
            </w:r>
            <w:proofErr w:type="gramEnd"/>
            <w:r w:rsidRPr="00D417B2">
              <w:rPr>
                <w:rFonts w:ascii="Calibri" w:hAnsi="Calibri" w:cs="Calibri"/>
                <w:color w:val="4472C4" w:themeColor="accent1"/>
                <w:lang w:val="en-US"/>
              </w:rPr>
              <w:t xml:space="preserve"> been added to the </w:t>
            </w:r>
            <w:r>
              <w:rPr>
                <w:rFonts w:ascii="Calibri" w:hAnsi="Calibri" w:cs="Calibri"/>
                <w:color w:val="4472C4" w:themeColor="accent1"/>
                <w:lang w:val="en-US"/>
              </w:rPr>
              <w:t xml:space="preserve">analysis studying the impact of limiting gas availability. Figure 4 have been updated with an additional panel highlighting the distributional impact, in terms of added costs, induced by a limit on gas availability. As mentioned, the results section </w:t>
            </w:r>
            <w:proofErr w:type="gramStart"/>
            <w:r>
              <w:rPr>
                <w:rFonts w:ascii="Calibri" w:hAnsi="Calibri" w:cs="Calibri"/>
                <w:color w:val="4472C4" w:themeColor="accent1"/>
                <w:lang w:val="en-US"/>
              </w:rPr>
              <w:t>have</w:t>
            </w:r>
            <w:proofErr w:type="gramEnd"/>
            <w:r>
              <w:rPr>
                <w:rFonts w:ascii="Calibri" w:hAnsi="Calibri" w:cs="Calibri"/>
                <w:color w:val="4472C4" w:themeColor="accent1"/>
                <w:lang w:val="en-US"/>
              </w:rPr>
              <w:t xml:space="preserve"> seen a major revision, in which the following text have been added: </w:t>
            </w:r>
          </w:p>
          <w:p w14:paraId="68A390F1" w14:textId="77777777" w:rsidR="00D417B2" w:rsidRPr="00644F6B" w:rsidRDefault="00D417B2" w:rsidP="009F62D0">
            <w:pPr>
              <w:pStyle w:val="NormalWeb"/>
              <w:spacing w:before="0" w:beforeAutospacing="0" w:after="0" w:afterAutospacing="0"/>
              <w:rPr>
                <w:rFonts w:ascii="Calibri" w:hAnsi="Calibri" w:cs="Calibri"/>
                <w:color w:val="4472C4" w:themeColor="accent1"/>
                <w:lang w:val="en-US"/>
              </w:rPr>
            </w:pPr>
          </w:p>
          <w:p w14:paraId="52EB5EC8" w14:textId="4E182A42" w:rsidR="00321AAA" w:rsidRPr="00321AAA" w:rsidRDefault="00321AAA" w:rsidP="009F62D0">
            <w:pPr>
              <w:pStyle w:val="NormalWeb"/>
              <w:spacing w:before="0" w:beforeAutospacing="0" w:after="0" w:afterAutospacing="0"/>
              <w:rPr>
                <w:rFonts w:ascii="Calibri" w:hAnsi="Calibri" w:cs="Calibri"/>
                <w:i/>
                <w:iCs/>
                <w:color w:val="4472C4" w:themeColor="accent1"/>
                <w:lang w:val="en-US"/>
              </w:rPr>
            </w:pPr>
            <w:proofErr w:type="gramStart"/>
            <w:r w:rsidRPr="00321AAA">
              <w:rPr>
                <w:rFonts w:ascii="Calibri" w:hAnsi="Calibri" w:cs="Calibri"/>
                <w:i/>
                <w:iCs/>
                <w:color w:val="4472C4" w:themeColor="accent1"/>
                <w:lang w:val="en-US"/>
              </w:rPr>
              <w:t>”</w:t>
            </w:r>
            <w:r w:rsidRPr="00644F6B">
              <w:rPr>
                <w:rFonts w:ascii="Calibri" w:hAnsi="Calibri" w:cs="Calibri"/>
                <w:i/>
                <w:iCs/>
                <w:color w:val="4472C4" w:themeColor="accent1"/>
                <w:lang w:val="en-US"/>
              </w:rPr>
              <w:t>The</w:t>
            </w:r>
            <w:proofErr w:type="gramEnd"/>
            <w:r w:rsidRPr="00644F6B">
              <w:rPr>
                <w:rFonts w:ascii="Calibri" w:hAnsi="Calibri" w:cs="Calibri"/>
                <w:i/>
                <w:iCs/>
                <w:color w:val="4472C4" w:themeColor="accent1"/>
                <w:lang w:val="en-US"/>
              </w:rPr>
              <w:t xml:space="preserve"> impact of gas scarcity on individual countries is shown in Figure </w:t>
            </w:r>
            <w:r w:rsidR="00D417B2" w:rsidRPr="00D417B2">
              <w:rPr>
                <w:rFonts w:ascii="Calibri" w:hAnsi="Calibri" w:cs="Calibri"/>
                <w:i/>
                <w:iCs/>
                <w:color w:val="4472C4" w:themeColor="accent1"/>
                <w:lang w:val="en-US"/>
              </w:rPr>
              <w:t>4</w:t>
            </w:r>
            <w:r w:rsidRPr="00644F6B">
              <w:rPr>
                <w:rFonts w:ascii="Calibri" w:hAnsi="Calibri" w:cs="Calibri"/>
                <w:i/>
                <w:iCs/>
                <w:color w:val="4472C4" w:themeColor="accent1"/>
                <w:lang w:val="en-US"/>
              </w:rPr>
              <w:t xml:space="preserve">e in terms of added system cost, related to reducing reliance on gas in 2030 for the 2C scenario. We observe that countries with a high availability of good wind resources, such as Denmark, Great Britain, and France, are investing heavily in wind power to compensate for the missing gas availability. In southern Europe and the </w:t>
            </w:r>
            <w:proofErr w:type="gramStart"/>
            <w:r w:rsidRPr="00644F6B">
              <w:rPr>
                <w:rFonts w:ascii="Calibri" w:hAnsi="Calibri" w:cs="Calibri"/>
                <w:i/>
                <w:iCs/>
                <w:color w:val="4472C4" w:themeColor="accent1"/>
                <w:lang w:val="en-US"/>
              </w:rPr>
              <w:t>Balkans</w:t>
            </w:r>
            <w:proofErr w:type="gramEnd"/>
            <w:r w:rsidRPr="00644F6B">
              <w:rPr>
                <w:rFonts w:ascii="Calibri" w:hAnsi="Calibri" w:cs="Calibri"/>
                <w:i/>
                <w:iCs/>
                <w:color w:val="4472C4" w:themeColor="accent1"/>
                <w:lang w:val="en-US"/>
              </w:rPr>
              <w:t xml:space="preserve"> a large increase in costs related to coal power is observed, indicating that gas is replaced by additional coal use. The cost increases shown on the figure are in absolute numbers. Analyzing the added costs relative to the size of the economies, the largest impacts are found in countries where the switch from gas to renewable is made. It is also worth noticing how the economic impact in countries such as Norway and Sweden </w:t>
            </w:r>
            <w:proofErr w:type="gramStart"/>
            <w:r w:rsidRPr="00644F6B">
              <w:rPr>
                <w:rFonts w:ascii="Calibri" w:hAnsi="Calibri" w:cs="Calibri"/>
                <w:i/>
                <w:iCs/>
                <w:color w:val="4472C4" w:themeColor="accent1"/>
                <w:lang w:val="en-US"/>
              </w:rPr>
              <w:t>is</w:t>
            </w:r>
            <w:proofErr w:type="gramEnd"/>
            <w:r w:rsidRPr="00644F6B">
              <w:rPr>
                <w:rFonts w:ascii="Calibri" w:hAnsi="Calibri" w:cs="Calibri"/>
                <w:i/>
                <w:iCs/>
                <w:color w:val="4472C4" w:themeColor="accent1"/>
                <w:lang w:val="en-US"/>
              </w:rPr>
              <w:t xml:space="preserve"> rather insignificant.</w:t>
            </w:r>
            <w:r w:rsidRPr="00321AAA">
              <w:rPr>
                <w:rFonts w:ascii="Calibri" w:hAnsi="Calibri" w:cs="Calibri"/>
                <w:i/>
                <w:iCs/>
                <w:color w:val="4472C4" w:themeColor="accent1"/>
                <w:lang w:val="en-US"/>
              </w:rPr>
              <w:t>”</w:t>
            </w:r>
          </w:p>
          <w:p w14:paraId="1772C6CC" w14:textId="77777777"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tc>
      </w:tr>
    </w:tbl>
    <w:p w14:paraId="5CE06958" w14:textId="77777777" w:rsidR="001676BB" w:rsidRPr="00644F6B" w:rsidRDefault="001676BB" w:rsidP="00EE303E">
      <w:pPr>
        <w:pStyle w:val="NormalWeb"/>
        <w:spacing w:before="0" w:beforeAutospacing="0" w:after="0" w:afterAutospacing="0"/>
        <w:rPr>
          <w:rFonts w:ascii="Calibri" w:hAnsi="Calibri" w:cs="Calibri"/>
          <w:color w:val="000000"/>
          <w:lang w:val="en-US"/>
        </w:rPr>
      </w:pPr>
    </w:p>
    <w:p w14:paraId="16C5EE8F" w14:textId="77777777" w:rsidR="001676BB"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t xml:space="preserve">I still think the paper is a valuable contribution to the policy discussion, but you may have to find a different outlet than Joule for it. I however encourage the authors to work more extensively on their results and aim at a resubmission. I think there are </w:t>
      </w:r>
      <w:proofErr w:type="gramStart"/>
      <w:r w:rsidRPr="00644F6B">
        <w:rPr>
          <w:rFonts w:ascii="Calibri" w:hAnsi="Calibri" w:cs="Calibri"/>
          <w:color w:val="000000"/>
          <w:lang w:val="en-US"/>
        </w:rPr>
        <w:t>e.g.</w:t>
      </w:r>
      <w:proofErr w:type="gramEnd"/>
      <w:r w:rsidRPr="00644F6B">
        <w:rPr>
          <w:rFonts w:ascii="Calibri" w:hAnsi="Calibri" w:cs="Calibri"/>
          <w:color w:val="000000"/>
          <w:lang w:val="en-US"/>
        </w:rPr>
        <w:t xml:space="preserve"> very important distributional impacts from a limitation on gas supply, which you could explore which your model, as I understand that it allows to derive regional differences in impacts. Furthermore, as you are able to provide prices, you could assess in more detail winners and </w:t>
      </w:r>
      <w:proofErr w:type="spellStart"/>
      <w:r w:rsidRPr="00644F6B">
        <w:rPr>
          <w:rFonts w:ascii="Calibri" w:hAnsi="Calibri" w:cs="Calibri"/>
          <w:color w:val="000000"/>
          <w:lang w:val="en-US"/>
        </w:rPr>
        <w:t>loosers</w:t>
      </w:r>
      <w:proofErr w:type="spellEnd"/>
      <w:r w:rsidRPr="00644F6B">
        <w:rPr>
          <w:rFonts w:ascii="Calibri" w:hAnsi="Calibri" w:cs="Calibri"/>
          <w:color w:val="000000"/>
          <w:lang w:val="en-US"/>
        </w:rPr>
        <w:t xml:space="preserve"> of such a change.</w:t>
      </w:r>
      <w:r w:rsidRPr="00644F6B">
        <w:rPr>
          <w:rFonts w:ascii="Calibri" w:hAnsi="Calibri" w:cs="Calibri"/>
          <w:color w:val="000000"/>
          <w:lang w:val="en-US"/>
        </w:rPr>
        <w:br/>
      </w:r>
    </w:p>
    <w:p w14:paraId="6A8D7BEF" w14:textId="77777777" w:rsidR="001676BB" w:rsidRPr="00644F6B" w:rsidRDefault="001676BB" w:rsidP="001676BB">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1676BB" w:rsidRPr="00644F6B" w14:paraId="7059BFBC"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50D87370" w14:textId="77777777"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5B3DE223" w14:textId="77777777"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2F4E4DE4" w14:textId="0EA9D9B1" w:rsidR="0004273D" w:rsidRDefault="0004273D"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It is correctly observed that our model does indeed contain </w:t>
            </w:r>
            <w:r w:rsidR="00193A2F" w:rsidRPr="00644F6B">
              <w:rPr>
                <w:rFonts w:ascii="Calibri" w:hAnsi="Calibri" w:cs="Calibri"/>
                <w:color w:val="4472C4" w:themeColor="accent1"/>
                <w:lang w:val="en-US"/>
              </w:rPr>
              <w:t>spatially</w:t>
            </w:r>
            <w:r w:rsidRPr="00644F6B">
              <w:rPr>
                <w:rFonts w:ascii="Calibri" w:hAnsi="Calibri" w:cs="Calibri"/>
                <w:color w:val="4472C4" w:themeColor="accent1"/>
                <w:lang w:val="en-US"/>
              </w:rPr>
              <w:t xml:space="preserve"> resolved information regarding the burden related to reducing reliance on natural gas. We have extended the analysis of our results to cover the distributional impacts of reducing reliance on natural </w:t>
            </w:r>
            <w:r w:rsidRPr="00644F6B">
              <w:rPr>
                <w:rFonts w:ascii="Calibri" w:hAnsi="Calibri" w:cs="Calibri"/>
                <w:color w:val="4472C4" w:themeColor="accent1"/>
                <w:lang w:val="en-US"/>
              </w:rPr>
              <w:lastRenderedPageBreak/>
              <w:t xml:space="preserve">gas. </w:t>
            </w:r>
            <w:r w:rsidR="00193A2F">
              <w:rPr>
                <w:rFonts w:ascii="Calibri" w:hAnsi="Calibri" w:cs="Calibri"/>
                <w:color w:val="4472C4" w:themeColor="accent1"/>
                <w:lang w:val="en-US"/>
              </w:rPr>
              <w:t xml:space="preserve">Figure 4 have been expanded with an additional panel (e) showing spatial impacts on costs, and the following text have been added: </w:t>
            </w:r>
          </w:p>
          <w:p w14:paraId="1AD173F2" w14:textId="091630FC" w:rsidR="00193A2F" w:rsidRPr="00193A2F" w:rsidRDefault="00193A2F" w:rsidP="00193A2F">
            <w:pPr>
              <w:pStyle w:val="NormalWeb"/>
              <w:rPr>
                <w:rFonts w:ascii="Calibri" w:hAnsi="Calibri" w:cs="Calibri"/>
                <w:i/>
                <w:iCs/>
                <w:color w:val="4472C4" w:themeColor="accent1"/>
                <w:lang w:val="en-US"/>
              </w:rPr>
            </w:pPr>
            <w:r w:rsidRPr="00193A2F">
              <w:rPr>
                <w:rFonts w:ascii="Calibri" w:hAnsi="Calibri" w:cs="Calibri"/>
                <w:i/>
                <w:iCs/>
                <w:color w:val="4472C4" w:themeColor="accent1"/>
                <w:lang w:val="en-US"/>
              </w:rPr>
              <w:t>“</w:t>
            </w:r>
            <w:r w:rsidRPr="00193A2F">
              <w:rPr>
                <w:rFonts w:ascii="Calibri" w:hAnsi="Calibri" w:cs="Calibri"/>
                <w:i/>
                <w:iCs/>
                <w:color w:val="4472C4" w:themeColor="accent1"/>
                <w:lang w:val="en-US"/>
              </w:rPr>
              <w:t>The impact of gas scarcity on individual countries is shown in Figure 4e by plotting the additional</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annual system cost when imposing the gas limit constraint in 2030 for the 2 ◦C scenario. Evenly</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across Europe, all countries increase investments in heat pumps to replace gas consumed to supply</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heat. We observe that countries with good wind resources, such as Denmark, Great Britain, and</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France increase investments in wind power to compensate for the missing gas availability. In Italy</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and the Balkan countries a large increase in costs related to coal power is observed, indicating that</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gas is replaced by additional coal use, Fig. 4. The cost increases shown in Fig. 4 are in absolute</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numbers. Analyzing the added costs relative to the size of the economies, the largest impacts are</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found in countries where gas is replaced by renewable energy Fig. S18. It is also worth noticing how</w:t>
            </w:r>
            <w:r w:rsidRPr="00193A2F">
              <w:rPr>
                <w:rFonts w:ascii="Calibri" w:hAnsi="Calibri" w:cs="Calibri"/>
                <w:i/>
                <w:iCs/>
                <w:color w:val="4472C4" w:themeColor="accent1"/>
                <w:lang w:val="en-US"/>
              </w:rPr>
              <w:t xml:space="preserve"> </w:t>
            </w:r>
            <w:r w:rsidRPr="00193A2F">
              <w:rPr>
                <w:rFonts w:ascii="Calibri" w:hAnsi="Calibri" w:cs="Calibri"/>
                <w:i/>
                <w:iCs/>
                <w:color w:val="4472C4" w:themeColor="accent1"/>
                <w:lang w:val="en-US"/>
              </w:rPr>
              <w:t xml:space="preserve">the economic impact in countries such as Norway and Sweden </w:t>
            </w:r>
            <w:proofErr w:type="gramStart"/>
            <w:r w:rsidRPr="00193A2F">
              <w:rPr>
                <w:rFonts w:ascii="Calibri" w:hAnsi="Calibri" w:cs="Calibri"/>
                <w:i/>
                <w:iCs/>
                <w:color w:val="4472C4" w:themeColor="accent1"/>
                <w:lang w:val="en-US"/>
              </w:rPr>
              <w:t>is</w:t>
            </w:r>
            <w:proofErr w:type="gramEnd"/>
            <w:r w:rsidRPr="00193A2F">
              <w:rPr>
                <w:rFonts w:ascii="Calibri" w:hAnsi="Calibri" w:cs="Calibri"/>
                <w:i/>
                <w:iCs/>
                <w:color w:val="4472C4" w:themeColor="accent1"/>
                <w:lang w:val="en-US"/>
              </w:rPr>
              <w:t xml:space="preserve"> rather insignificant.</w:t>
            </w:r>
            <w:r w:rsidRPr="00193A2F">
              <w:rPr>
                <w:rFonts w:ascii="Calibri" w:hAnsi="Calibri" w:cs="Calibri"/>
                <w:i/>
                <w:iCs/>
                <w:color w:val="4472C4" w:themeColor="accent1"/>
                <w:lang w:val="en-US"/>
              </w:rPr>
              <w:t>”</w:t>
            </w:r>
          </w:p>
        </w:tc>
      </w:tr>
    </w:tbl>
    <w:p w14:paraId="1A592FDA" w14:textId="77777777" w:rsidR="001676BB" w:rsidRPr="00644F6B" w:rsidRDefault="001676BB" w:rsidP="00EE303E">
      <w:pPr>
        <w:pStyle w:val="NormalWeb"/>
        <w:spacing w:before="0" w:beforeAutospacing="0" w:after="0" w:afterAutospacing="0"/>
        <w:rPr>
          <w:rFonts w:ascii="Calibri" w:hAnsi="Calibri" w:cs="Calibri"/>
          <w:color w:val="000000"/>
          <w:lang w:val="en-US"/>
        </w:rPr>
      </w:pPr>
    </w:p>
    <w:p w14:paraId="0F6A4F6D" w14:textId="77777777" w:rsidR="001676BB"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br/>
        <w:t>Some minor comments:</w:t>
      </w:r>
      <w:r w:rsidRPr="00644F6B">
        <w:rPr>
          <w:rFonts w:ascii="Calibri" w:hAnsi="Calibri" w:cs="Calibri"/>
          <w:color w:val="000000"/>
          <w:lang w:val="en-US"/>
        </w:rPr>
        <w:br/>
        <w:t xml:space="preserve">- Legend of Fig. 2 g), h): unclear how capacities differ between scenarios, </w:t>
      </w:r>
      <w:proofErr w:type="gramStart"/>
      <w:r w:rsidRPr="00644F6B">
        <w:rPr>
          <w:rFonts w:ascii="Calibri" w:hAnsi="Calibri" w:cs="Calibri"/>
          <w:color w:val="000000"/>
          <w:lang w:val="en-US"/>
        </w:rPr>
        <w:t>i.e.</w:t>
      </w:r>
      <w:proofErr w:type="gramEnd"/>
      <w:r w:rsidRPr="00644F6B">
        <w:rPr>
          <w:rFonts w:ascii="Calibri" w:hAnsi="Calibri" w:cs="Calibri"/>
          <w:color w:val="000000"/>
          <w:lang w:val="en-US"/>
        </w:rPr>
        <w:t xml:space="preserve"> which line belongs to which scenario (dashed/solid)?</w:t>
      </w:r>
    </w:p>
    <w:p w14:paraId="4B021EFB" w14:textId="77777777" w:rsidR="001676BB" w:rsidRPr="00644F6B" w:rsidRDefault="001676BB">
      <w:pPr>
        <w:rPr>
          <w:rFonts w:ascii="Calibri" w:hAnsi="Calibri" w:cs="Calibri"/>
          <w:color w:val="000000"/>
          <w:lang w:val="en-US"/>
        </w:rPr>
      </w:pPr>
      <w:r w:rsidRPr="00644F6B">
        <w:rPr>
          <w:rFonts w:ascii="Calibri" w:hAnsi="Calibri" w:cs="Calibri"/>
          <w:color w:val="000000"/>
          <w:lang w:val="en-US"/>
        </w:rPr>
        <w:br w:type="page"/>
      </w:r>
    </w:p>
    <w:p w14:paraId="2B6B5BFA" w14:textId="77777777" w:rsidR="001676BB" w:rsidRPr="00644F6B" w:rsidRDefault="001676BB" w:rsidP="001676BB">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1676BB" w:rsidRPr="00C75A20" w14:paraId="55B859E1"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50B442A9" w14:textId="77777777"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642F4EF2" w14:textId="3BFBE67F"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49C6736C" w14:textId="1E2880C8" w:rsidR="00EF493D" w:rsidRDefault="00EF493D" w:rsidP="009F62D0">
            <w:pPr>
              <w:pStyle w:val="NormalWeb"/>
              <w:spacing w:before="0" w:beforeAutospacing="0" w:after="0" w:afterAutospacing="0"/>
              <w:rPr>
                <w:rFonts w:ascii="Calibri" w:hAnsi="Calibri" w:cs="Calibri"/>
                <w:color w:val="4472C4" w:themeColor="accent1"/>
              </w:rPr>
            </w:pPr>
            <w:r w:rsidRPr="00644F6B">
              <w:rPr>
                <w:rFonts w:ascii="Calibri" w:hAnsi="Calibri" w:cs="Calibri"/>
                <w:color w:val="4472C4" w:themeColor="accent1"/>
                <w:lang w:val="en-US"/>
              </w:rPr>
              <w:t xml:space="preserve">Figure 2 panel g), and h) have been updated to clarify what lines belongs to which scenarios. </w:t>
            </w:r>
            <w:r>
              <w:rPr>
                <w:rFonts w:ascii="Calibri" w:hAnsi="Calibri" w:cs="Calibri"/>
                <w:color w:val="4472C4" w:themeColor="accent1"/>
              </w:rPr>
              <w:t xml:space="preserve">See the </w:t>
            </w:r>
            <w:proofErr w:type="spellStart"/>
            <w:r>
              <w:rPr>
                <w:rFonts w:ascii="Calibri" w:hAnsi="Calibri" w:cs="Calibri"/>
                <w:color w:val="4472C4" w:themeColor="accent1"/>
              </w:rPr>
              <w:t>updated</w:t>
            </w:r>
            <w:proofErr w:type="spellEnd"/>
            <w:r>
              <w:rPr>
                <w:rFonts w:ascii="Calibri" w:hAnsi="Calibri" w:cs="Calibri"/>
                <w:color w:val="4472C4" w:themeColor="accent1"/>
              </w:rPr>
              <w:t xml:space="preserve"> </w:t>
            </w:r>
            <w:proofErr w:type="spellStart"/>
            <w:r>
              <w:rPr>
                <w:rFonts w:ascii="Calibri" w:hAnsi="Calibri" w:cs="Calibri"/>
                <w:color w:val="4472C4" w:themeColor="accent1"/>
              </w:rPr>
              <w:t>figure</w:t>
            </w:r>
            <w:proofErr w:type="spellEnd"/>
            <w:r>
              <w:rPr>
                <w:rFonts w:ascii="Calibri" w:hAnsi="Calibri" w:cs="Calibri"/>
                <w:color w:val="4472C4" w:themeColor="accent1"/>
              </w:rPr>
              <w:t xml:space="preserve"> </w:t>
            </w:r>
            <w:proofErr w:type="spellStart"/>
            <w:r>
              <w:rPr>
                <w:rFonts w:ascii="Calibri" w:hAnsi="Calibri" w:cs="Calibri"/>
                <w:color w:val="4472C4" w:themeColor="accent1"/>
              </w:rPr>
              <w:t>below</w:t>
            </w:r>
            <w:proofErr w:type="spellEnd"/>
            <w:r>
              <w:rPr>
                <w:rFonts w:ascii="Calibri" w:hAnsi="Calibri" w:cs="Calibri"/>
                <w:color w:val="4472C4" w:themeColor="accent1"/>
              </w:rPr>
              <w:t xml:space="preserve">: </w:t>
            </w:r>
          </w:p>
          <w:p w14:paraId="10BB65C0" w14:textId="77777777" w:rsidR="00EF493D" w:rsidRDefault="00EF493D" w:rsidP="009F62D0">
            <w:pPr>
              <w:pStyle w:val="NormalWeb"/>
              <w:spacing w:before="0" w:beforeAutospacing="0" w:after="0" w:afterAutospacing="0"/>
              <w:rPr>
                <w:rFonts w:ascii="Calibri" w:hAnsi="Calibri" w:cs="Calibri"/>
                <w:color w:val="4472C4" w:themeColor="accent1"/>
              </w:rPr>
            </w:pPr>
          </w:p>
          <w:p w14:paraId="2E6E3A1E" w14:textId="0D253C53" w:rsidR="00EF493D" w:rsidRPr="00C75A20" w:rsidRDefault="00EF493D" w:rsidP="009F62D0">
            <w:pPr>
              <w:pStyle w:val="NormalWeb"/>
              <w:spacing w:before="0" w:beforeAutospacing="0" w:after="0" w:afterAutospacing="0"/>
              <w:rPr>
                <w:rFonts w:ascii="Calibri" w:hAnsi="Calibri" w:cs="Calibri"/>
                <w:color w:val="4472C4" w:themeColor="accent1"/>
              </w:rPr>
            </w:pPr>
            <w:r w:rsidRPr="00EF493D">
              <w:rPr>
                <w:rFonts w:ascii="Calibri" w:hAnsi="Calibri" w:cs="Calibri"/>
                <w:noProof/>
                <w:color w:val="4472C4" w:themeColor="accent1"/>
              </w:rPr>
              <w:drawing>
                <wp:inline distT="0" distB="0" distL="0" distR="0" wp14:anchorId="688801FC" wp14:editId="5ECC1EEC">
                  <wp:extent cx="5584577" cy="769210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6704" cy="7695035"/>
                          </a:xfrm>
                          <a:prstGeom prst="rect">
                            <a:avLst/>
                          </a:prstGeom>
                        </pic:spPr>
                      </pic:pic>
                    </a:graphicData>
                  </a:graphic>
                </wp:inline>
              </w:drawing>
            </w:r>
          </w:p>
        </w:tc>
      </w:tr>
    </w:tbl>
    <w:p w14:paraId="75BA4635" w14:textId="77777777" w:rsidR="001676BB" w:rsidRPr="00644F6B" w:rsidRDefault="00EE303E" w:rsidP="00EE303E">
      <w:pPr>
        <w:pStyle w:val="NormalWeb"/>
        <w:spacing w:before="0" w:beforeAutospacing="0" w:after="0" w:afterAutospacing="0"/>
        <w:rPr>
          <w:rFonts w:ascii="Calibri" w:hAnsi="Calibri" w:cs="Calibri"/>
          <w:color w:val="000000"/>
          <w:lang w:val="en-US"/>
        </w:rPr>
      </w:pPr>
      <w:r w:rsidRPr="00644F6B">
        <w:rPr>
          <w:rFonts w:ascii="Calibri" w:hAnsi="Calibri" w:cs="Calibri"/>
          <w:color w:val="000000"/>
          <w:lang w:val="en-US"/>
        </w:rPr>
        <w:lastRenderedPageBreak/>
        <w:br/>
      </w:r>
      <w:r w:rsidRPr="00644F6B">
        <w:rPr>
          <w:rFonts w:ascii="Calibri" w:hAnsi="Calibri" w:cs="Calibri"/>
          <w:color w:val="000000"/>
          <w:lang w:val="en-US"/>
        </w:rPr>
        <w:br/>
        <w:t xml:space="preserve">- "A marginal cost of 21.1 </w:t>
      </w:r>
      <w:proofErr w:type="spellStart"/>
      <w:r w:rsidRPr="00644F6B">
        <w:rPr>
          <w:rFonts w:ascii="Calibri" w:hAnsi="Calibri" w:cs="Calibri"/>
          <w:color w:val="000000"/>
          <w:lang w:val="en-US"/>
        </w:rPr>
        <w:t>Eur</w:t>
      </w:r>
      <w:proofErr w:type="spellEnd"/>
      <w:r w:rsidRPr="00644F6B">
        <w:rPr>
          <w:rFonts w:ascii="Calibri" w:hAnsi="Calibri" w:cs="Calibri"/>
          <w:color w:val="000000"/>
          <w:lang w:val="en-US"/>
        </w:rPr>
        <w:t>/MWh for gas is assumed. The constraint on gas availability introduces a shadow price on gas, when demand is higher than supply. The gas price depicted in the figure is the sum of the marginal price and the shadow price."</w:t>
      </w:r>
      <w:r w:rsidRPr="00644F6B">
        <w:rPr>
          <w:rFonts w:ascii="Calibri" w:hAnsi="Calibri" w:cs="Calibri"/>
          <w:color w:val="000000"/>
          <w:lang w:val="en-US"/>
        </w:rPr>
        <w:br/>
        <w:t>I think there is an error in terminology.</w:t>
      </w:r>
      <w:r w:rsidRPr="00644F6B">
        <w:rPr>
          <w:rFonts w:ascii="Calibri" w:hAnsi="Calibri" w:cs="Calibri"/>
          <w:color w:val="000000"/>
          <w:lang w:val="en-US"/>
        </w:rPr>
        <w:br/>
        <w:t>(1) The term "marginal price" is unknown to me.</w:t>
      </w:r>
      <w:r w:rsidRPr="00644F6B">
        <w:rPr>
          <w:rFonts w:ascii="Calibri" w:hAnsi="Calibri" w:cs="Calibri"/>
          <w:color w:val="000000"/>
          <w:lang w:val="en-US"/>
        </w:rPr>
        <w:br/>
        <w:t xml:space="preserve">(2) The price of the </w:t>
      </w:r>
      <w:proofErr w:type="spellStart"/>
      <w:r w:rsidRPr="00644F6B">
        <w:rPr>
          <w:rFonts w:ascii="Calibri" w:hAnsi="Calibri" w:cs="Calibri"/>
          <w:color w:val="000000"/>
          <w:lang w:val="en-US"/>
        </w:rPr>
        <w:t>ressource</w:t>
      </w:r>
      <w:proofErr w:type="spellEnd"/>
      <w:r w:rsidRPr="00644F6B">
        <w:rPr>
          <w:rFonts w:ascii="Calibri" w:hAnsi="Calibri" w:cs="Calibri"/>
          <w:color w:val="000000"/>
          <w:lang w:val="en-US"/>
        </w:rPr>
        <w:t xml:space="preserve"> is therefore marginal production cost + shadow rent.</w:t>
      </w:r>
      <w:r w:rsidRPr="00644F6B">
        <w:rPr>
          <w:rFonts w:ascii="Calibri" w:hAnsi="Calibri" w:cs="Calibri"/>
          <w:color w:val="000000"/>
          <w:lang w:val="en-US"/>
        </w:rPr>
        <w:br/>
      </w:r>
    </w:p>
    <w:p w14:paraId="19B4FEB8" w14:textId="77777777" w:rsidR="001676BB" w:rsidRPr="00644F6B" w:rsidRDefault="001676BB" w:rsidP="001676BB">
      <w:pPr>
        <w:pStyle w:val="NormalWeb"/>
        <w:spacing w:before="0" w:beforeAutospacing="0" w:after="0" w:afterAutospacing="0"/>
        <w:rPr>
          <w:rFonts w:ascii="Calibri" w:hAnsi="Calibri" w:cs="Calibri"/>
          <w:color w:val="000000"/>
          <w:lang w:val="en-US"/>
        </w:rPr>
      </w:pPr>
    </w:p>
    <w:tbl>
      <w:tblPr>
        <w:tblStyle w:val="TableGrid"/>
        <w:tblW w:w="0" w:type="auto"/>
        <w:tblLook w:val="04A0" w:firstRow="1" w:lastRow="0" w:firstColumn="1" w:lastColumn="0" w:noHBand="0" w:noVBand="1"/>
      </w:tblPr>
      <w:tblGrid>
        <w:gridCol w:w="9010"/>
      </w:tblGrid>
      <w:tr w:rsidR="001676BB" w:rsidRPr="00644F6B" w14:paraId="7B467D6A"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4F9C9310" w14:textId="77777777"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49F992F0" w14:textId="77777777"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73746BFB" w14:textId="7B97B8D8" w:rsidR="00DC52EE" w:rsidRPr="00644F6B" w:rsidRDefault="00DC52EE"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We agree that we should be more careful with our wording when discussion gas price in our paper. The wording of the mentioned section </w:t>
            </w:r>
            <w:proofErr w:type="gramStart"/>
            <w:r w:rsidRPr="00644F6B">
              <w:rPr>
                <w:rFonts w:ascii="Calibri" w:hAnsi="Calibri" w:cs="Calibri"/>
                <w:color w:val="4472C4" w:themeColor="accent1"/>
                <w:lang w:val="en-US"/>
              </w:rPr>
              <w:t>have</w:t>
            </w:r>
            <w:proofErr w:type="gramEnd"/>
            <w:r w:rsidRPr="00644F6B">
              <w:rPr>
                <w:rFonts w:ascii="Calibri" w:hAnsi="Calibri" w:cs="Calibri"/>
                <w:color w:val="4472C4" w:themeColor="accent1"/>
                <w:lang w:val="en-US"/>
              </w:rPr>
              <w:t xml:space="preserve"> been altered so it now reads: </w:t>
            </w:r>
          </w:p>
          <w:p w14:paraId="44C2ABD2" w14:textId="146235BE" w:rsidR="00DC52EE" w:rsidRPr="00644F6B" w:rsidRDefault="009B20BE" w:rsidP="009B20BE">
            <w:pPr>
              <w:pStyle w:val="NormalWeb"/>
              <w:rPr>
                <w:rFonts w:ascii="Calibri" w:hAnsi="Calibri" w:cs="Calibri"/>
                <w:i/>
                <w:color w:val="4472C4" w:themeColor="accent1"/>
                <w:lang w:val="en-US"/>
              </w:rPr>
            </w:pPr>
            <w:r>
              <w:rPr>
                <w:rFonts w:ascii="Calibri" w:hAnsi="Calibri" w:cs="Calibri"/>
                <w:i/>
                <w:color w:val="4472C4" w:themeColor="accent1"/>
                <w:lang w:val="en-US"/>
              </w:rPr>
              <w:t>“</w:t>
            </w:r>
            <w:r w:rsidRPr="009B20BE">
              <w:rPr>
                <w:rFonts w:ascii="Calibri" w:hAnsi="Calibri" w:cs="Calibri"/>
                <w:i/>
                <w:color w:val="4472C4" w:themeColor="accent1"/>
                <w:lang w:val="en-US"/>
              </w:rPr>
              <w:t>In Figure 4c the reference gas prices for the modeled scenarios are shown. A cost of 21.1 EUR/MWh</w:t>
            </w:r>
            <w:r>
              <w:rPr>
                <w:rFonts w:ascii="Calibri" w:hAnsi="Calibri" w:cs="Calibri"/>
                <w:i/>
                <w:color w:val="4472C4" w:themeColor="accent1"/>
                <w:lang w:val="en-US"/>
              </w:rPr>
              <w:t xml:space="preserve"> </w:t>
            </w:r>
            <w:r w:rsidRPr="009B20BE">
              <w:rPr>
                <w:rFonts w:ascii="Calibri" w:hAnsi="Calibri" w:cs="Calibri"/>
                <w:i/>
                <w:color w:val="4472C4" w:themeColor="accent1"/>
                <w:lang w:val="en-US"/>
              </w:rPr>
              <w:t>for gas is assumed, similar to the price observed before 2021. When binding, the constraint on</w:t>
            </w:r>
            <w:r>
              <w:rPr>
                <w:rFonts w:ascii="Calibri" w:hAnsi="Calibri" w:cs="Calibri"/>
                <w:i/>
                <w:color w:val="4472C4" w:themeColor="accent1"/>
                <w:lang w:val="en-US"/>
              </w:rPr>
              <w:t xml:space="preserve"> </w:t>
            </w:r>
            <w:r w:rsidRPr="009B20BE">
              <w:rPr>
                <w:rFonts w:ascii="Calibri" w:hAnsi="Calibri" w:cs="Calibri"/>
                <w:i/>
                <w:color w:val="4472C4" w:themeColor="accent1"/>
                <w:lang w:val="en-US"/>
              </w:rPr>
              <w:t>gas availability introduces an additional shadow price on gas determined by the Lagrange multiplier</w:t>
            </w:r>
            <w:r>
              <w:rPr>
                <w:rFonts w:ascii="Calibri" w:hAnsi="Calibri" w:cs="Calibri"/>
                <w:i/>
                <w:color w:val="4472C4" w:themeColor="accent1"/>
                <w:lang w:val="en-US"/>
              </w:rPr>
              <w:t xml:space="preserve"> </w:t>
            </w:r>
            <w:r w:rsidRPr="009B20BE">
              <w:rPr>
                <w:rFonts w:ascii="Calibri" w:hAnsi="Calibri" w:cs="Calibri"/>
                <w:i/>
                <w:color w:val="4472C4" w:themeColor="accent1"/>
                <w:lang w:val="en-US"/>
              </w:rPr>
              <w:t>associated with the gas limit constraint. In the 2 ◦C scenario, the constraint is binding until 2040. As</w:t>
            </w:r>
            <w:r>
              <w:rPr>
                <w:rFonts w:ascii="Calibri" w:hAnsi="Calibri" w:cs="Calibri"/>
                <w:i/>
                <w:color w:val="4472C4" w:themeColor="accent1"/>
                <w:lang w:val="en-US"/>
              </w:rPr>
              <w:t xml:space="preserve"> </w:t>
            </w:r>
            <w:r w:rsidRPr="009B20BE">
              <w:rPr>
                <w:rFonts w:ascii="Calibri" w:hAnsi="Calibri" w:cs="Calibri"/>
                <w:i/>
                <w:color w:val="4472C4" w:themeColor="accent1"/>
                <w:lang w:val="en-US"/>
              </w:rPr>
              <w:t>a result, the total gas price initially increases to approximately 85 EUR/MWh after which it gradually</w:t>
            </w:r>
            <w:r>
              <w:rPr>
                <w:rFonts w:ascii="Calibri" w:hAnsi="Calibri" w:cs="Calibri"/>
                <w:i/>
                <w:color w:val="4472C4" w:themeColor="accent1"/>
                <w:lang w:val="en-US"/>
              </w:rPr>
              <w:t xml:space="preserve"> </w:t>
            </w:r>
            <w:r w:rsidRPr="009B20BE">
              <w:rPr>
                <w:rFonts w:ascii="Calibri" w:hAnsi="Calibri" w:cs="Calibri"/>
                <w:i/>
                <w:color w:val="4472C4" w:themeColor="accent1"/>
                <w:lang w:val="en-US"/>
              </w:rPr>
              <w:t>drops to the base level in 2045. The 1.5 ◦C scenario, on the other hand, only experiences elevated gas</w:t>
            </w:r>
            <w:r>
              <w:rPr>
                <w:rFonts w:ascii="Calibri" w:hAnsi="Calibri" w:cs="Calibri"/>
                <w:i/>
                <w:color w:val="4472C4" w:themeColor="accent1"/>
                <w:lang w:val="en-US"/>
              </w:rPr>
              <w:t xml:space="preserve"> </w:t>
            </w:r>
            <w:r w:rsidRPr="009B20BE">
              <w:rPr>
                <w:rFonts w:ascii="Calibri" w:hAnsi="Calibri" w:cs="Calibri"/>
                <w:i/>
                <w:color w:val="4472C4" w:themeColor="accent1"/>
                <w:lang w:val="en-US"/>
              </w:rPr>
              <w:t>prices in the first modeled period corresponding to 2025.</w:t>
            </w:r>
            <w:r>
              <w:rPr>
                <w:rFonts w:ascii="Calibri" w:hAnsi="Calibri" w:cs="Calibri"/>
                <w:i/>
                <w:color w:val="4472C4" w:themeColor="accent1"/>
                <w:lang w:val="en-US"/>
              </w:rPr>
              <w:t>”</w:t>
            </w:r>
          </w:p>
        </w:tc>
      </w:tr>
    </w:tbl>
    <w:p w14:paraId="3D3AF425" w14:textId="77777777" w:rsidR="001676BB" w:rsidRPr="00644F6B" w:rsidRDefault="001676BB" w:rsidP="00EE303E">
      <w:pPr>
        <w:pStyle w:val="NormalWeb"/>
        <w:spacing w:before="0" w:beforeAutospacing="0" w:after="0" w:afterAutospacing="0"/>
        <w:rPr>
          <w:rFonts w:ascii="Calibri" w:hAnsi="Calibri" w:cs="Calibri"/>
          <w:color w:val="000000"/>
          <w:lang w:val="en-US"/>
        </w:rPr>
      </w:pPr>
    </w:p>
    <w:p w14:paraId="7AB544AD" w14:textId="062464C8" w:rsidR="00EE303E" w:rsidRPr="00C75A20" w:rsidRDefault="00EE303E" w:rsidP="00EE303E">
      <w:pPr>
        <w:pStyle w:val="NormalWeb"/>
        <w:spacing w:before="0" w:beforeAutospacing="0" w:after="0" w:afterAutospacing="0"/>
        <w:rPr>
          <w:rFonts w:ascii="Calibri" w:hAnsi="Calibri" w:cs="Calibri"/>
          <w:color w:val="000000"/>
        </w:rPr>
      </w:pPr>
      <w:r w:rsidRPr="00644F6B">
        <w:rPr>
          <w:rFonts w:ascii="Calibri" w:hAnsi="Calibri" w:cs="Calibri"/>
          <w:color w:val="000000"/>
          <w:lang w:val="en-US"/>
        </w:rPr>
        <w:br/>
        <w:t xml:space="preserve">- Please observe that apparently you do not have a full gas market model, as you do not include all gas consuming sectors directly in the model. Therefore, I am not sure how to interpret the prices. One would probably have to assume that </w:t>
      </w:r>
      <w:proofErr w:type="spellStart"/>
      <w:r w:rsidRPr="00644F6B">
        <w:rPr>
          <w:rFonts w:ascii="Calibri" w:hAnsi="Calibri" w:cs="Calibri"/>
          <w:color w:val="000000"/>
          <w:lang w:val="en-US"/>
        </w:rPr>
        <w:t>somhow</w:t>
      </w:r>
      <w:proofErr w:type="spellEnd"/>
      <w:r w:rsidRPr="00644F6B">
        <w:rPr>
          <w:rFonts w:ascii="Calibri" w:hAnsi="Calibri" w:cs="Calibri"/>
          <w:color w:val="000000"/>
          <w:lang w:val="en-US"/>
        </w:rPr>
        <w:t xml:space="preserve"> the amount of gas going to the modelled energy sectors is fixed by definition and that other sector adaptation processes will not affect the equilibrium price. </w:t>
      </w:r>
      <w:r w:rsidRPr="00C75A20">
        <w:rPr>
          <w:rFonts w:ascii="Calibri" w:hAnsi="Calibri" w:cs="Calibri"/>
          <w:color w:val="000000"/>
        </w:rPr>
        <w:t xml:space="preserve">This </w:t>
      </w:r>
      <w:proofErr w:type="spellStart"/>
      <w:r w:rsidRPr="00C75A20">
        <w:rPr>
          <w:rFonts w:ascii="Calibri" w:hAnsi="Calibri" w:cs="Calibri"/>
          <w:color w:val="000000"/>
        </w:rPr>
        <w:t>should</w:t>
      </w:r>
      <w:proofErr w:type="spellEnd"/>
      <w:r w:rsidRPr="00C75A20">
        <w:rPr>
          <w:rFonts w:ascii="Calibri" w:hAnsi="Calibri" w:cs="Calibri"/>
          <w:color w:val="000000"/>
        </w:rPr>
        <w:t xml:space="preserve"> at </w:t>
      </w:r>
      <w:proofErr w:type="spellStart"/>
      <w:r w:rsidRPr="00C75A20">
        <w:rPr>
          <w:rFonts w:ascii="Calibri" w:hAnsi="Calibri" w:cs="Calibri"/>
          <w:color w:val="000000"/>
        </w:rPr>
        <w:t>least</w:t>
      </w:r>
      <w:proofErr w:type="spellEnd"/>
      <w:r w:rsidRPr="00C75A20">
        <w:rPr>
          <w:rFonts w:ascii="Calibri" w:hAnsi="Calibri" w:cs="Calibri"/>
          <w:color w:val="000000"/>
        </w:rPr>
        <w:t xml:space="preserve"> </w:t>
      </w:r>
      <w:proofErr w:type="spellStart"/>
      <w:r w:rsidRPr="00C75A20">
        <w:rPr>
          <w:rFonts w:ascii="Calibri" w:hAnsi="Calibri" w:cs="Calibri"/>
          <w:color w:val="000000"/>
        </w:rPr>
        <w:t>be</w:t>
      </w:r>
      <w:proofErr w:type="spellEnd"/>
      <w:r w:rsidRPr="00C75A20">
        <w:rPr>
          <w:rFonts w:ascii="Calibri" w:hAnsi="Calibri" w:cs="Calibri"/>
          <w:color w:val="000000"/>
        </w:rPr>
        <w:t xml:space="preserve"> explicitly stated somewhere.</w:t>
      </w:r>
    </w:p>
    <w:p w14:paraId="7C93FE68" w14:textId="5A463B73" w:rsidR="009F62D0" w:rsidRPr="00C75A20" w:rsidRDefault="009F62D0"/>
    <w:p w14:paraId="2E0B5A3E" w14:textId="77777777" w:rsidR="001676BB" w:rsidRPr="00C75A20" w:rsidRDefault="001676BB" w:rsidP="001676BB">
      <w:pPr>
        <w:pStyle w:val="NormalWeb"/>
        <w:spacing w:before="0" w:beforeAutospacing="0" w:after="0" w:afterAutospacing="0"/>
        <w:rPr>
          <w:rFonts w:ascii="Calibri" w:hAnsi="Calibri" w:cs="Calibri"/>
          <w:color w:val="000000"/>
        </w:rPr>
      </w:pPr>
    </w:p>
    <w:tbl>
      <w:tblPr>
        <w:tblStyle w:val="TableGrid"/>
        <w:tblW w:w="0" w:type="auto"/>
        <w:tblLook w:val="04A0" w:firstRow="1" w:lastRow="0" w:firstColumn="1" w:lastColumn="0" w:noHBand="0" w:noVBand="1"/>
      </w:tblPr>
      <w:tblGrid>
        <w:gridCol w:w="9010"/>
      </w:tblGrid>
      <w:tr w:rsidR="001676BB" w:rsidRPr="00644F6B" w14:paraId="6A50AC89" w14:textId="77777777" w:rsidTr="009F62D0">
        <w:tc>
          <w:tcPr>
            <w:tcW w:w="9010" w:type="dxa"/>
            <w:tcBorders>
              <w:top w:val="single" w:sz="4" w:space="0" w:color="4472C4"/>
              <w:left w:val="single" w:sz="4" w:space="0" w:color="4472C4"/>
              <w:bottom w:val="single" w:sz="4" w:space="0" w:color="4472C4"/>
              <w:right w:val="single" w:sz="4" w:space="0" w:color="4472C4"/>
            </w:tcBorders>
          </w:tcPr>
          <w:p w14:paraId="0491BDF1" w14:textId="77777777"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Comment:</w:t>
            </w:r>
          </w:p>
          <w:p w14:paraId="583B136E" w14:textId="260BDAB5" w:rsidR="001676BB" w:rsidRPr="00644F6B" w:rsidRDefault="001676BB"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 xml:space="preserve">   </w:t>
            </w:r>
          </w:p>
          <w:p w14:paraId="2FD21664" w14:textId="2593ABC6" w:rsidR="00BF0067" w:rsidRPr="00644F6B" w:rsidRDefault="00BF0067" w:rsidP="009F62D0">
            <w:pPr>
              <w:pStyle w:val="NormalWeb"/>
              <w:spacing w:before="0" w:beforeAutospacing="0" w:after="0" w:afterAutospacing="0"/>
              <w:rPr>
                <w:rFonts w:ascii="Calibri" w:hAnsi="Calibri" w:cs="Calibri"/>
                <w:color w:val="4472C4" w:themeColor="accent1"/>
                <w:lang w:val="en-US"/>
              </w:rPr>
            </w:pPr>
            <w:r w:rsidRPr="00644F6B">
              <w:rPr>
                <w:rFonts w:ascii="Calibri" w:hAnsi="Calibri" w:cs="Calibri"/>
                <w:color w:val="4472C4" w:themeColor="accent1"/>
                <w:lang w:val="en-US"/>
              </w:rPr>
              <w:t>The model does indeed cover all sectors consuming gas. This was not made clear in the manuscript. To clarify what sectors of the gas market that are covered by the model the following description have been added to the “Energy system model” section:</w:t>
            </w:r>
          </w:p>
          <w:p w14:paraId="63836BFB" w14:textId="77777777" w:rsidR="00DC52EE" w:rsidRPr="00644F6B" w:rsidRDefault="00DC52EE" w:rsidP="009F62D0">
            <w:pPr>
              <w:pStyle w:val="NormalWeb"/>
              <w:spacing w:before="0" w:beforeAutospacing="0" w:after="0" w:afterAutospacing="0"/>
              <w:rPr>
                <w:rFonts w:ascii="Calibri" w:hAnsi="Calibri" w:cs="Calibri"/>
                <w:color w:val="4472C4" w:themeColor="accent1"/>
                <w:lang w:val="en-US"/>
              </w:rPr>
            </w:pPr>
          </w:p>
          <w:p w14:paraId="4B924226" w14:textId="77777777" w:rsidR="00DC52EE" w:rsidRDefault="00DC52EE" w:rsidP="009F62D0">
            <w:pPr>
              <w:pStyle w:val="NormalWeb"/>
              <w:spacing w:before="0" w:beforeAutospacing="0" w:after="0" w:afterAutospacing="0"/>
              <w:rPr>
                <w:rFonts w:ascii="Calibri" w:hAnsi="Calibri" w:cs="Calibri"/>
                <w:i/>
                <w:color w:val="4472C4" w:themeColor="accent1"/>
                <w:lang w:val="en-US"/>
              </w:rPr>
            </w:pPr>
            <w:proofErr w:type="gramStart"/>
            <w:r w:rsidRPr="00644F6B">
              <w:rPr>
                <w:rFonts w:ascii="Calibri" w:hAnsi="Calibri" w:cs="Calibri"/>
                <w:i/>
                <w:color w:val="4472C4" w:themeColor="accent1"/>
                <w:lang w:val="en-US"/>
              </w:rPr>
              <w:t>”</w:t>
            </w:r>
            <w:r w:rsidRPr="00644F6B">
              <w:rPr>
                <w:rFonts w:ascii="Calibri" w:hAnsi="Calibri" w:cs="Calibri"/>
                <w:i/>
                <w:iCs/>
                <w:color w:val="4472C4" w:themeColor="accent1"/>
                <w:lang w:val="en-US"/>
              </w:rPr>
              <w:t>The</w:t>
            </w:r>
            <w:proofErr w:type="gramEnd"/>
            <w:r w:rsidRPr="00644F6B">
              <w:rPr>
                <w:rFonts w:ascii="Calibri" w:hAnsi="Calibri" w:cs="Calibri"/>
                <w:i/>
                <w:iCs/>
                <w:color w:val="4472C4" w:themeColor="accent1"/>
                <w:lang w:val="en-US"/>
              </w:rPr>
              <w:t xml:space="preserve"> model includes a representation of all the sectors consuming gas in Europe. This comprises gas for electricity production (using CCGT, OCGT and CHP units), gas for heating in CHP plants and individual gas boilers, as well as gas consumed in the industry for energy provision or as feedstock (including the production of H2 via SMR with or without CC). Gas can have a fossil origin, be synthetically produced via the Sabatier reaction, or upgraded from biogas.</w:t>
            </w:r>
            <w:r w:rsidRPr="00644F6B">
              <w:rPr>
                <w:rFonts w:ascii="Calibri" w:hAnsi="Calibri" w:cs="Calibri"/>
                <w:i/>
                <w:color w:val="4472C4" w:themeColor="accent1"/>
                <w:lang w:val="en-US"/>
              </w:rPr>
              <w:t>”</w:t>
            </w:r>
          </w:p>
          <w:p w14:paraId="4324994F" w14:textId="77777777" w:rsidR="00462353" w:rsidRDefault="00462353" w:rsidP="009F62D0">
            <w:pPr>
              <w:pStyle w:val="NormalWeb"/>
              <w:spacing w:before="0" w:beforeAutospacing="0" w:after="0" w:afterAutospacing="0"/>
              <w:rPr>
                <w:rFonts w:ascii="Calibri" w:hAnsi="Calibri" w:cs="Calibri"/>
                <w:i/>
                <w:color w:val="4472C4" w:themeColor="accent1"/>
                <w:lang w:val="en-US"/>
              </w:rPr>
            </w:pPr>
          </w:p>
          <w:p w14:paraId="6630699D" w14:textId="7C8AA621" w:rsidR="00462353" w:rsidRPr="00644F6B" w:rsidRDefault="00462353" w:rsidP="009F62D0">
            <w:pPr>
              <w:pStyle w:val="NormalWeb"/>
              <w:spacing w:before="0" w:beforeAutospacing="0" w:after="0" w:afterAutospacing="0"/>
              <w:rPr>
                <w:rFonts w:ascii="Calibri" w:hAnsi="Calibri" w:cs="Calibri"/>
                <w:iCs/>
                <w:color w:val="4472C4" w:themeColor="accent1"/>
                <w:lang w:val="en-US"/>
              </w:rPr>
            </w:pPr>
            <w:r>
              <w:rPr>
                <w:rFonts w:ascii="Calibri" w:hAnsi="Calibri" w:cs="Calibri"/>
                <w:iCs/>
                <w:color w:val="4472C4" w:themeColor="accent1"/>
                <w:lang w:val="en-US"/>
              </w:rPr>
              <w:lastRenderedPageBreak/>
              <w:t>In Figure 5, we now make a distinction between gas and biomass CHP t</w:t>
            </w:r>
            <w:r w:rsidR="00877252">
              <w:rPr>
                <w:rFonts w:ascii="Calibri" w:hAnsi="Calibri" w:cs="Calibri"/>
                <w:iCs/>
                <w:color w:val="4472C4" w:themeColor="accent1"/>
                <w:lang w:val="en-US"/>
              </w:rPr>
              <w:t>o more clearly show where the gas is going.</w:t>
            </w:r>
          </w:p>
        </w:tc>
      </w:tr>
    </w:tbl>
    <w:p w14:paraId="53639300" w14:textId="77777777" w:rsidR="001676BB" w:rsidRPr="00644F6B" w:rsidRDefault="001676BB">
      <w:pPr>
        <w:rPr>
          <w:lang w:val="en-US"/>
        </w:rPr>
      </w:pPr>
    </w:p>
    <w:sectPr w:rsidR="001676BB" w:rsidRPr="00644F6B" w:rsidSect="00882E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LMMono10">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F1740"/>
    <w:multiLevelType w:val="multilevel"/>
    <w:tmpl w:val="367472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9DE01C8"/>
    <w:multiLevelType w:val="hybridMultilevel"/>
    <w:tmpl w:val="F8E638A2"/>
    <w:lvl w:ilvl="0" w:tplc="96386C3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719776">
    <w:abstractNumId w:val="1"/>
  </w:num>
  <w:num w:numId="2" w16cid:durableId="87072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3E"/>
    <w:rsid w:val="00000403"/>
    <w:rsid w:val="00002081"/>
    <w:rsid w:val="00025A0B"/>
    <w:rsid w:val="000335F5"/>
    <w:rsid w:val="0004273D"/>
    <w:rsid w:val="00043EBE"/>
    <w:rsid w:val="00081371"/>
    <w:rsid w:val="00091F36"/>
    <w:rsid w:val="000A3ABC"/>
    <w:rsid w:val="000B3B72"/>
    <w:rsid w:val="000D18C6"/>
    <w:rsid w:val="000D3159"/>
    <w:rsid w:val="000F59B6"/>
    <w:rsid w:val="00106C5B"/>
    <w:rsid w:val="00120498"/>
    <w:rsid w:val="00151731"/>
    <w:rsid w:val="00164F69"/>
    <w:rsid w:val="001676BB"/>
    <w:rsid w:val="00187232"/>
    <w:rsid w:val="00193A2F"/>
    <w:rsid w:val="001A110C"/>
    <w:rsid w:val="001A411B"/>
    <w:rsid w:val="001C0F74"/>
    <w:rsid w:val="001E13FF"/>
    <w:rsid w:val="001F554E"/>
    <w:rsid w:val="0020397F"/>
    <w:rsid w:val="002249A5"/>
    <w:rsid w:val="00253288"/>
    <w:rsid w:val="00254EE2"/>
    <w:rsid w:val="00257793"/>
    <w:rsid w:val="002615C0"/>
    <w:rsid w:val="00280D3C"/>
    <w:rsid w:val="002976B3"/>
    <w:rsid w:val="002B656D"/>
    <w:rsid w:val="002B6C8C"/>
    <w:rsid w:val="002C3F3E"/>
    <w:rsid w:val="002D52E8"/>
    <w:rsid w:val="002E0A4D"/>
    <w:rsid w:val="002E19FE"/>
    <w:rsid w:val="003126AA"/>
    <w:rsid w:val="00321AAA"/>
    <w:rsid w:val="003736AD"/>
    <w:rsid w:val="00373856"/>
    <w:rsid w:val="0038029C"/>
    <w:rsid w:val="00380DF1"/>
    <w:rsid w:val="003B149E"/>
    <w:rsid w:val="003C33F9"/>
    <w:rsid w:val="003E0419"/>
    <w:rsid w:val="003F11C3"/>
    <w:rsid w:val="0043383F"/>
    <w:rsid w:val="00451863"/>
    <w:rsid w:val="00462353"/>
    <w:rsid w:val="004A1E22"/>
    <w:rsid w:val="004A3F60"/>
    <w:rsid w:val="004C1F0C"/>
    <w:rsid w:val="004D77E0"/>
    <w:rsid w:val="004F1EAB"/>
    <w:rsid w:val="00512188"/>
    <w:rsid w:val="00517CD8"/>
    <w:rsid w:val="00562E57"/>
    <w:rsid w:val="0056479F"/>
    <w:rsid w:val="005678B9"/>
    <w:rsid w:val="00573A47"/>
    <w:rsid w:val="00580699"/>
    <w:rsid w:val="00587E70"/>
    <w:rsid w:val="00592311"/>
    <w:rsid w:val="005C6A76"/>
    <w:rsid w:val="005D20E6"/>
    <w:rsid w:val="005F4788"/>
    <w:rsid w:val="006051EC"/>
    <w:rsid w:val="00606F2A"/>
    <w:rsid w:val="00612A69"/>
    <w:rsid w:val="006131EC"/>
    <w:rsid w:val="00616303"/>
    <w:rsid w:val="006278A8"/>
    <w:rsid w:val="00630B37"/>
    <w:rsid w:val="00641337"/>
    <w:rsid w:val="00644F6B"/>
    <w:rsid w:val="006457C0"/>
    <w:rsid w:val="006B3876"/>
    <w:rsid w:val="006C3BE0"/>
    <w:rsid w:val="006C7D7C"/>
    <w:rsid w:val="006D1AD4"/>
    <w:rsid w:val="006E7475"/>
    <w:rsid w:val="0071624D"/>
    <w:rsid w:val="0071778A"/>
    <w:rsid w:val="007279DB"/>
    <w:rsid w:val="007301C3"/>
    <w:rsid w:val="0074507F"/>
    <w:rsid w:val="00745796"/>
    <w:rsid w:val="007511A3"/>
    <w:rsid w:val="007649D0"/>
    <w:rsid w:val="0077741A"/>
    <w:rsid w:val="007E6617"/>
    <w:rsid w:val="007F557A"/>
    <w:rsid w:val="0080693B"/>
    <w:rsid w:val="0084515F"/>
    <w:rsid w:val="00852CFE"/>
    <w:rsid w:val="00876041"/>
    <w:rsid w:val="00877252"/>
    <w:rsid w:val="00877AEE"/>
    <w:rsid w:val="00882EEF"/>
    <w:rsid w:val="008A1749"/>
    <w:rsid w:val="008A5BF0"/>
    <w:rsid w:val="008B4D7A"/>
    <w:rsid w:val="008D0979"/>
    <w:rsid w:val="00972E2A"/>
    <w:rsid w:val="009761A8"/>
    <w:rsid w:val="00984D71"/>
    <w:rsid w:val="00993565"/>
    <w:rsid w:val="009A5CA5"/>
    <w:rsid w:val="009B1D8E"/>
    <w:rsid w:val="009B20BE"/>
    <w:rsid w:val="009C6CE7"/>
    <w:rsid w:val="009F62D0"/>
    <w:rsid w:val="00A02CCF"/>
    <w:rsid w:val="00A36106"/>
    <w:rsid w:val="00A42EA5"/>
    <w:rsid w:val="00A52847"/>
    <w:rsid w:val="00A52970"/>
    <w:rsid w:val="00A6010C"/>
    <w:rsid w:val="00A6382C"/>
    <w:rsid w:val="00A84E20"/>
    <w:rsid w:val="00B36941"/>
    <w:rsid w:val="00B619C0"/>
    <w:rsid w:val="00BA095B"/>
    <w:rsid w:val="00BA485F"/>
    <w:rsid w:val="00BA69F3"/>
    <w:rsid w:val="00BB1A0C"/>
    <w:rsid w:val="00BB6F0B"/>
    <w:rsid w:val="00BC4E79"/>
    <w:rsid w:val="00BE6852"/>
    <w:rsid w:val="00BF0067"/>
    <w:rsid w:val="00C33AFD"/>
    <w:rsid w:val="00C33D7F"/>
    <w:rsid w:val="00C4747E"/>
    <w:rsid w:val="00C75A20"/>
    <w:rsid w:val="00C91BCD"/>
    <w:rsid w:val="00C91E29"/>
    <w:rsid w:val="00C93185"/>
    <w:rsid w:val="00C93B94"/>
    <w:rsid w:val="00CA251B"/>
    <w:rsid w:val="00CB59A6"/>
    <w:rsid w:val="00CB7018"/>
    <w:rsid w:val="00CC318B"/>
    <w:rsid w:val="00CC55F1"/>
    <w:rsid w:val="00D24E5E"/>
    <w:rsid w:val="00D417B2"/>
    <w:rsid w:val="00D43466"/>
    <w:rsid w:val="00D71A85"/>
    <w:rsid w:val="00D71A86"/>
    <w:rsid w:val="00D818D9"/>
    <w:rsid w:val="00DC378C"/>
    <w:rsid w:val="00DC52EE"/>
    <w:rsid w:val="00DC610A"/>
    <w:rsid w:val="00DE75DE"/>
    <w:rsid w:val="00E133AF"/>
    <w:rsid w:val="00E16094"/>
    <w:rsid w:val="00E22E5C"/>
    <w:rsid w:val="00E34714"/>
    <w:rsid w:val="00E407AC"/>
    <w:rsid w:val="00E6263E"/>
    <w:rsid w:val="00E751AC"/>
    <w:rsid w:val="00E7638D"/>
    <w:rsid w:val="00E87F87"/>
    <w:rsid w:val="00EC10AF"/>
    <w:rsid w:val="00EE303E"/>
    <w:rsid w:val="00EF493D"/>
    <w:rsid w:val="00F50CBB"/>
    <w:rsid w:val="00F7236A"/>
    <w:rsid w:val="00F95C39"/>
    <w:rsid w:val="00FB592F"/>
    <w:rsid w:val="00FB7867"/>
    <w:rsid w:val="00FE4B0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11AC"/>
  <w15:chartTrackingRefBased/>
  <w15:docId w15:val="{1662786A-44E5-4107-9938-F5D783A1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B9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303E"/>
    <w:pPr>
      <w:spacing w:before="100" w:beforeAutospacing="1" w:after="100" w:afterAutospacing="1"/>
    </w:pPr>
  </w:style>
  <w:style w:type="character" w:styleId="Emphasis">
    <w:name w:val="Emphasis"/>
    <w:basedOn w:val="DefaultParagraphFont"/>
    <w:uiPriority w:val="20"/>
    <w:qFormat/>
    <w:rsid w:val="00EE303E"/>
    <w:rPr>
      <w:i/>
      <w:iCs/>
    </w:rPr>
  </w:style>
  <w:style w:type="character" w:customStyle="1" w:styleId="apple-converted-space">
    <w:name w:val="apple-converted-space"/>
    <w:basedOn w:val="DefaultParagraphFont"/>
    <w:rsid w:val="00EE303E"/>
  </w:style>
  <w:style w:type="character" w:styleId="Strong">
    <w:name w:val="Strong"/>
    <w:basedOn w:val="DefaultParagraphFont"/>
    <w:uiPriority w:val="22"/>
    <w:qFormat/>
    <w:rsid w:val="00EE303E"/>
    <w:rPr>
      <w:b/>
      <w:bCs/>
    </w:rPr>
  </w:style>
  <w:style w:type="character" w:styleId="Hyperlink">
    <w:name w:val="Hyperlink"/>
    <w:basedOn w:val="DefaultParagraphFont"/>
    <w:uiPriority w:val="99"/>
    <w:unhideWhenUsed/>
    <w:rsid w:val="00EE303E"/>
    <w:rPr>
      <w:color w:val="0000FF"/>
      <w:u w:val="single"/>
    </w:rPr>
  </w:style>
  <w:style w:type="table" w:styleId="TableGrid">
    <w:name w:val="Table Grid"/>
    <w:basedOn w:val="TableNormal"/>
    <w:uiPriority w:val="39"/>
    <w:rsid w:val="00627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0699"/>
    <w:rPr>
      <w:color w:val="605E5C"/>
      <w:shd w:val="clear" w:color="auto" w:fill="E1DFDD"/>
    </w:rPr>
  </w:style>
  <w:style w:type="paragraph" w:styleId="Revision">
    <w:name w:val="Revision"/>
    <w:hidden/>
    <w:uiPriority w:val="99"/>
    <w:semiHidden/>
    <w:rsid w:val="001F554E"/>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1F554E"/>
    <w:rPr>
      <w:sz w:val="16"/>
      <w:szCs w:val="16"/>
    </w:rPr>
  </w:style>
  <w:style w:type="paragraph" w:styleId="CommentText">
    <w:name w:val="annotation text"/>
    <w:basedOn w:val="Normal"/>
    <w:link w:val="CommentTextChar"/>
    <w:uiPriority w:val="99"/>
    <w:semiHidden/>
    <w:unhideWhenUsed/>
    <w:rsid w:val="001F554E"/>
    <w:rPr>
      <w:sz w:val="20"/>
      <w:szCs w:val="20"/>
    </w:rPr>
  </w:style>
  <w:style w:type="character" w:customStyle="1" w:styleId="CommentTextChar">
    <w:name w:val="Comment Text Char"/>
    <w:basedOn w:val="DefaultParagraphFont"/>
    <w:link w:val="CommentText"/>
    <w:uiPriority w:val="99"/>
    <w:semiHidden/>
    <w:rsid w:val="001F554E"/>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1F554E"/>
    <w:rPr>
      <w:b/>
      <w:bCs/>
    </w:rPr>
  </w:style>
  <w:style w:type="character" w:customStyle="1" w:styleId="CommentSubjectChar">
    <w:name w:val="Comment Subject Char"/>
    <w:basedOn w:val="CommentTextChar"/>
    <w:link w:val="CommentSubject"/>
    <w:uiPriority w:val="99"/>
    <w:semiHidden/>
    <w:rsid w:val="001F554E"/>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499">
      <w:bodyDiv w:val="1"/>
      <w:marLeft w:val="0"/>
      <w:marRight w:val="0"/>
      <w:marTop w:val="0"/>
      <w:marBottom w:val="0"/>
      <w:divBdr>
        <w:top w:val="none" w:sz="0" w:space="0" w:color="auto"/>
        <w:left w:val="none" w:sz="0" w:space="0" w:color="auto"/>
        <w:bottom w:val="none" w:sz="0" w:space="0" w:color="auto"/>
        <w:right w:val="none" w:sz="0" w:space="0" w:color="auto"/>
      </w:divBdr>
    </w:div>
    <w:div w:id="293678439">
      <w:bodyDiv w:val="1"/>
      <w:marLeft w:val="0"/>
      <w:marRight w:val="0"/>
      <w:marTop w:val="0"/>
      <w:marBottom w:val="0"/>
      <w:divBdr>
        <w:top w:val="none" w:sz="0" w:space="0" w:color="auto"/>
        <w:left w:val="none" w:sz="0" w:space="0" w:color="auto"/>
        <w:bottom w:val="none" w:sz="0" w:space="0" w:color="auto"/>
        <w:right w:val="none" w:sz="0" w:space="0" w:color="auto"/>
      </w:divBdr>
    </w:div>
    <w:div w:id="311368760">
      <w:bodyDiv w:val="1"/>
      <w:marLeft w:val="0"/>
      <w:marRight w:val="0"/>
      <w:marTop w:val="0"/>
      <w:marBottom w:val="0"/>
      <w:divBdr>
        <w:top w:val="none" w:sz="0" w:space="0" w:color="auto"/>
        <w:left w:val="none" w:sz="0" w:space="0" w:color="auto"/>
        <w:bottom w:val="none" w:sz="0" w:space="0" w:color="auto"/>
        <w:right w:val="none" w:sz="0" w:space="0" w:color="auto"/>
      </w:divBdr>
    </w:div>
    <w:div w:id="335957137">
      <w:bodyDiv w:val="1"/>
      <w:marLeft w:val="0"/>
      <w:marRight w:val="0"/>
      <w:marTop w:val="0"/>
      <w:marBottom w:val="0"/>
      <w:divBdr>
        <w:top w:val="none" w:sz="0" w:space="0" w:color="auto"/>
        <w:left w:val="none" w:sz="0" w:space="0" w:color="auto"/>
        <w:bottom w:val="none" w:sz="0" w:space="0" w:color="auto"/>
        <w:right w:val="none" w:sz="0" w:space="0" w:color="auto"/>
      </w:divBdr>
    </w:div>
    <w:div w:id="388112241">
      <w:bodyDiv w:val="1"/>
      <w:marLeft w:val="0"/>
      <w:marRight w:val="0"/>
      <w:marTop w:val="0"/>
      <w:marBottom w:val="0"/>
      <w:divBdr>
        <w:top w:val="none" w:sz="0" w:space="0" w:color="auto"/>
        <w:left w:val="none" w:sz="0" w:space="0" w:color="auto"/>
        <w:bottom w:val="none" w:sz="0" w:space="0" w:color="auto"/>
        <w:right w:val="none" w:sz="0" w:space="0" w:color="auto"/>
      </w:divBdr>
    </w:div>
    <w:div w:id="491219564">
      <w:bodyDiv w:val="1"/>
      <w:marLeft w:val="0"/>
      <w:marRight w:val="0"/>
      <w:marTop w:val="0"/>
      <w:marBottom w:val="0"/>
      <w:divBdr>
        <w:top w:val="none" w:sz="0" w:space="0" w:color="auto"/>
        <w:left w:val="none" w:sz="0" w:space="0" w:color="auto"/>
        <w:bottom w:val="none" w:sz="0" w:space="0" w:color="auto"/>
        <w:right w:val="none" w:sz="0" w:space="0" w:color="auto"/>
      </w:divBdr>
    </w:div>
    <w:div w:id="521895753">
      <w:bodyDiv w:val="1"/>
      <w:marLeft w:val="0"/>
      <w:marRight w:val="0"/>
      <w:marTop w:val="0"/>
      <w:marBottom w:val="0"/>
      <w:divBdr>
        <w:top w:val="none" w:sz="0" w:space="0" w:color="auto"/>
        <w:left w:val="none" w:sz="0" w:space="0" w:color="auto"/>
        <w:bottom w:val="none" w:sz="0" w:space="0" w:color="auto"/>
        <w:right w:val="none" w:sz="0" w:space="0" w:color="auto"/>
      </w:divBdr>
    </w:div>
    <w:div w:id="541014461">
      <w:bodyDiv w:val="1"/>
      <w:marLeft w:val="0"/>
      <w:marRight w:val="0"/>
      <w:marTop w:val="0"/>
      <w:marBottom w:val="0"/>
      <w:divBdr>
        <w:top w:val="none" w:sz="0" w:space="0" w:color="auto"/>
        <w:left w:val="none" w:sz="0" w:space="0" w:color="auto"/>
        <w:bottom w:val="none" w:sz="0" w:space="0" w:color="auto"/>
        <w:right w:val="none" w:sz="0" w:space="0" w:color="auto"/>
      </w:divBdr>
    </w:div>
    <w:div w:id="787893676">
      <w:bodyDiv w:val="1"/>
      <w:marLeft w:val="0"/>
      <w:marRight w:val="0"/>
      <w:marTop w:val="0"/>
      <w:marBottom w:val="0"/>
      <w:divBdr>
        <w:top w:val="none" w:sz="0" w:space="0" w:color="auto"/>
        <w:left w:val="none" w:sz="0" w:space="0" w:color="auto"/>
        <w:bottom w:val="none" w:sz="0" w:space="0" w:color="auto"/>
        <w:right w:val="none" w:sz="0" w:space="0" w:color="auto"/>
      </w:divBdr>
    </w:div>
    <w:div w:id="804356014">
      <w:bodyDiv w:val="1"/>
      <w:marLeft w:val="0"/>
      <w:marRight w:val="0"/>
      <w:marTop w:val="0"/>
      <w:marBottom w:val="0"/>
      <w:divBdr>
        <w:top w:val="none" w:sz="0" w:space="0" w:color="auto"/>
        <w:left w:val="none" w:sz="0" w:space="0" w:color="auto"/>
        <w:bottom w:val="none" w:sz="0" w:space="0" w:color="auto"/>
        <w:right w:val="none" w:sz="0" w:space="0" w:color="auto"/>
      </w:divBdr>
    </w:div>
    <w:div w:id="824395221">
      <w:bodyDiv w:val="1"/>
      <w:marLeft w:val="0"/>
      <w:marRight w:val="0"/>
      <w:marTop w:val="0"/>
      <w:marBottom w:val="0"/>
      <w:divBdr>
        <w:top w:val="none" w:sz="0" w:space="0" w:color="auto"/>
        <w:left w:val="none" w:sz="0" w:space="0" w:color="auto"/>
        <w:bottom w:val="none" w:sz="0" w:space="0" w:color="auto"/>
        <w:right w:val="none" w:sz="0" w:space="0" w:color="auto"/>
      </w:divBdr>
    </w:div>
    <w:div w:id="904797921">
      <w:bodyDiv w:val="1"/>
      <w:marLeft w:val="0"/>
      <w:marRight w:val="0"/>
      <w:marTop w:val="0"/>
      <w:marBottom w:val="0"/>
      <w:divBdr>
        <w:top w:val="none" w:sz="0" w:space="0" w:color="auto"/>
        <w:left w:val="none" w:sz="0" w:space="0" w:color="auto"/>
        <w:bottom w:val="none" w:sz="0" w:space="0" w:color="auto"/>
        <w:right w:val="none" w:sz="0" w:space="0" w:color="auto"/>
      </w:divBdr>
    </w:div>
    <w:div w:id="928931546">
      <w:bodyDiv w:val="1"/>
      <w:marLeft w:val="0"/>
      <w:marRight w:val="0"/>
      <w:marTop w:val="0"/>
      <w:marBottom w:val="0"/>
      <w:divBdr>
        <w:top w:val="none" w:sz="0" w:space="0" w:color="auto"/>
        <w:left w:val="none" w:sz="0" w:space="0" w:color="auto"/>
        <w:bottom w:val="none" w:sz="0" w:space="0" w:color="auto"/>
        <w:right w:val="none" w:sz="0" w:space="0" w:color="auto"/>
      </w:divBdr>
    </w:div>
    <w:div w:id="1053193439">
      <w:bodyDiv w:val="1"/>
      <w:marLeft w:val="0"/>
      <w:marRight w:val="0"/>
      <w:marTop w:val="0"/>
      <w:marBottom w:val="0"/>
      <w:divBdr>
        <w:top w:val="none" w:sz="0" w:space="0" w:color="auto"/>
        <w:left w:val="none" w:sz="0" w:space="0" w:color="auto"/>
        <w:bottom w:val="none" w:sz="0" w:space="0" w:color="auto"/>
        <w:right w:val="none" w:sz="0" w:space="0" w:color="auto"/>
      </w:divBdr>
    </w:div>
    <w:div w:id="1072386261">
      <w:bodyDiv w:val="1"/>
      <w:marLeft w:val="0"/>
      <w:marRight w:val="0"/>
      <w:marTop w:val="0"/>
      <w:marBottom w:val="0"/>
      <w:divBdr>
        <w:top w:val="none" w:sz="0" w:space="0" w:color="auto"/>
        <w:left w:val="none" w:sz="0" w:space="0" w:color="auto"/>
        <w:bottom w:val="none" w:sz="0" w:space="0" w:color="auto"/>
        <w:right w:val="none" w:sz="0" w:space="0" w:color="auto"/>
      </w:divBdr>
    </w:div>
    <w:div w:id="1170867848">
      <w:bodyDiv w:val="1"/>
      <w:marLeft w:val="0"/>
      <w:marRight w:val="0"/>
      <w:marTop w:val="0"/>
      <w:marBottom w:val="0"/>
      <w:divBdr>
        <w:top w:val="none" w:sz="0" w:space="0" w:color="auto"/>
        <w:left w:val="none" w:sz="0" w:space="0" w:color="auto"/>
        <w:bottom w:val="none" w:sz="0" w:space="0" w:color="auto"/>
        <w:right w:val="none" w:sz="0" w:space="0" w:color="auto"/>
      </w:divBdr>
    </w:div>
    <w:div w:id="1305887784">
      <w:bodyDiv w:val="1"/>
      <w:marLeft w:val="0"/>
      <w:marRight w:val="0"/>
      <w:marTop w:val="0"/>
      <w:marBottom w:val="0"/>
      <w:divBdr>
        <w:top w:val="none" w:sz="0" w:space="0" w:color="auto"/>
        <w:left w:val="none" w:sz="0" w:space="0" w:color="auto"/>
        <w:bottom w:val="none" w:sz="0" w:space="0" w:color="auto"/>
        <w:right w:val="none" w:sz="0" w:space="0" w:color="auto"/>
      </w:divBdr>
    </w:div>
    <w:div w:id="1345857789">
      <w:bodyDiv w:val="1"/>
      <w:marLeft w:val="0"/>
      <w:marRight w:val="0"/>
      <w:marTop w:val="0"/>
      <w:marBottom w:val="0"/>
      <w:divBdr>
        <w:top w:val="none" w:sz="0" w:space="0" w:color="auto"/>
        <w:left w:val="none" w:sz="0" w:space="0" w:color="auto"/>
        <w:bottom w:val="none" w:sz="0" w:space="0" w:color="auto"/>
        <w:right w:val="none" w:sz="0" w:space="0" w:color="auto"/>
      </w:divBdr>
    </w:div>
    <w:div w:id="1350794361">
      <w:bodyDiv w:val="1"/>
      <w:marLeft w:val="0"/>
      <w:marRight w:val="0"/>
      <w:marTop w:val="0"/>
      <w:marBottom w:val="0"/>
      <w:divBdr>
        <w:top w:val="none" w:sz="0" w:space="0" w:color="auto"/>
        <w:left w:val="none" w:sz="0" w:space="0" w:color="auto"/>
        <w:bottom w:val="none" w:sz="0" w:space="0" w:color="auto"/>
        <w:right w:val="none" w:sz="0" w:space="0" w:color="auto"/>
      </w:divBdr>
    </w:div>
    <w:div w:id="1415778123">
      <w:bodyDiv w:val="1"/>
      <w:marLeft w:val="0"/>
      <w:marRight w:val="0"/>
      <w:marTop w:val="0"/>
      <w:marBottom w:val="0"/>
      <w:divBdr>
        <w:top w:val="none" w:sz="0" w:space="0" w:color="auto"/>
        <w:left w:val="none" w:sz="0" w:space="0" w:color="auto"/>
        <w:bottom w:val="none" w:sz="0" w:space="0" w:color="auto"/>
        <w:right w:val="none" w:sz="0" w:space="0" w:color="auto"/>
      </w:divBdr>
    </w:div>
    <w:div w:id="1578244832">
      <w:bodyDiv w:val="1"/>
      <w:marLeft w:val="0"/>
      <w:marRight w:val="0"/>
      <w:marTop w:val="0"/>
      <w:marBottom w:val="0"/>
      <w:divBdr>
        <w:top w:val="none" w:sz="0" w:space="0" w:color="auto"/>
        <w:left w:val="none" w:sz="0" w:space="0" w:color="auto"/>
        <w:bottom w:val="none" w:sz="0" w:space="0" w:color="auto"/>
        <w:right w:val="none" w:sz="0" w:space="0" w:color="auto"/>
      </w:divBdr>
    </w:div>
    <w:div w:id="1657612646">
      <w:bodyDiv w:val="1"/>
      <w:marLeft w:val="0"/>
      <w:marRight w:val="0"/>
      <w:marTop w:val="0"/>
      <w:marBottom w:val="0"/>
      <w:divBdr>
        <w:top w:val="none" w:sz="0" w:space="0" w:color="auto"/>
        <w:left w:val="none" w:sz="0" w:space="0" w:color="auto"/>
        <w:bottom w:val="none" w:sz="0" w:space="0" w:color="auto"/>
        <w:right w:val="none" w:sz="0" w:space="0" w:color="auto"/>
      </w:divBdr>
    </w:div>
    <w:div w:id="1681003041">
      <w:bodyDiv w:val="1"/>
      <w:marLeft w:val="0"/>
      <w:marRight w:val="0"/>
      <w:marTop w:val="0"/>
      <w:marBottom w:val="0"/>
      <w:divBdr>
        <w:top w:val="none" w:sz="0" w:space="0" w:color="auto"/>
        <w:left w:val="none" w:sz="0" w:space="0" w:color="auto"/>
        <w:bottom w:val="none" w:sz="0" w:space="0" w:color="auto"/>
        <w:right w:val="none" w:sz="0" w:space="0" w:color="auto"/>
      </w:divBdr>
    </w:div>
    <w:div w:id="1707103669">
      <w:bodyDiv w:val="1"/>
      <w:marLeft w:val="0"/>
      <w:marRight w:val="0"/>
      <w:marTop w:val="0"/>
      <w:marBottom w:val="0"/>
      <w:divBdr>
        <w:top w:val="none" w:sz="0" w:space="0" w:color="auto"/>
        <w:left w:val="none" w:sz="0" w:space="0" w:color="auto"/>
        <w:bottom w:val="none" w:sz="0" w:space="0" w:color="auto"/>
        <w:right w:val="none" w:sz="0" w:space="0" w:color="auto"/>
      </w:divBdr>
    </w:div>
    <w:div w:id="1788500118">
      <w:bodyDiv w:val="1"/>
      <w:marLeft w:val="0"/>
      <w:marRight w:val="0"/>
      <w:marTop w:val="0"/>
      <w:marBottom w:val="0"/>
      <w:divBdr>
        <w:top w:val="none" w:sz="0" w:space="0" w:color="auto"/>
        <w:left w:val="none" w:sz="0" w:space="0" w:color="auto"/>
        <w:bottom w:val="none" w:sz="0" w:space="0" w:color="auto"/>
        <w:right w:val="none" w:sz="0" w:space="0" w:color="auto"/>
      </w:divBdr>
    </w:div>
    <w:div w:id="1834833511">
      <w:bodyDiv w:val="1"/>
      <w:marLeft w:val="0"/>
      <w:marRight w:val="0"/>
      <w:marTop w:val="0"/>
      <w:marBottom w:val="0"/>
      <w:divBdr>
        <w:top w:val="none" w:sz="0" w:space="0" w:color="auto"/>
        <w:left w:val="none" w:sz="0" w:space="0" w:color="auto"/>
        <w:bottom w:val="none" w:sz="0" w:space="0" w:color="auto"/>
        <w:right w:val="none" w:sz="0" w:space="0" w:color="auto"/>
      </w:divBdr>
      <w:divsChild>
        <w:div w:id="1685130821">
          <w:marLeft w:val="0"/>
          <w:marRight w:val="0"/>
          <w:marTop w:val="0"/>
          <w:marBottom w:val="0"/>
          <w:divBdr>
            <w:top w:val="none" w:sz="0" w:space="0" w:color="auto"/>
            <w:left w:val="none" w:sz="0" w:space="0" w:color="auto"/>
            <w:bottom w:val="none" w:sz="0" w:space="0" w:color="auto"/>
            <w:right w:val="none" w:sz="0" w:space="0" w:color="auto"/>
          </w:divBdr>
          <w:divsChild>
            <w:div w:id="500317858">
              <w:marLeft w:val="0"/>
              <w:marRight w:val="0"/>
              <w:marTop w:val="0"/>
              <w:marBottom w:val="0"/>
              <w:divBdr>
                <w:top w:val="none" w:sz="0" w:space="0" w:color="auto"/>
                <w:left w:val="none" w:sz="0" w:space="0" w:color="auto"/>
                <w:bottom w:val="none" w:sz="0" w:space="0" w:color="auto"/>
                <w:right w:val="none" w:sz="0" w:space="0" w:color="auto"/>
              </w:divBdr>
              <w:divsChild>
                <w:div w:id="1491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659">
      <w:bodyDiv w:val="1"/>
      <w:marLeft w:val="0"/>
      <w:marRight w:val="0"/>
      <w:marTop w:val="0"/>
      <w:marBottom w:val="0"/>
      <w:divBdr>
        <w:top w:val="none" w:sz="0" w:space="0" w:color="auto"/>
        <w:left w:val="none" w:sz="0" w:space="0" w:color="auto"/>
        <w:bottom w:val="none" w:sz="0" w:space="0" w:color="auto"/>
        <w:right w:val="none" w:sz="0" w:space="0" w:color="auto"/>
      </w:divBdr>
      <w:divsChild>
        <w:div w:id="559025182">
          <w:marLeft w:val="0"/>
          <w:marRight w:val="0"/>
          <w:marTop w:val="0"/>
          <w:marBottom w:val="0"/>
          <w:divBdr>
            <w:top w:val="none" w:sz="0" w:space="0" w:color="auto"/>
            <w:left w:val="none" w:sz="0" w:space="0" w:color="auto"/>
            <w:bottom w:val="none" w:sz="0" w:space="0" w:color="auto"/>
            <w:right w:val="none" w:sz="0" w:space="0" w:color="auto"/>
          </w:divBdr>
          <w:divsChild>
            <w:div w:id="542058853">
              <w:marLeft w:val="0"/>
              <w:marRight w:val="0"/>
              <w:marTop w:val="0"/>
              <w:marBottom w:val="0"/>
              <w:divBdr>
                <w:top w:val="none" w:sz="0" w:space="0" w:color="auto"/>
                <w:left w:val="none" w:sz="0" w:space="0" w:color="auto"/>
                <w:bottom w:val="none" w:sz="0" w:space="0" w:color="auto"/>
                <w:right w:val="none" w:sz="0" w:space="0" w:color="auto"/>
              </w:divBdr>
              <w:divsChild>
                <w:div w:id="1610159326">
                  <w:marLeft w:val="0"/>
                  <w:marRight w:val="0"/>
                  <w:marTop w:val="0"/>
                  <w:marBottom w:val="0"/>
                  <w:divBdr>
                    <w:top w:val="none" w:sz="0" w:space="0" w:color="auto"/>
                    <w:left w:val="none" w:sz="0" w:space="0" w:color="auto"/>
                    <w:bottom w:val="none" w:sz="0" w:space="0" w:color="auto"/>
                    <w:right w:val="none" w:sz="0" w:space="0" w:color="auto"/>
                  </w:divBdr>
                  <w:divsChild>
                    <w:div w:id="18697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S030142150800756" TargetMode="External"/><Relationship Id="rId11" Type="http://schemas.openxmlformats.org/officeDocument/2006/relationships/hyperlink" Target="https://www" TargetMode="External"/><Relationship Id="rId5" Type="http://schemas.openxmlformats.org/officeDocument/2006/relationships/hyperlink" Target="https://doi.org/10.48550/arXiv.2107.01092" TargetMode="External"/><Relationship Id="rId15" Type="http://schemas.openxmlformats.org/officeDocument/2006/relationships/fontTable" Target="fontTable.xml"/><Relationship Id="rId10" Type="http://schemas.openxmlformats.org/officeDocument/2006/relationships/hyperlink" Target="https://www" TargetMode="External"/><Relationship Id="rId4" Type="http://schemas.openxmlformats.org/officeDocument/2006/relationships/webSettings" Target="webSettings.xml"/><Relationship Id="rId9" Type="http://schemas.openxmlformats.org/officeDocument/2006/relationships/hyperlink" Target="https://ww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18</Pages>
  <Words>5669</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Tørnes Pedersen</dc:creator>
  <cp:keywords/>
  <dc:description/>
  <cp:lastModifiedBy>Tim Tørnes Pedersen</cp:lastModifiedBy>
  <cp:revision>132</cp:revision>
  <dcterms:created xsi:type="dcterms:W3CDTF">2022-04-19T06:53:00Z</dcterms:created>
  <dcterms:modified xsi:type="dcterms:W3CDTF">2022-05-06T10:55:00Z</dcterms:modified>
</cp:coreProperties>
</file>