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硕士研究生学位论文开题报告</w:t>
      </w:r>
    </w:p>
    <w:p>
      <w:pPr>
        <w:spacing w:line="336" w:lineRule="auto"/>
        <w:ind w:firstLine="0"/>
      </w:pPr>
      <w:r/>
      <w:r>
        <w:rPr>
          <w:b/>
        </w:rPr>
        <w:t>论文题目：</w:t>
      </w:r>
      <w:r>
        <w:t xml:space="preserve"> 酰胺交联网络/氟化弱溶剂化电解液原位凝胶电解质的构筑及其在高压锂金属电池中的应用研究</w:t>
      </w:r>
    </w:p>
    <w:p>
      <w:pPr>
        <w:spacing w:line="336" w:lineRule="auto"/>
        <w:ind w:firstLine="0"/>
      </w:pPr>
      <w:r/>
      <w:r>
        <w:rPr>
          <w:b/>
        </w:rPr>
        <w:t>体系：</w:t>
      </w:r>
      <w:r>
        <w:t xml:space="preserve"> N,N'-亚甲基双丙烯酰胺（MBA）原位聚合 / 1.0 M LiPF₆ + 0.2 M LiDFOB in N,N-二甲基三氟乙酰胺（DMTFA）: 1,1,2,2-四氟乙基-2,2,3,3-四氟丙基醚（TTE）= 1 : 1（v/v）；Li‖LiNi₀.₈Co₀.₁Mn₀.₁O₂（NCM811），截止电压 4.5 V</w:t>
      </w:r>
    </w:p>
    <w:p>
      <w:r>
        <w:rPr>
          <w:i/>
          <w:sz w:val="21"/>
        </w:rPr>
        <w:t>说明：文中【】内为需要报告人补充的具体数值、图号或课题信息。机理性表述中凡标注"预期/推测"的均为设计假设。</w:t>
      </w:r>
    </w:p>
    <w:p>
      <w:pPr>
        <w:pStyle w:val="Heading1"/>
      </w:pPr>
      <w:r>
        <w:t>一、开题依据</w:t>
      </w:r>
    </w:p>
    <w:p>
      <w:pPr>
        <w:pStyle w:val="Heading2"/>
      </w:pPr>
      <w:r>
        <w:t>1. 题目来源、形式与内容</w:t>
      </w:r>
    </w:p>
    <w:p>
      <w:pPr>
        <w:spacing w:line="336" w:lineRule="auto"/>
        <w:ind w:firstLine="0"/>
      </w:pPr>
      <w:r/>
      <w:r>
        <w:rPr>
          <w:b/>
        </w:rPr>
        <w:t>题目来源：</w:t>
      </w:r>
      <w:r>
        <w:t xml:space="preserve"> 【国家自然科学基金 / 省部级项目 / 企业合作 / 导师自选课题，项目名称及编号】</w:t>
      </w:r>
    </w:p>
    <w:p>
      <w:pPr>
        <w:spacing w:line="336" w:lineRule="auto"/>
        <w:ind w:firstLine="0"/>
      </w:pPr>
      <w:r/>
      <w:r>
        <w:rPr>
          <w:b/>
        </w:rPr>
        <w:t>形式：</w:t>
      </w:r>
      <w:r>
        <w:t xml:space="preserve"> 实验研究型学位论文（材料制备—机理表征—器件验证）。</w:t>
      </w:r>
    </w:p>
    <w:p>
      <w:pPr>
        <w:spacing w:line="336" w:lineRule="auto"/>
        <w:ind w:firstLine="0"/>
      </w:pPr>
      <w:r/>
      <w:r>
        <w:rPr>
          <w:b/>
        </w:rPr>
        <w:t>内容概述：</w:t>
      </w:r>
      <w:r>
        <w:t xml:space="preserve"> 本课题面向高电压锂金属电池对高安全、高性能电解质的需求，以 N,N'-亚甲基双丙烯酰胺（MBA）为单体，在氟化弱溶剂化电解液（1.0 M LiPF₆ + 0.2 M LiDFOB / DMTFA : TTE = 1 : 1）中原位聚合制备凝胶电解质。前期研究表明，该凝胶电解质在凝胶化后保持了与液态电解液一致的 Li⁺ 溶剂化结构和相近的离子电导率，Li⁺ 迁移数高于液态电解液及同液相的 PEGDA 凝胶，并支持 Li‖NCM811 在 4.5 V 下 1C/3C 稳定循环。本课题拟在此基础上系统研究：(1) 酰胺网络与弱溶剂化液相的相互作用及凝胶化前后溶剂化结构与 Li⁺ 传输机制；(2) 酰胺基团氢键作用对阴离子的调控及其对迁移数的贡献；(3) LiPF₆/LiDFOB 双盐与氟化溶剂在凝胶中构筑正负极界面的化学组成与稳定性；(4) 全电池高压高倍率性能与安全性评价。</w:t>
      </w:r>
    </w:p>
    <w:p>
      <w:pPr>
        <w:pStyle w:val="Heading2"/>
      </w:pPr>
      <w:r>
        <w:t>2. 研究意义</w:t>
      </w:r>
    </w:p>
    <w:p>
      <w:pPr>
        <w:spacing w:line="336" w:lineRule="auto"/>
        <w:ind w:firstLine="0"/>
      </w:pPr>
      <w:r/>
      <w:r>
        <w:rPr>
          <w:b/>
        </w:rPr>
        <w:t>（1）应用背景。</w:t>
      </w:r>
      <w:r>
        <w:t xml:space="preserve"> 高比能锂电池向高镍正极（≥4.4 V）和锂金属负极发展，要求电解质同时满足高氧化稳定性、与锂金属相容、不燃、不漏液。商用碳酸酯液态电解液氧化窗口不足、易燃、易漏，是制约高安全高比能电池的核心短板。</w:t>
      </w:r>
    </w:p>
    <w:p>
      <w:pPr>
        <w:spacing w:line="336" w:lineRule="auto"/>
        <w:ind w:firstLine="0"/>
      </w:pPr>
      <w:r/>
      <w:r>
        <w:rPr>
          <w:b/>
        </w:rPr>
        <w:t>（2）液态电解液的进展与局限。</w:t>
      </w:r>
      <w:r>
        <w:t xml:space="preserve"> 弱溶剂化电解液、局部高浓电解液（LHCE）、氟化溶剂与双盐成膜策略显著提升了液态电解液的高压耐受性和锂金属库仑效率，但这些成果绝大多数停留在液态，可燃性与漏液风险依旧，且液态电解液与电极的物理接触在长循环中逐渐退化。</w:t>
      </w:r>
    </w:p>
    <w:p>
      <w:pPr>
        <w:spacing w:line="336" w:lineRule="auto"/>
        <w:ind w:firstLine="0"/>
      </w:pPr>
      <w:r/>
      <w:r>
        <w:rPr>
          <w:b/>
        </w:rPr>
        <w:t>（3）凝胶电解质的两大共性瓶颈。</w:t>
      </w:r>
      <w:r>
        <w:t xml:space="preserve"> 凝胶聚合物电解质（GPE）是液态与全固态之间的折中方案，但传统均相溶胀型 GPE 普遍面临：① 聚合物极性基团（尤其聚醚醚氧）参与 Li⁺ 配位，改变液相原有溶剂化结构，电导率和迁移数下降；② 凝胶与电极界面的 SEI/CEI 均匀性与循环稳定性难以兼顾。</w:t>
      </w:r>
    </w:p>
    <w:p>
      <w:pPr>
        <w:spacing w:line="336" w:lineRule="auto"/>
        <w:ind w:firstLine="0"/>
      </w:pPr>
      <w:r/>
      <w:r>
        <w:rPr>
          <w:b/>
        </w:rPr>
        <w:t>（4）本课题的意义。</w:t>
      </w:r>
      <w:r>
        <w:t xml:space="preserve"> 本课题选择与溶剂 DMTFA 同为酰胺结构的 MBA 构建交联网络，使弱溶剂化电解液在凝胶化后仍保持其溶剂化结构与电导率，并利用酰胺基团的氢键作用调控阴离子以提高迁移数；同时借助双盐与氟化溶剂在原位聚合贴合的界面上构筑稳定的 SEI/CEI。该工作有望：(a) 为"凝胶化不牺牲液态电解液溶剂化优势"提供一种基于酰胺网络的实现路径；(b) 阐明骨架氢键作用调控阴离子、提升迁移数的机理；(c) 为 4.5 V 高镍锂金属电池提供一种原位聚合、工艺兼容的高安全电解质方案。</w:t>
      </w:r>
    </w:p>
    <w:p>
      <w:pPr>
        <w:pStyle w:val="Heading2"/>
      </w:pPr>
      <w:r>
        <w:t>3. 国内外研究现状分析</w:t>
      </w:r>
    </w:p>
    <w:p>
      <w:pPr>
        <w:spacing w:line="336" w:lineRule="auto"/>
        <w:ind w:firstLine="0"/>
      </w:pPr>
      <w:r/>
      <w:r>
        <w:rPr>
          <w:b/>
        </w:rPr>
        <w:t>3.1 凝胶聚合物电解质与原位聚合。</w:t>
      </w:r>
      <w:r>
        <w:t xml:space="preserve"> GPE 的制备分为预制多孔膜溶胀法与原位聚合法；原位聚合将低黏度前驱液注入电池后热/光引发固化，可充分浸润多孔电极、降低界面阻抗，是近年研究热点[1,2]。常用单体/骨架包括 PEGDA、PEO 衍生物、PVDF-HFP、聚碳酸酯、DOL 开环聚合物等[1,2,14]。这些体系大多以聚醚或聚酯为骨架，其极性基团对 Li⁺ 配位能力强，凝胶化后电导率普遍下降约 1 个数量级，且液相原有的溶剂化结构被改写。</w:t>
      </w:r>
    </w:p>
    <w:p>
      <w:pPr>
        <w:spacing w:line="336" w:lineRule="auto"/>
        <w:ind w:firstLine="0"/>
      </w:pPr>
      <w:r/>
      <w:r>
        <w:rPr>
          <w:b/>
        </w:rPr>
        <w:t>3.2 弱溶剂化、局部高浓与氟化电解液。</w:t>
      </w:r>
      <w:r>
        <w:t xml:space="preserve"> 以 TTE、BTFE 等弱配位氟醚稀释高浓电解液形成的 LHCE，在降低黏度的同时保留阴离子富集的溶剂化结构，显著提升锂金属库仑效率和高压稳定性[3,4,15]；"弱溶剂化电解液"通过削弱溶剂–Li⁺ 作用使阴离子进入溶剂化鞘，形成无机物富集的界面膜[5]。DMTFA 作为 α-氟化酰胺溶剂，兼具高极性与弱 Li⁺ 配位（–CF₃ 拉电子），氧化窗口 &gt;5 V，早期作为添加剂被证明可在锂金属上生成 LiF 富集 SEI[6]，随后用于 NCM523 高压添加剂[7]，近期已作为主溶剂用于 NCM91 高压锂金属电池[8]。</w:t>
      </w:r>
      <w:r>
        <w:rPr>
          <w:b/>
        </w:rPr>
        <w:t>上述工作均为液态体系，DMTFA/TTE 基电解液的凝胶化尚未见报道。</w:t>
      </w:r>
      <w:r/>
    </w:p>
    <w:p>
      <w:pPr>
        <w:spacing w:line="336" w:lineRule="auto"/>
        <w:ind w:firstLine="0"/>
      </w:pPr>
      <w:r/>
      <w:r>
        <w:rPr>
          <w:b/>
        </w:rPr>
        <w:t>3.3 凝胶化过程中溶剂化结构的保留。</w:t>
      </w:r>
      <w:r>
        <w:t xml:space="preserve"> 近期研究开始关注"聚合物网络引入是否改变 LHCE 溶剂化结构"这一问题：Adv. Mater. 2026 通过在 DME 基 LHCE 中原位聚合对 Li⁺ 配位能力有限的氟化聚合物，基本保留了局部高浓溶剂化环境[16]；Energy Environ. Sci. 2025 以 –CF₃ 修饰的氟化聚合物骨架作为"伪稀释剂"调控高浓醚电解液的溶剂化结构[17]。这些工作均依赖氟化聚合物的弱配位特性；</w:t>
      </w:r>
      <w:r>
        <w:rPr>
          <w:b/>
        </w:rPr>
        <w:t>以非氟化酰胺网络实现溶剂化结构保留、并同时利用骨架氢键供体调控阴离子的研究尚未见报道。</w:t>
      </w:r>
      <w:r/>
    </w:p>
    <w:p>
      <w:pPr>
        <w:spacing w:line="336" w:lineRule="auto"/>
        <w:ind w:firstLine="0"/>
      </w:pPr>
      <w:r/>
      <w:r>
        <w:rPr>
          <w:b/>
        </w:rPr>
        <w:t>3.4 双盐与界面成膜。</w:t>
      </w:r>
      <w:r>
        <w:t xml:space="preserve"> LiDFOB 兼具氧化与还原活性，可在正极优先氧化、在负极优先还原，生成含 LiF、B–O 物种的无机富集 CEI/SEI，抑制过渡金属溶出并钝化高压正极表面[9,10]；LiDFOB 基双盐电解液在无负极软包电池中实现了致密锂沉积与长循环[11]。在弱溶剂化环境中阴离子更易进入溶剂化鞘，DFOB⁻ 的成膜作用有望被放大，但其在氟化酰胺/氟醚凝胶体系中的作用尚不清楚。</w:t>
      </w:r>
    </w:p>
    <w:p>
      <w:pPr>
        <w:spacing w:line="336" w:lineRule="auto"/>
        <w:ind w:firstLine="0"/>
      </w:pPr>
      <w:r/>
      <w:r>
        <w:rPr>
          <w:b/>
        </w:rPr>
        <w:t>3.5 小结与切入点。</w:t>
      </w:r>
      <w:r>
        <w:t xml:space="preserve"> 综上，(i) 弱溶剂化/氟化液态电解液成果丰富，但其凝胶化是空白；(ii) 均相 GPE"聚合物参与配位、溶剂化结构被改写"的瓶颈未被根本解决，现有解决思路局限于氟化聚合物；(iii) 利用骨架氢键供体调控阴离子以提升迁移数的路径尚缺系统研究；(iv) 双盐在弱溶剂化凝胶体系中的界面成膜机制不清。本课题以 MBA/DMTFA–TTE/LiPF₆–LiDFOB 体系为对象，正是针对上述空白。</w:t>
      </w:r>
    </w:p>
    <w:p>
      <w:pPr>
        <w:pStyle w:val="Heading2"/>
      </w:pPr>
      <w:r>
        <w:t>4. 主要参考文献</w:t>
      </w:r>
    </w:p>
    <w:p>
      <w:r>
        <w:rPr>
          <w:i/>
          <w:sz w:val="21"/>
        </w:rPr>
        <w:t>提交前请逐条核对作者、卷期页码；标注 DOI 的条目已检索确认。</w:t>
      </w:r>
    </w:p>
    <w:p>
      <w:pPr>
        <w:spacing w:line="336" w:lineRule="auto"/>
        <w:ind w:firstLine="0"/>
      </w:pPr>
      <w:r>
        <w:t xml:space="preserve">[1] Kim et al. A Brief Review of Gel Polymer Electrolytes Using In Situ Polymerization for Lithium-ion Polymer Batteries. </w:t>
      </w:r>
      <w:r>
        <w:rPr>
          <w:i/>
        </w:rPr>
        <w:t>Polymers</w:t>
      </w:r>
      <w:r>
        <w:t>, 2023, 15, 803.</w:t>
      </w:r>
    </w:p>
    <w:p>
      <w:pPr>
        <w:spacing w:line="336" w:lineRule="auto"/>
        <w:ind w:firstLine="0"/>
      </w:pPr>
      <w:r>
        <w:t xml:space="preserve">[2] Zhou D., Shanmukaraj D., Tkacheva A., Armand M., Wang G. Polymer Electrolytes for Lithium-Based Batteries: Advances and Prospects. </w:t>
      </w:r>
      <w:r>
        <w:rPr>
          <w:i/>
        </w:rPr>
        <w:t>Chem</w:t>
      </w:r>
      <w:r>
        <w:t>, 2019, 5, 2326–2352.</w:t>
      </w:r>
    </w:p>
    <w:p>
      <w:pPr>
        <w:spacing w:line="336" w:lineRule="auto"/>
        <w:ind w:firstLine="0"/>
      </w:pPr>
      <w:r>
        <w:t xml:space="preserve">[3] Chen S., Zheng J., Mei D., et al. High-Voltage Lithium-Metal Batteries Enabled by Localized High-Concentration Electrolytes. </w:t>
      </w:r>
      <w:r>
        <w:rPr>
          <w:i/>
        </w:rPr>
        <w:t>Adv. Mater.</w:t>
      </w:r>
      <w:r>
        <w:t>, 2018, 30, 1706102.</w:t>
      </w:r>
    </w:p>
    <w:p>
      <w:pPr>
        <w:spacing w:line="336" w:lineRule="auto"/>
        <w:ind w:firstLine="0"/>
      </w:pPr>
      <w:r>
        <w:t xml:space="preserve">[4] Ren X., Chen S., Lee H., et al. Localized High-Concentration Sulfone Electrolytes for High-Efficiency Lithium-Metal Batteries. </w:t>
      </w:r>
      <w:r>
        <w:rPr>
          <w:i/>
        </w:rPr>
        <w:t>Chem</w:t>
      </w:r>
      <w:r>
        <w:t>, 2018, 4, 1877–1892.</w:t>
      </w:r>
    </w:p>
    <w:p>
      <w:pPr>
        <w:spacing w:line="336" w:lineRule="auto"/>
        <w:ind w:firstLine="0"/>
      </w:pPr>
      <w:r>
        <w:t xml:space="preserve">[5] Yao Y.-X., Chen X., Yan C., et al. Regulating Interfacial Chemistry in Lithium-Ion Batteries by a Weakly Solvating Electrolyte. </w:t>
      </w:r>
      <w:r>
        <w:rPr>
          <w:i/>
        </w:rPr>
        <w:t>Angew. Chem. Int. Ed.</w:t>
      </w:r>
      <w:r>
        <w:t>, 2021, 60, 4090–4097.</w:t>
      </w:r>
    </w:p>
    <w:p>
      <w:pPr>
        <w:spacing w:line="336" w:lineRule="auto"/>
        <w:ind w:firstLine="0"/>
      </w:pPr>
      <w:r>
        <w:t xml:space="preserve">[6] Walker W., Giordani V., Uddin J., et al. Investigation of Fluorinated Amides for Solid–Electrolyte Interphase Stabilization in Li–O₂ Batteries Using Amide-Based Electrolytes. </w:t>
      </w:r>
      <w:r>
        <w:rPr>
          <w:i/>
        </w:rPr>
        <w:t>J. Phys. Chem. C</w:t>
      </w:r>
      <w:r>
        <w:t>, 2013, 117, 11136. DOI: 10.1021/jp402844r</w:t>
      </w:r>
    </w:p>
    <w:p>
      <w:pPr>
        <w:spacing w:line="336" w:lineRule="auto"/>
        <w:ind w:firstLine="0"/>
      </w:pPr>
      <w:r>
        <w:t xml:space="preserve">[7] Amide compounds as electrolyte additives for improving the performance of high-voltage lithium-ion batteries. </w:t>
      </w:r>
      <w:r>
        <w:rPr>
          <w:i/>
        </w:rPr>
        <w:t>Ionics</w:t>
      </w:r>
      <w:r>
        <w:t>, 2022. DOI: 10.1007/s11581-021-04118-6</w:t>
      </w:r>
    </w:p>
    <w:p>
      <w:pPr>
        <w:spacing w:line="336" w:lineRule="auto"/>
        <w:ind w:firstLine="0"/>
      </w:pPr>
      <w:r>
        <w:t xml:space="preserve">[8] Li et al. Breaking the Polarity–Coordination Coupling in Electrolyte Design for High-Voltage Lithium Batteries. </w:t>
      </w:r>
      <w:r>
        <w:rPr>
          <w:i/>
        </w:rPr>
        <w:t>Adv. Energy Mater.</w:t>
      </w:r>
      <w:r>
        <w:t>, 2026. DOI: 10.1002/aenm.71380</w:t>
      </w:r>
    </w:p>
    <w:p>
      <w:pPr>
        <w:spacing w:line="336" w:lineRule="auto"/>
        <w:ind w:firstLine="0"/>
      </w:pPr>
      <w:r>
        <w:t xml:space="preserve">[9] Zhu Y., et al. Mechanisms for electrochemical performance enhancement by the salt-type electrolyte additive, lithium difluoro(oxalato)borate, in high-voltage lithium-ion batteries. </w:t>
      </w:r>
      <w:r>
        <w:rPr>
          <w:i/>
        </w:rPr>
        <w:t>J. Power Sources</w:t>
      </w:r>
      <w:r>
        <w:t>, 2017, 358, 18–26.</w:t>
      </w:r>
    </w:p>
    <w:p>
      <w:pPr>
        <w:spacing w:line="336" w:lineRule="auto"/>
        <w:ind w:firstLine="0"/>
      </w:pPr>
      <w:r>
        <w:t xml:space="preserve">[10] Gao et al. Critical Review on Cathode–Electrolyte Interphase Toward High-Voltage Cathodes for Li-Ion Batteries. </w:t>
      </w:r>
      <w:r>
        <w:rPr>
          <w:i/>
        </w:rPr>
        <w:t>Nano-Micro Lett.</w:t>
      </w:r>
      <w:r>
        <w:t>, 2022, 14, 94. DOI: 10.1007/s40820-022-00917-2</w:t>
      </w:r>
    </w:p>
    <w:p>
      <w:pPr>
        <w:spacing w:line="336" w:lineRule="auto"/>
        <w:ind w:firstLine="0"/>
      </w:pPr>
      <w:r>
        <w:t xml:space="preserve">[11] Weber R., Genovese M., Louli A. J., et al. Long cycle life and dendrite-free lithium morphology in anode-free lithium pouch cells enabled by a dual-salt liquid electrolyte. </w:t>
      </w:r>
      <w:r>
        <w:rPr>
          <w:i/>
        </w:rPr>
        <w:t>Nat. Energy</w:t>
      </w:r>
      <w:r>
        <w:t>, 2019, 4, 683–689.</w:t>
      </w:r>
    </w:p>
    <w:p>
      <w:pPr>
        <w:spacing w:line="336" w:lineRule="auto"/>
        <w:ind w:firstLine="0"/>
      </w:pPr>
      <w:r>
        <w:t xml:space="preserve">[12] One-step fabrication of robust lithium ion battery separators by polymerization-induced phase separation. </w:t>
      </w:r>
      <w:r>
        <w:rPr>
          <w:i/>
        </w:rPr>
        <w:t>J. Mater. Chem. A</w:t>
      </w:r>
      <w:r>
        <w:t>, 2022.</w:t>
      </w:r>
    </w:p>
    <w:p>
      <w:pPr>
        <w:spacing w:line="336" w:lineRule="auto"/>
        <w:ind w:firstLine="0"/>
      </w:pPr>
      <w:r>
        <w:t xml:space="preserve">[13] Low-Temperature Structural Battery Electrolytes Produced by Polymerization-Induced Phase Separation. </w:t>
      </w:r>
      <w:r>
        <w:rPr>
          <w:i/>
        </w:rPr>
        <w:t>ACS Appl. Polym. Mater.</w:t>
      </w:r>
      <w:r>
        <w:t>, 2024. DOI: 10.1021/acsapm.4c00485</w:t>
      </w:r>
    </w:p>
    <w:p>
      <w:pPr>
        <w:spacing w:line="336" w:lineRule="auto"/>
        <w:ind w:firstLine="0"/>
      </w:pPr>
      <w:r>
        <w:t xml:space="preserve">[14] Enhanced separator properties by thermal curing of poly(ethylene glycol)diacrylate-based gel polymer electrolytes for lithium-ion batteries. </w:t>
      </w:r>
      <w:r>
        <w:rPr>
          <w:i/>
        </w:rPr>
        <w:t>Electrochim. Acta</w:t>
      </w:r>
      <w:r>
        <w:t>, 2014.</w:t>
      </w:r>
    </w:p>
    <w:p>
      <w:pPr>
        <w:spacing w:line="336" w:lineRule="auto"/>
        <w:ind w:firstLine="0"/>
      </w:pPr>
      <w:r>
        <w:t xml:space="preserve">[15] Cao X., Ren X., Zou L., et al. Monolithic solid–electrolyte interphases formed in fluorinated orthoformate-based electrolytes minimize Li depletion and pulverization. </w:t>
      </w:r>
      <w:r>
        <w:rPr>
          <w:i/>
        </w:rPr>
        <w:t>Nat. Energy</w:t>
      </w:r>
      <w:r>
        <w:t>, 2019, 4, 796–805.</w:t>
      </w:r>
    </w:p>
    <w:p>
      <w:pPr>
        <w:spacing w:line="336" w:lineRule="auto"/>
        <w:ind w:firstLine="0"/>
      </w:pPr>
      <w:r>
        <w:t xml:space="preserve">[16] Xu et al. Solvation-Preserving Gelation of Localized High-Concentration Electrolytes for Lithium Metal Batteries. </w:t>
      </w:r>
      <w:r>
        <w:rPr>
          <w:i/>
        </w:rPr>
        <w:t>Adv. Mater.</w:t>
      </w:r>
      <w:r>
        <w:t>, 2026. DOI: 10.1002/adma.74634</w:t>
      </w:r>
    </w:p>
    <w:p>
      <w:pPr>
        <w:spacing w:line="336" w:lineRule="auto"/>
        <w:ind w:firstLine="0"/>
      </w:pPr>
      <w:r>
        <w:t xml:space="preserve">[17] Toward practical lithium metal batteries via a solvation structure regulation strategy in in situ polymerized fluorinated gel polymer electrolytes. </w:t>
      </w:r>
      <w:r>
        <w:rPr>
          <w:i/>
        </w:rPr>
        <w:t>Energy Environ. Sci.</w:t>
      </w:r>
      <w:r>
        <w:t>, 2025. DOI: 10.1039/d5ee03662c</w:t>
      </w:r>
    </w:p>
    <w:p>
      <w:pPr>
        <w:spacing w:line="336" w:lineRule="auto"/>
        <w:ind w:firstLine="0"/>
      </w:pPr>
      <w:r>
        <w:t>【18–20：课题组相关论文、导师前期工作】</w:t>
      </w:r>
    </w:p>
    <w:p>
      <w:pPr>
        <w:pStyle w:val="Heading1"/>
      </w:pPr>
      <w:r>
        <w:t>二、研究方案</w:t>
      </w:r>
    </w:p>
    <w:p>
      <w:pPr>
        <w:pStyle w:val="Heading2"/>
      </w:pPr>
      <w:r>
        <w:t>1. 研究目标、研究内容和拟解决的关键问题</w:t>
      </w:r>
    </w:p>
    <w:p>
      <w:pPr>
        <w:pStyle w:val="Heading3"/>
      </w:pPr>
      <w:r>
        <w:t>1.1 研究目标</w:t>
      </w:r>
    </w:p>
    <w:p>
      <w:pPr>
        <w:spacing w:line="336" w:lineRule="auto"/>
        <w:ind w:firstLine="454"/>
      </w:pPr>
      <w:r>
        <w:t>（1）阐明 MBA 酰胺网络与 DMTFA/TTE 弱溶剂化液相的相互作用方式，证明凝胶化前后 Li⁺ 溶剂化结构与传输机制的一致性，并与聚醚（PEGDA）网络对比揭示骨架化学的作用；</w:t>
      </w:r>
    </w:p>
    <w:p>
      <w:pPr>
        <w:spacing w:line="336" w:lineRule="auto"/>
        <w:ind w:firstLine="454"/>
      </w:pPr>
      <w:r>
        <w:t>（2）揭示酰胺 N–H 氢键作用对 PF₆⁻/DFOB⁻ 阴离子的调控及其对 Li⁺ 迁移数提升的贡献；</w:t>
      </w:r>
    </w:p>
    <w:p>
      <w:pPr>
        <w:spacing w:line="336" w:lineRule="auto"/>
        <w:ind w:firstLine="454"/>
      </w:pPr>
      <w:r>
        <w:t>（3）阐明 LiPF₆/LiDFOB 双盐、氟化溶剂与酰胺网络在凝胶中形成 SEI/CEI 的组分来源与稳定机制；</w:t>
      </w:r>
    </w:p>
    <w:p>
      <w:pPr>
        <w:spacing w:line="336" w:lineRule="auto"/>
        <w:ind w:firstLine="454"/>
      </w:pPr>
      <w:r>
        <w:t>（4）在 Li‖NCM811 全电池中实现 4.5 V 下 1C/3C 稳定循环【目标：1C ≥【300】周、容量保持率 ≥【80】%；3C ≥【200】周】，并具备阻燃、不漏液特性。</w:t>
      </w:r>
    </w:p>
    <w:p>
      <w:pPr>
        <w:pStyle w:val="Heading3"/>
      </w:pPr>
      <w:r>
        <w:t>1.2 研究内容</w:t>
      </w:r>
    </w:p>
    <w:p>
      <w:pPr>
        <w:spacing w:line="336" w:lineRule="auto"/>
        <w:ind w:firstLine="0"/>
      </w:pPr>
      <w:r/>
      <w:r>
        <w:rPr>
          <w:b/>
        </w:rPr>
        <w:t>内容一：凝胶电解质的构筑及网络–液相相互作用。</w:t>
      </w:r>
      <w:r/>
    </w:p>
    <w:p>
      <w:pPr>
        <w:spacing w:line="336" w:lineRule="auto"/>
        <w:ind w:firstLine="454"/>
      </w:pPr>
      <w:r>
        <w:t>优化 MBA 含量、引发剂与聚合条件；FTIR/Raman 确认聚合转化率；测定保液率、热稳定性与阻燃性；通过 FTIR（酰胺 I/II、N–H、DMTFA C=O）、DFT 计算分析酰胺网络与溶剂、阴离子的氢键/配位作用；SEM、DSC 表征网络形貌及液相状态（前期观察到 MBA 凝胶为非均相白色结构，PEGDA 凝胶为均相透明结构，将作为结构差异纳入分析）。</w:t>
      </w:r>
    </w:p>
    <w:p>
      <w:pPr>
        <w:spacing w:line="336" w:lineRule="auto"/>
        <w:ind w:firstLine="0"/>
      </w:pPr>
      <w:r/>
      <w:r>
        <w:rPr>
          <w:b/>
        </w:rPr>
        <w:t>内容二：凝胶化前后 Li⁺ 溶剂化结构与传输机制。</w:t>
      </w:r>
      <w:r/>
    </w:p>
    <w:p>
      <w:pPr>
        <w:spacing w:line="336" w:lineRule="auto"/>
        <w:ind w:firstLine="454"/>
      </w:pPr>
      <w:r>
        <w:t>以液态电解液（C0）和同液相 PEGDA 凝胶（C1）为对照，采用 Raman（PF₆⁻ 740 cm⁻¹ 区 SSIP/CIP/AGG 分布、DMTFA C=O 配位状态）、⁷Li/¹⁹F/¹¹B NMR 对比溶剂化鞘组成；PFG-NMR 测定 Li⁺ 与阴离子自扩散系数；变温 EIS 获得体相与界面活化能；Bruce–Vincent 法测定迁移数；结合 MD 模拟分析酰胺位点是否进入 Li⁺ 第一溶剂化鞘及 N–H 与阴离子的氢键寿命，阐明"高电导率与高迁移数兼得"的机理。</w:t>
      </w:r>
    </w:p>
    <w:p>
      <w:pPr>
        <w:spacing w:line="336" w:lineRule="auto"/>
        <w:ind w:firstLine="0"/>
      </w:pPr>
      <w:r/>
      <w:r>
        <w:rPr>
          <w:b/>
        </w:rPr>
        <w:t>内容三：双界面化学组成与稳定机制。</w:t>
      </w:r>
      <w:r/>
    </w:p>
    <w:p>
      <w:pPr>
        <w:spacing w:line="336" w:lineRule="auto"/>
        <w:ind w:firstLine="454"/>
      </w:pPr>
      <w:r>
        <w:t>以 C0、C1、无 LiDFOB 凝胶（C3）为对照，用 XPS 深度剖析、TOF-SIMS 分析循环后 Li 负极与 NCM811 正极界面膜中 LiF、B–O、含 N 物种的来源；Li‖Cu 库仑效率、Li‖Li 长循环及 EIS/DRT 演化评价 SEI 稳定性；TEM、ICP-OES 分析 CEI 厚度与过渡金属溶出；LSV 与恒压浮充评价高压稳定性。</w:t>
      </w:r>
    </w:p>
    <w:p>
      <w:pPr>
        <w:spacing w:line="336" w:lineRule="auto"/>
        <w:ind w:firstLine="0"/>
      </w:pPr>
      <w:r/>
      <w:r>
        <w:rPr>
          <w:b/>
        </w:rPr>
        <w:t>内容四：全电池性能与安全性验证。</w:t>
      </w:r>
      <w:r/>
    </w:p>
    <w:p>
      <w:pPr>
        <w:spacing w:line="336" w:lineRule="auto"/>
        <w:ind w:firstLine="454"/>
      </w:pPr>
      <w:r>
        <w:t>Li‖NCM811 在 4.5 V 下的 1C/3C 长循环、倍率、高低温性能；循环后拆解回溯界面组分；自熄时间、与脱锂 NCM811 共存 DSC 等安全性评价；软包电池初步验证。</w:t>
      </w:r>
    </w:p>
    <w:p>
      <w:pPr>
        <w:pStyle w:val="Heading3"/>
      </w:pPr>
      <w:r>
        <w:t>1.3 拟解决的关键问题</w:t>
      </w:r>
    </w:p>
    <w:p>
      <w:pPr>
        <w:spacing w:line="336" w:lineRule="auto"/>
        <w:ind w:firstLine="454"/>
      </w:pPr>
      <w:r>
        <w:t>（1）酰胺网络如何在不改变弱溶剂化结构的前提下实现凝胶化？酰胺 C=O 与 N–H 分别与 Li⁺、溶剂、阴离子发生何种作用？</w:t>
      </w:r>
    </w:p>
    <w:p>
      <w:pPr>
        <w:spacing w:line="336" w:lineRule="auto"/>
        <w:ind w:firstLine="454"/>
      </w:pPr>
      <w:r>
        <w:t>（2）迁移数提高源于骨架对阴离子的氢键束缚还是其他因素？如何通过 ¹⁹F NMR、PFG 与计算予以区分？</w:t>
      </w:r>
    </w:p>
    <w:p>
      <w:pPr>
        <w:spacing w:line="336" w:lineRule="auto"/>
        <w:ind w:firstLine="454"/>
      </w:pPr>
      <w:r>
        <w:t>（3）凝胶中阴离子衍生界面膜是否得以保留，骨架是否参与成膜？如何用对照实验实现组分来源归因？</w:t>
      </w:r>
    </w:p>
    <w:p>
      <w:pPr>
        <w:pStyle w:val="Heading2"/>
      </w:pPr>
      <w:r>
        <w:t>2. 研究方法、技术路线、实验方案及可行性分析</w:t>
      </w:r>
    </w:p>
    <w:p>
      <w:pPr>
        <w:pStyle w:val="Heading3"/>
      </w:pPr>
      <w:r>
        <w:t>2.1 研究方法</w:t>
      </w:r>
    </w:p>
    <w:p>
      <w:pPr>
        <w:pStyle w:val="ListBullet"/>
      </w:pPr>
      <w:r/>
      <w:r>
        <w:rPr>
          <w:b/>
        </w:rPr>
        <w:t>材料制备</w:t>
      </w:r>
      <w:r>
        <w:t>：手套箱内配制前驱液（MBA、液态电解液、热引发剂 AIBN），注入含隔膜与电极的电池后【60–80 °C】热引发聚合。</w:t>
      </w:r>
    </w:p>
    <w:p>
      <w:pPr>
        <w:pStyle w:val="ListBullet"/>
      </w:pPr>
      <w:r/>
      <w:r>
        <w:rPr>
          <w:b/>
        </w:rPr>
        <w:t>结构与相互作用表征</w:t>
      </w:r>
      <w:r>
        <w:t>：FTIR/Raman、SEM、DSC/TGA、保液率、流变、DFT 结合能计算。</w:t>
      </w:r>
    </w:p>
    <w:p>
      <w:pPr>
        <w:pStyle w:val="ListBullet"/>
      </w:pPr>
      <w:r/>
      <w:r>
        <w:rPr>
          <w:b/>
        </w:rPr>
        <w:t>溶剂化与传输</w:t>
      </w:r>
      <w:r>
        <w:t>：Raman 去卷积、⁷Li/¹⁹F/¹¹B NMR、PFG-NMR、变温 EIS（Arrhenius/VTF）、Bruce–Vincent 迁移数、DRT、LSV 与浮充漏电流、MD 模拟。</w:t>
      </w:r>
    </w:p>
    <w:p>
      <w:pPr>
        <w:pStyle w:val="ListBullet"/>
      </w:pPr>
      <w:r/>
      <w:r>
        <w:rPr>
          <w:b/>
        </w:rPr>
        <w:t>界面与器件</w:t>
      </w:r>
      <w:r>
        <w:t>：XPS 深度剖析、TOF-SIMS、SEM/TEM、ICP-OES、Li‖Cu/Li‖Li/Li‖NCM811 电化学测试、自熄时间与 DSC 安全测试。</w:t>
      </w:r>
    </w:p>
    <w:p>
      <w:pPr>
        <w:pStyle w:val="Heading3"/>
      </w:pPr>
      <w:r>
        <w:t>2.2 技术路线</w:t>
      </w:r>
    </w:p>
    <w:p>
      <w:r>
        <w:rPr>
          <w:rFonts w:ascii="Consolas" w:hAnsi="Consolas"/>
          <w:sz w:val="18"/>
        </w:rPr>
        <w:t>液态电解液 C0 ──► MBA 原位聚合 ──► 酰胺网络凝胶电解质 S</w:t>
        <w:br/>
        <w:t xml:space="preserve">   │                  │</w:t>
        <w:br/>
        <w:t xml:space="preserve">   │             PEGDA 对照 C1 / 无 LiDFOB 对照 C3</w:t>
        <w:br/>
        <w:t xml:space="preserve">   ▼                  ▼</w:t>
        <w:br/>
        <w:t xml:space="preserve"> 内容一：网络–液相相互作用（FTIR/DFT/形貌）</w:t>
        <w:br/>
        <w:t xml:space="preserve">   ▼</w:t>
        <w:br/>
        <w:t xml:space="preserve"> 内容二：溶剂化结构与传输（Raman/NMR/PFG/EIS/MD）</w:t>
        <w:br/>
        <w:t xml:space="preserve">   ▼</w:t>
        <w:br/>
        <w:t xml:space="preserve"> 内容三：双界面化学（XPS/TOF-SIMS/Li‖Li/Li‖Cu）</w:t>
        <w:br/>
        <w:t xml:space="preserve">   ▼</w:t>
        <w:br/>
        <w:t xml:space="preserve"> 内容四：Li‖NCM811 4.5 V 1C/3C 全电池 + 安全性 ──► 循环后回溯</w:t>
      </w:r>
    </w:p>
    <w:p>
      <w:pPr>
        <w:pStyle w:val="Heading3"/>
      </w:pPr>
      <w:r>
        <w:t>2.3 实验方案（对照样设计）</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sz w:val="21"/>
              </w:rPr>
            </w:r>
            <w:r>
              <w:rPr>
                <w:b/>
                <w:sz w:val="21"/>
              </w:rPr>
              <w:t>编号</w:t>
            </w:r>
          </w:p>
        </w:tc>
        <w:tc>
          <w:tcPr>
            <w:tcW w:type="dxa" w:w="3135"/>
          </w:tcPr>
          <w:p>
            <w:r>
              <w:rPr>
                <w:b/>
                <w:sz w:val="21"/>
              </w:rPr>
            </w:r>
            <w:r>
              <w:rPr>
                <w:b/>
                <w:sz w:val="21"/>
              </w:rPr>
              <w:t>组成</w:t>
            </w:r>
          </w:p>
        </w:tc>
        <w:tc>
          <w:tcPr>
            <w:tcW w:type="dxa" w:w="3135"/>
          </w:tcPr>
          <w:p>
            <w:r>
              <w:rPr>
                <w:b/>
                <w:sz w:val="21"/>
              </w:rPr>
            </w:r>
            <w:r>
              <w:rPr>
                <w:b/>
                <w:sz w:val="21"/>
              </w:rPr>
              <w:t>回答的问题</w:t>
            </w:r>
          </w:p>
        </w:tc>
      </w:tr>
      <w:tr>
        <w:tc>
          <w:tcPr>
            <w:tcW w:type="dxa" w:w="3135"/>
          </w:tcPr>
          <w:p>
            <w:r>
              <w:rPr>
                <w:sz w:val="21"/>
              </w:rPr>
            </w:r>
            <w:r>
              <w:rPr>
                <w:sz w:val="21"/>
              </w:rPr>
              <w:t>C0</w:t>
            </w:r>
          </w:p>
        </w:tc>
        <w:tc>
          <w:tcPr>
            <w:tcW w:type="dxa" w:w="3135"/>
          </w:tcPr>
          <w:p>
            <w:r>
              <w:rPr>
                <w:sz w:val="21"/>
              </w:rPr>
            </w:r>
            <w:r>
              <w:rPr>
                <w:sz w:val="21"/>
              </w:rPr>
              <w:t>1.0 M LiPF₆ + 0.2 M LiDFOB / DMTFA:TTE，无聚合物</w:t>
            </w:r>
          </w:p>
        </w:tc>
        <w:tc>
          <w:tcPr>
            <w:tcW w:type="dxa" w:w="3135"/>
          </w:tcPr>
          <w:p>
            <w:r>
              <w:rPr>
                <w:sz w:val="21"/>
              </w:rPr>
            </w:r>
            <w:r>
              <w:rPr>
                <w:sz w:val="21"/>
              </w:rPr>
              <w:t>凝胶化代价、溶剂化基线</w:t>
            </w:r>
          </w:p>
        </w:tc>
      </w:tr>
      <w:tr>
        <w:tc>
          <w:tcPr>
            <w:tcW w:type="dxa" w:w="3135"/>
          </w:tcPr>
          <w:p>
            <w:r>
              <w:rPr>
                <w:sz w:val="21"/>
              </w:rPr>
            </w:r>
            <w:r>
              <w:rPr>
                <w:sz w:val="21"/>
              </w:rPr>
              <w:t>C1</w:t>
            </w:r>
          </w:p>
        </w:tc>
        <w:tc>
          <w:tcPr>
            <w:tcW w:type="dxa" w:w="3135"/>
          </w:tcPr>
          <w:p>
            <w:r>
              <w:rPr>
                <w:sz w:val="21"/>
              </w:rPr>
            </w:r>
            <w:r>
              <w:rPr>
                <w:sz w:val="21"/>
              </w:rPr>
              <w:t>PEGDA + 同液相（均相透明凝胶）</w:t>
            </w:r>
          </w:p>
        </w:tc>
        <w:tc>
          <w:tcPr>
            <w:tcW w:type="dxa" w:w="3135"/>
          </w:tcPr>
          <w:p>
            <w:r>
              <w:rPr>
                <w:sz w:val="21"/>
              </w:rPr>
            </w:r>
            <w:r>
              <w:rPr>
                <w:sz w:val="21"/>
              </w:rPr>
              <w:t>聚醚 vs 酰胺骨架</w:t>
            </w:r>
          </w:p>
        </w:tc>
      </w:tr>
      <w:tr>
        <w:tc>
          <w:tcPr>
            <w:tcW w:type="dxa" w:w="3135"/>
          </w:tcPr>
          <w:p>
            <w:r>
              <w:rPr>
                <w:sz w:val="21"/>
              </w:rPr>
            </w:r>
            <w:r>
              <w:rPr>
                <w:sz w:val="21"/>
              </w:rPr>
              <w:t>C3</w:t>
            </w:r>
          </w:p>
        </w:tc>
        <w:tc>
          <w:tcPr>
            <w:tcW w:type="dxa" w:w="3135"/>
          </w:tcPr>
          <w:p>
            <w:r>
              <w:rPr>
                <w:sz w:val="21"/>
              </w:rPr>
            </w:r>
            <w:r>
              <w:rPr>
                <w:sz w:val="21"/>
              </w:rPr>
              <w:t>MBA + 1.0 M LiPF₆ / DMTFA:TTE（无 LiDFOB）</w:t>
            </w:r>
          </w:p>
        </w:tc>
        <w:tc>
          <w:tcPr>
            <w:tcW w:type="dxa" w:w="3135"/>
          </w:tcPr>
          <w:p>
            <w:r>
              <w:rPr>
                <w:sz w:val="21"/>
              </w:rPr>
            </w:r>
            <w:r>
              <w:rPr>
                <w:sz w:val="21"/>
              </w:rPr>
              <w:t>DFOB⁻ 对界面的贡献</w:t>
            </w:r>
          </w:p>
        </w:tc>
      </w:tr>
      <w:tr>
        <w:tc>
          <w:tcPr>
            <w:tcW w:type="dxa" w:w="3135"/>
          </w:tcPr>
          <w:p>
            <w:r>
              <w:rPr>
                <w:sz w:val="21"/>
              </w:rPr>
            </w:r>
            <w:r>
              <w:rPr>
                <w:sz w:val="21"/>
              </w:rPr>
              <w:t>S</w:t>
            </w:r>
          </w:p>
        </w:tc>
        <w:tc>
          <w:tcPr>
            <w:tcW w:type="dxa" w:w="3135"/>
          </w:tcPr>
          <w:p>
            <w:r>
              <w:rPr>
                <w:sz w:val="21"/>
              </w:rPr>
            </w:r>
            <w:r>
              <w:rPr>
                <w:sz w:val="21"/>
              </w:rPr>
              <w:t>本体系</w:t>
            </w:r>
          </w:p>
        </w:tc>
        <w:tc>
          <w:tcPr>
            <w:tcW w:type="dxa" w:w="3135"/>
          </w:tcPr>
          <w:p>
            <w:r>
              <w:rPr>
                <w:sz w:val="21"/>
              </w:rPr>
            </w:r>
            <w:r>
              <w:rPr>
                <w:sz w:val="21"/>
              </w:rPr>
              <w:t>—</w:t>
            </w:r>
          </w:p>
        </w:tc>
      </w:tr>
    </w:tbl>
    <w:p/>
    <w:p>
      <w:pPr>
        <w:spacing w:line="336" w:lineRule="auto"/>
        <w:ind w:firstLine="0"/>
      </w:pPr>
      <w:r/>
      <w:r>
        <w:rPr>
          <w:b/>
        </w:rPr>
        <w:t>关键判据</w:t>
      </w:r>
      <w:r>
        <w:t>：同一张谱图中 S 与 C0 重叠而 C1 偏离（Raman、⁷Li NMR、PFG D_Li），即为溶剂化结构保留的证据；去掉 LiDFOB 后 B–O 物种消失，即为界面归因证据。</w:t>
      </w:r>
    </w:p>
    <w:p>
      <w:pPr>
        <w:pStyle w:val="Heading3"/>
      </w:pPr>
      <w:r>
        <w:t>2.4 可行性分析</w:t>
      </w:r>
    </w:p>
    <w:p>
      <w:pPr>
        <w:spacing w:line="336" w:lineRule="auto"/>
        <w:ind w:firstLine="454"/>
      </w:pPr>
      <w:r>
        <w:t>（1）</w:t>
      </w:r>
      <w:r>
        <w:rPr>
          <w:b/>
        </w:rPr>
        <w:t>原理可行</w:t>
      </w:r>
      <w:r>
        <w:t>：DMTFA 弱配位、高氧化稳定[6–8]，TTE 稀释[3,15]，LiDFOB 双界面成膜[9–11]，凝胶化保留溶剂化结构[16,17] 均有文献支撑。</w:t>
      </w:r>
    </w:p>
    <w:p>
      <w:pPr>
        <w:spacing w:line="336" w:lineRule="auto"/>
        <w:ind w:firstLine="454"/>
      </w:pPr>
      <w:r>
        <w:t>（2）</w:t>
      </w:r>
      <w:r>
        <w:rPr>
          <w:b/>
        </w:rPr>
        <w:t>前期结果支持</w:t>
      </w:r>
      <w:r>
        <w:t>：已完成 S、C0、C1 的 Raman、⁷Li NMR、FTIR、离子电导率、迁移数、LSV、Li‖Li 对称循环以及 Li‖NCM811 4.5 V 1C/3C 循环测试，初步结果与研究假设一致（详见第三部分）。</w:t>
      </w:r>
    </w:p>
    <w:p>
      <w:pPr>
        <w:spacing w:line="336" w:lineRule="auto"/>
        <w:ind w:firstLine="454"/>
      </w:pPr>
      <w:r>
        <w:t>（3）</w:t>
      </w:r>
      <w:r>
        <w:rPr>
          <w:b/>
        </w:rPr>
        <w:t>条件可行</w:t>
      </w:r>
      <w:r>
        <w:t>：所需试剂均为商品化产品；课题组具备原位聚合、电化学测试与常规表征条件。</w:t>
      </w:r>
    </w:p>
    <w:p>
      <w:pPr>
        <w:spacing w:line="336" w:lineRule="auto"/>
        <w:ind w:firstLine="454"/>
      </w:pPr>
      <w:r>
        <w:t>（4）</w:t>
      </w:r>
      <w:r>
        <w:rPr>
          <w:b/>
        </w:rPr>
        <w:t>风险与预案</w:t>
      </w:r>
      <w:r>
        <w:t>：若 ¹⁹F/PFG 结果不支持"N–H 束缚阴离子"，则从网络形貌（非均相结构、液相连续性）角度解释迁移数差异；若 DMTFA 在负极侧长期稳定性不足，则调整 LiDFOB 比例或引入少量 FEC。</w:t>
      </w:r>
    </w:p>
    <w:p>
      <w:pPr>
        <w:pStyle w:val="Heading2"/>
      </w:pPr>
      <w:r>
        <w:t>3. 研究的创新点</w:t>
      </w:r>
    </w:p>
    <w:p>
      <w:pPr>
        <w:spacing w:line="336" w:lineRule="auto"/>
        <w:ind w:firstLine="454"/>
      </w:pPr>
      <w:r>
        <w:t>（1）</w:t>
      </w:r>
      <w:r>
        <w:rPr>
          <w:b/>
        </w:rPr>
        <w:t>构建了酰胺交联网络/氟化弱溶剂化电解液（DMTFA/TTE）原位凝胶电解质，凝胶化后保持液态的 Li⁺ 溶剂化结构和离子电导率。</w:t>
      </w:r>
      <w:r>
        <w:t xml:space="preserve"> 现有"溶剂化保留"策略依赖氟化聚合物的弱配位；本工作以非氟化酰胺网络实现同样目标，拉曼与 ⁷Li NMR 显示凝胶与液态一致，电导率接近液态并优于 PEGDA 凝胶。</w:t>
      </w:r>
    </w:p>
    <w:p>
      <w:pPr>
        <w:spacing w:line="336" w:lineRule="auto"/>
        <w:ind w:firstLine="454"/>
      </w:pPr>
      <w:r>
        <w:t>（2）</w:t>
      </w:r>
      <w:r>
        <w:rPr>
          <w:b/>
        </w:rPr>
        <w:t>利用酰胺基团的氢键作用调控阴离子，在不牺牲电导率的前提下提高了 Li⁺ 迁移数。</w:t>
      </w:r>
      <w:r>
        <w:t xml:space="preserve"> 聚醚骨架仅有受体位点、只能束缚 Li⁺；酰胺骨架兼具 C=O 受体与 N–H 供体，可作用于 PF₆⁻/DFOB⁻。前期 t_Li⁺ 高于液态及 PEGDA 体系，FTIR 显示 N–H/C=O 峰位移，机理将由 ¹⁹F NMR、PFG 与计算进一步确认。</w:t>
      </w:r>
    </w:p>
    <w:p>
      <w:pPr>
        <w:spacing w:line="336" w:lineRule="auto"/>
        <w:ind w:firstLine="454"/>
      </w:pPr>
      <w:r>
        <w:t>（3）</w:t>
      </w:r>
      <w:r>
        <w:rPr>
          <w:b/>
        </w:rPr>
        <w:t>结合 LiPF₆/LiDFOB 双盐与氟化溶剂，在凝胶中构筑稳定的正负极界面，实现 Li‖NCM811 在 4.5 V 下的 1C/3C 稳定循环。</w:t>
      </w:r>
      <w:r>
        <w:t xml:space="preserve"> 弱溶剂化体系在高镍 4.5 V 下的高倍率循环多为液态报道，凝胶体系 3C 数据稀少；本工作将溶剂化保留与界面稳定建立因果联系并逐一归因界面组分来源。</w:t>
      </w:r>
    </w:p>
    <w:p>
      <w:pPr>
        <w:pStyle w:val="Heading2"/>
      </w:pPr>
      <w:r>
        <w:t>4. 研究计划及预测进展</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sz w:val="21"/>
              </w:rPr>
            </w:r>
            <w:r>
              <w:rPr>
                <w:b/>
                <w:sz w:val="21"/>
              </w:rPr>
              <w:t>时间</w:t>
            </w:r>
          </w:p>
        </w:tc>
        <w:tc>
          <w:tcPr>
            <w:tcW w:type="dxa" w:w="3135"/>
          </w:tcPr>
          <w:p>
            <w:r>
              <w:rPr>
                <w:b/>
                <w:sz w:val="21"/>
              </w:rPr>
            </w:r>
            <w:r>
              <w:rPr>
                <w:b/>
                <w:sz w:val="21"/>
              </w:rPr>
              <w:t>工作内容</w:t>
            </w:r>
          </w:p>
        </w:tc>
        <w:tc>
          <w:tcPr>
            <w:tcW w:type="dxa" w:w="3135"/>
          </w:tcPr>
          <w:p>
            <w:r>
              <w:rPr>
                <w:b/>
                <w:sz w:val="21"/>
              </w:rPr>
            </w:r>
            <w:r>
              <w:rPr>
                <w:b/>
                <w:sz w:val="21"/>
              </w:rPr>
              <w:t>预期进展</w:t>
            </w:r>
          </w:p>
        </w:tc>
      </w:tr>
      <w:tr>
        <w:tc>
          <w:tcPr>
            <w:tcW w:type="dxa" w:w="3135"/>
          </w:tcPr>
          <w:p>
            <w:r>
              <w:rPr>
                <w:sz w:val="21"/>
              </w:rPr>
            </w:r>
            <w:r>
              <w:rPr>
                <w:sz w:val="21"/>
              </w:rPr>
              <w:t>【2026.11–2027.02】</w:t>
            </w:r>
          </w:p>
        </w:tc>
        <w:tc>
          <w:tcPr>
            <w:tcW w:type="dxa" w:w="3135"/>
          </w:tcPr>
          <w:p>
            <w:r>
              <w:rPr>
                <w:sz w:val="21"/>
              </w:rPr>
            </w:r>
            <w:r>
              <w:rPr>
                <w:sz w:val="21"/>
              </w:rPr>
              <w:t>补充 C0/C1/S 对照数据；FTIR 变温与 DFT 分析网络–液相作用；¹⁹F/¹¹B NMR</w:t>
            </w:r>
          </w:p>
        </w:tc>
        <w:tc>
          <w:tcPr>
            <w:tcW w:type="dxa" w:w="3135"/>
          </w:tcPr>
          <w:p>
            <w:r>
              <w:rPr>
                <w:sz w:val="21"/>
              </w:rPr>
            </w:r>
            <w:r>
              <w:rPr>
                <w:sz w:val="21"/>
              </w:rPr>
              <w:t>完成内容一；明确酰胺–溶剂/阴离子作用方式</w:t>
            </w:r>
          </w:p>
        </w:tc>
      </w:tr>
      <w:tr>
        <w:tc>
          <w:tcPr>
            <w:tcW w:type="dxa" w:w="3135"/>
          </w:tcPr>
          <w:p>
            <w:r>
              <w:rPr>
                <w:sz w:val="21"/>
              </w:rPr>
            </w:r>
            <w:r>
              <w:rPr>
                <w:sz w:val="21"/>
              </w:rPr>
              <w:t>【2027.03–2027.08】</w:t>
            </w:r>
          </w:p>
        </w:tc>
        <w:tc>
          <w:tcPr>
            <w:tcW w:type="dxa" w:w="3135"/>
          </w:tcPr>
          <w:p>
            <w:r>
              <w:rPr>
                <w:sz w:val="21"/>
              </w:rPr>
            </w:r>
            <w:r>
              <w:rPr>
                <w:sz w:val="21"/>
              </w:rPr>
              <w:t>PFG-NMR、变温 EIS/DRT、MD 模拟；系统阐明传输机理与迁移数来源</w:t>
            </w:r>
          </w:p>
        </w:tc>
        <w:tc>
          <w:tcPr>
            <w:tcW w:type="dxa" w:w="3135"/>
          </w:tcPr>
          <w:p>
            <w:r>
              <w:rPr>
                <w:sz w:val="21"/>
              </w:rPr>
            </w:r>
            <w:r>
              <w:rPr>
                <w:sz w:val="21"/>
              </w:rPr>
              <w:t>完成内容二；第一篇论文投稿</w:t>
            </w:r>
          </w:p>
        </w:tc>
      </w:tr>
      <w:tr>
        <w:tc>
          <w:tcPr>
            <w:tcW w:type="dxa" w:w="3135"/>
          </w:tcPr>
          <w:p>
            <w:r>
              <w:rPr>
                <w:sz w:val="21"/>
              </w:rPr>
            </w:r>
            <w:r>
              <w:rPr>
                <w:sz w:val="21"/>
              </w:rPr>
              <w:t>【2027.09–2028.02】</w:t>
            </w:r>
          </w:p>
        </w:tc>
        <w:tc>
          <w:tcPr>
            <w:tcW w:type="dxa" w:w="3135"/>
          </w:tcPr>
          <w:p>
            <w:r>
              <w:rPr>
                <w:sz w:val="21"/>
              </w:rPr>
            </w:r>
            <w:r>
              <w:rPr>
                <w:sz w:val="21"/>
              </w:rPr>
              <w:t>XPS 深度剖析/TOF-SIMS 界面归因；Li‖Cu、Li‖Li 长循环；TEM/ICP</w:t>
            </w:r>
          </w:p>
        </w:tc>
        <w:tc>
          <w:tcPr>
            <w:tcW w:type="dxa" w:w="3135"/>
          </w:tcPr>
          <w:p>
            <w:r>
              <w:rPr>
                <w:sz w:val="21"/>
              </w:rPr>
            </w:r>
            <w:r>
              <w:rPr>
                <w:sz w:val="21"/>
              </w:rPr>
              <w:t>完成内容三</w:t>
            </w:r>
          </w:p>
        </w:tc>
      </w:tr>
      <w:tr>
        <w:tc>
          <w:tcPr>
            <w:tcW w:type="dxa" w:w="3135"/>
          </w:tcPr>
          <w:p>
            <w:r>
              <w:rPr>
                <w:sz w:val="21"/>
              </w:rPr>
            </w:r>
            <w:r>
              <w:rPr>
                <w:sz w:val="21"/>
              </w:rPr>
              <w:t>【2028.03–2028.08】</w:t>
            </w:r>
          </w:p>
        </w:tc>
        <w:tc>
          <w:tcPr>
            <w:tcW w:type="dxa" w:w="3135"/>
          </w:tcPr>
          <w:p>
            <w:r>
              <w:rPr>
                <w:sz w:val="21"/>
              </w:rPr>
            </w:r>
            <w:r>
              <w:rPr>
                <w:sz w:val="21"/>
              </w:rPr>
              <w:t>Li‖NCM811 长循环、倍率、高低温、安全性；软包验证；循环后回溯</w:t>
            </w:r>
          </w:p>
        </w:tc>
        <w:tc>
          <w:tcPr>
            <w:tcW w:type="dxa" w:w="3135"/>
          </w:tcPr>
          <w:p>
            <w:r>
              <w:rPr>
                <w:sz w:val="21"/>
              </w:rPr>
            </w:r>
            <w:r>
              <w:rPr>
                <w:sz w:val="21"/>
              </w:rPr>
              <w:t>完成内容四；第二篇论文；专利申请</w:t>
            </w:r>
          </w:p>
        </w:tc>
      </w:tr>
      <w:tr>
        <w:tc>
          <w:tcPr>
            <w:tcW w:type="dxa" w:w="3135"/>
          </w:tcPr>
          <w:p>
            <w:r>
              <w:rPr>
                <w:sz w:val="21"/>
              </w:rPr>
            </w:r>
            <w:r>
              <w:rPr>
                <w:sz w:val="21"/>
              </w:rPr>
              <w:t>【2028.09–2028.12】</w:t>
            </w:r>
          </w:p>
        </w:tc>
        <w:tc>
          <w:tcPr>
            <w:tcW w:type="dxa" w:w="3135"/>
          </w:tcPr>
          <w:p>
            <w:r>
              <w:rPr>
                <w:sz w:val="21"/>
              </w:rPr>
            </w:r>
            <w:r>
              <w:rPr>
                <w:sz w:val="21"/>
              </w:rPr>
              <w:t>数据完善、学位论文撰写与答辩</w:t>
            </w:r>
          </w:p>
        </w:tc>
        <w:tc>
          <w:tcPr>
            <w:tcW w:type="dxa" w:w="3135"/>
          </w:tcPr>
          <w:p>
            <w:r>
              <w:rPr>
                <w:sz w:val="21"/>
              </w:rPr>
            </w:r>
            <w:r>
              <w:rPr>
                <w:sz w:val="21"/>
              </w:rPr>
              <w:t>完成学位论文</w:t>
            </w:r>
          </w:p>
        </w:tc>
      </w:tr>
    </w:tbl>
    <w:p/>
    <w:p>
      <w:pPr>
        <w:pStyle w:val="Heading2"/>
      </w:pPr>
      <w:r>
        <w:t>5. 预期研究成果</w:t>
      </w:r>
    </w:p>
    <w:p>
      <w:pPr>
        <w:spacing w:line="336" w:lineRule="auto"/>
        <w:ind w:firstLine="454"/>
      </w:pPr>
      <w:r>
        <w:t>（1）阐明酰胺网络凝胶电解质保持弱溶剂化结构、提升迁移数的机理及双界面成膜化学；</w:t>
      </w:r>
    </w:p>
    <w:p>
      <w:pPr>
        <w:spacing w:line="336" w:lineRule="auto"/>
        <w:ind w:firstLine="454"/>
      </w:pPr>
      <w:r>
        <w:t>（2）获得一种原位聚合、阻燃、不漏液、支持 Li‖NCM811 4.5 V 1C/3C 稳定循环的凝胶电解质；</w:t>
      </w:r>
    </w:p>
    <w:p>
      <w:pPr>
        <w:spacing w:line="336" w:lineRule="auto"/>
        <w:ind w:firstLine="454"/>
      </w:pPr>
      <w:r>
        <w:t>（3）发表 SCI 论文 【1–2】 篇，申请发明专利 【1】 项；</w:t>
      </w:r>
    </w:p>
    <w:p>
      <w:pPr>
        <w:spacing w:line="336" w:lineRule="auto"/>
        <w:ind w:firstLine="454"/>
      </w:pPr>
      <w:r>
        <w:t>（4）完成硕士学位论文一篇。</w:t>
      </w:r>
    </w:p>
    <w:p>
      <w:pPr>
        <w:pStyle w:val="Heading1"/>
      </w:pPr>
      <w:r>
        <w:t>三、研究基础</w:t>
      </w:r>
    </w:p>
    <w:p>
      <w:pPr>
        <w:pStyle w:val="Heading2"/>
      </w:pPr>
      <w:r>
        <w:t>1. 与本项目有关的研究工作积累和已取得的研究工作成绩</w:t>
      </w:r>
    </w:p>
    <w:p>
      <w:pPr>
        <w:spacing w:line="336" w:lineRule="auto"/>
        <w:ind w:firstLine="0"/>
      </w:pPr>
      <w:r/>
      <w:r>
        <w:rPr>
          <w:b/>
        </w:rPr>
        <w:t>课题组积累：</w:t>
      </w:r>
      <w:r>
        <w:t xml:space="preserve"> 【课题组在电解质/界面/高压正极方向的代表性论文、项目与平台，列 3–5 项】</w:t>
      </w:r>
    </w:p>
    <w:p>
      <w:pPr>
        <w:spacing w:line="336" w:lineRule="auto"/>
        <w:ind w:firstLine="0"/>
      </w:pPr>
      <w:r/>
      <w:r>
        <w:rPr>
          <w:b/>
        </w:rPr>
        <w:t>报告人本人已完成的工作（单独列出）：</w:t>
      </w:r>
      <w:r/>
    </w:p>
    <w:p>
      <w:pPr>
        <w:spacing w:line="336" w:lineRule="auto"/>
        <w:ind w:firstLine="454"/>
      </w:pPr>
      <w:r>
        <w:t>（1）完成 1.0 M LiPF₆ + 0.2 M LiDFOB / DMTFA : TTE = 1 : 1 液态电解液及 MBA、PEGDA 两种原位凝胶电解质的制备；FTIR 确认单体 C=C 完全转化（图【1】）。</w:t>
      </w:r>
    </w:p>
    <w:p>
      <w:pPr>
        <w:spacing w:line="336" w:lineRule="auto"/>
        <w:ind w:firstLine="454"/>
      </w:pPr>
      <w:r>
        <w:t>（2）</w:t>
      </w:r>
      <w:r>
        <w:rPr>
          <w:b/>
        </w:rPr>
        <w:t>溶剂化结构</w:t>
      </w:r>
      <w:r>
        <w:t>：拉曼（PF₆⁻ 740 cm⁻¹ 区、DMTFA C=O 区）与 ⁷Li NMR 显示 MBA 凝胶与液态电解液谱图基本一致，PEGDA 凝胶出现明显变化（图【2】），表明酰胺网络凝胶化未改变 Li⁺ 溶剂化结构。</w:t>
      </w:r>
    </w:p>
    <w:p>
      <w:pPr>
        <w:spacing w:line="336" w:lineRule="auto"/>
        <w:ind w:firstLine="454"/>
      </w:pPr>
      <w:r>
        <w:t>（3）</w:t>
      </w:r>
      <w:r>
        <w:rPr>
          <w:b/>
        </w:rPr>
        <w:t>传输性能</w:t>
      </w:r>
      <w:r>
        <w:t>：室温离子电导率 MBA 凝胶【x】mS cm⁻¹、液态【y】mS cm⁻¹、PEGDA 凝胶【z】mS cm⁻¹；Li⁺ 迁移数 MBA 凝胶【a】、液态【b】、PEGDA 凝胶【c】（图【3】）。</w:t>
      </w:r>
    </w:p>
    <w:p>
      <w:pPr>
        <w:spacing w:line="336" w:lineRule="auto"/>
        <w:ind w:firstLine="454"/>
      </w:pPr>
      <w:r>
        <w:t>（4）</w:t>
      </w:r>
      <w:r>
        <w:rPr>
          <w:b/>
        </w:rPr>
        <w:t>网络–液相作用</w:t>
      </w:r>
      <w:r>
        <w:t>：FTIR 显示凝胶中 N–H / 酰胺 I 带相对单体及干聚合物位移【Δ】cm⁻¹，DMTFA C=O 带位移【Δ'】cm⁻¹（图【4】），提示酰胺基团与溶剂/阴离子存在氢键作用。</w:t>
      </w:r>
    </w:p>
    <w:p>
      <w:pPr>
        <w:spacing w:line="336" w:lineRule="auto"/>
        <w:ind w:firstLine="454"/>
      </w:pPr>
      <w:r>
        <w:t>（5）</w:t>
      </w:r>
      <w:r>
        <w:rPr>
          <w:b/>
        </w:rPr>
        <w:t>电化学稳定性与界面</w:t>
      </w:r>
      <w:r>
        <w:t>：LSV 氧化窗口【V】vs Li/Li⁺；Li‖Li 对称电池在【电流密度】下稳定循环【h】（图【5】）。</w:t>
      </w:r>
    </w:p>
    <w:p>
      <w:pPr>
        <w:spacing w:line="336" w:lineRule="auto"/>
        <w:ind w:firstLine="454"/>
      </w:pPr>
      <w:r>
        <w:t>（6）</w:t>
      </w:r>
      <w:r>
        <w:rPr>
          <w:b/>
        </w:rPr>
        <w:t>全电池</w:t>
      </w:r>
      <w:r>
        <w:t>：Li‖NCM811 在 4.5 V 下 1C 循环【n₁】周容量保持率【%】，3C 循环【n₂】周容量保持率【%】（图【6】）。</w:t>
      </w:r>
    </w:p>
    <w:p>
      <w:pPr>
        <w:spacing w:line="336" w:lineRule="auto"/>
        <w:ind w:firstLine="454"/>
      </w:pPr>
      <w:r>
        <w:t>（7）结构观察：MBA 凝胶呈白色非均相结构，PEGDA 凝胶为透明均相结构，已列入内容一作进一步形貌与 DSC 分析。</w:t>
      </w:r>
    </w:p>
    <w:p>
      <w:pPr>
        <w:spacing w:line="336" w:lineRule="auto"/>
        <w:ind w:firstLine="454"/>
      </w:pPr>
      <w:r>
        <w:t>（8）【已发表/投稿论文、参与项目、获奖等】</w:t>
      </w:r>
    </w:p>
    <w:p>
      <w:pPr>
        <w:pStyle w:val="Heading2"/>
      </w:pPr>
      <w:r>
        <w:t>2. 已具备的实验、资料等条件，尚缺少的实验、资料条件和拟解决的途径</w:t>
      </w:r>
    </w:p>
    <w:p>
      <w:pPr>
        <w:spacing w:line="336" w:lineRule="auto"/>
        <w:ind w:firstLine="0"/>
      </w:pPr>
      <w:r/>
      <w:r>
        <w:rPr>
          <w:b/>
        </w:rPr>
        <w:t>已具备条件：</w:t>
      </w:r>
      <w:r/>
    </w:p>
    <w:p>
      <w:pPr>
        <w:pStyle w:val="ListBullet"/>
      </w:pPr>
      <w:r>
        <w:t>手套箱、真空烘箱、恒温聚合装置，可完成前驱液配制与原位聚合；</w:t>
      </w:r>
    </w:p>
    <w:p>
      <w:pPr>
        <w:pStyle w:val="ListBullet"/>
      </w:pPr>
      <w:r>
        <w:t>电化学工作站（EIS、LSV、CV）、电池充放电测试系统、高低温试验箱；</w:t>
      </w:r>
    </w:p>
    <w:p>
      <w:pPr>
        <w:pStyle w:val="ListBullet"/>
      </w:pPr>
      <w:r>
        <w:t>FTIR、Raman、【SEM、XRD、TGA/DSC、流变仪——按实际勾选】；</w:t>
      </w:r>
    </w:p>
    <w:p>
      <w:pPr>
        <w:pStyle w:val="ListBullet"/>
      </w:pPr>
      <w:r>
        <w:t>学校分析测试中心可提供 XPS、NMR、BET 等测试；</w:t>
      </w:r>
    </w:p>
    <w:p>
      <w:pPr>
        <w:pStyle w:val="ListBullet"/>
      </w:pPr>
      <w:r>
        <w:t>文献数据库访问权限。</w:t>
      </w:r>
    </w:p>
    <w:p>
      <w:pPr>
        <w:spacing w:line="336" w:lineRule="auto"/>
        <w:ind w:firstLine="0"/>
      </w:pPr>
      <w:r/>
      <w:r>
        <w:rPr>
          <w:b/>
        </w:rPr>
        <w:t>尚缺少的条件及解决途径：</w:t>
      </w:r>
      <w:r/>
    </w:p>
    <w:tbl>
      <w:tblPr>
        <w:tblStyle w:val="TableGrid"/>
        <w:tblW w:type="auto" w:w="0"/>
        <w:tblLook w:firstColumn="1" w:firstRow="1" w:lastColumn="0" w:lastRow="0" w:noHBand="0" w:noVBand="1" w:val="04A0"/>
      </w:tblPr>
      <w:tblGrid>
        <w:gridCol w:w="3135"/>
        <w:gridCol w:w="3135"/>
        <w:gridCol w:w="3135"/>
      </w:tblGrid>
      <w:tr>
        <w:tc>
          <w:tcPr>
            <w:tcW w:type="dxa" w:w="3135"/>
          </w:tcPr>
          <w:p>
            <w:r>
              <w:rPr>
                <w:b/>
                <w:sz w:val="21"/>
              </w:rPr>
            </w:r>
            <w:r>
              <w:rPr>
                <w:b/>
                <w:sz w:val="21"/>
              </w:rPr>
              <w:t>缺少条件</w:t>
            </w:r>
          </w:p>
        </w:tc>
        <w:tc>
          <w:tcPr>
            <w:tcW w:type="dxa" w:w="3135"/>
          </w:tcPr>
          <w:p>
            <w:r>
              <w:rPr>
                <w:b/>
                <w:sz w:val="21"/>
              </w:rPr>
            </w:r>
            <w:r>
              <w:rPr>
                <w:b/>
                <w:sz w:val="21"/>
              </w:rPr>
              <w:t>用途</w:t>
            </w:r>
          </w:p>
        </w:tc>
        <w:tc>
          <w:tcPr>
            <w:tcW w:type="dxa" w:w="3135"/>
          </w:tcPr>
          <w:p>
            <w:r>
              <w:rPr>
                <w:b/>
                <w:sz w:val="21"/>
              </w:rPr>
            </w:r>
            <w:r>
              <w:rPr>
                <w:b/>
                <w:sz w:val="21"/>
              </w:rPr>
              <w:t>解决途径</w:t>
            </w:r>
          </w:p>
        </w:tc>
      </w:tr>
      <w:tr>
        <w:tc>
          <w:tcPr>
            <w:tcW w:type="dxa" w:w="3135"/>
          </w:tcPr>
          <w:p>
            <w:r>
              <w:rPr>
                <w:sz w:val="21"/>
              </w:rPr>
            </w:r>
            <w:r>
              <w:rPr>
                <w:sz w:val="21"/>
              </w:rPr>
              <w:t>PFG-NMR</w:t>
            </w:r>
          </w:p>
        </w:tc>
        <w:tc>
          <w:tcPr>
            <w:tcW w:type="dxa" w:w="3135"/>
          </w:tcPr>
          <w:p>
            <w:r>
              <w:rPr>
                <w:sz w:val="21"/>
              </w:rPr>
            </w:r>
            <w:r>
              <w:rPr>
                <w:sz w:val="21"/>
              </w:rPr>
              <w:t>Li⁺/阴离子自扩散系数、迁移数互证</w:t>
            </w:r>
          </w:p>
        </w:tc>
        <w:tc>
          <w:tcPr>
            <w:tcW w:type="dxa" w:w="3135"/>
          </w:tcPr>
          <w:p>
            <w:r>
              <w:rPr>
                <w:sz w:val="21"/>
              </w:rPr>
            </w:r>
            <w:r>
              <w:rPr>
                <w:sz w:val="21"/>
              </w:rPr>
              <w:t>【联系 XX 高校/研究所合作测试】</w:t>
            </w:r>
          </w:p>
        </w:tc>
      </w:tr>
      <w:tr>
        <w:tc>
          <w:tcPr>
            <w:tcW w:type="dxa" w:w="3135"/>
          </w:tcPr>
          <w:p>
            <w:r>
              <w:rPr>
                <w:sz w:val="21"/>
              </w:rPr>
            </w:r>
            <w:r>
              <w:rPr>
                <w:sz w:val="21"/>
              </w:rPr>
              <w:t>TOF-SIMS、XPS 深度剖析</w:t>
            </w:r>
          </w:p>
        </w:tc>
        <w:tc>
          <w:tcPr>
            <w:tcW w:type="dxa" w:w="3135"/>
          </w:tcPr>
          <w:p>
            <w:r>
              <w:rPr>
                <w:sz w:val="21"/>
              </w:rPr>
            </w:r>
            <w:r>
              <w:rPr>
                <w:sz w:val="21"/>
              </w:rPr>
              <w:t>界面组分三维分布与来源归因</w:t>
            </w:r>
          </w:p>
        </w:tc>
        <w:tc>
          <w:tcPr>
            <w:tcW w:type="dxa" w:w="3135"/>
          </w:tcPr>
          <w:p>
            <w:r>
              <w:rPr>
                <w:sz w:val="21"/>
              </w:rPr>
            </w:r>
            <w:r>
              <w:rPr>
                <w:sz w:val="21"/>
              </w:rPr>
              <w:t>【分析测试中心预约 / 外送】</w:t>
            </w:r>
          </w:p>
        </w:tc>
      </w:tr>
      <w:tr>
        <w:tc>
          <w:tcPr>
            <w:tcW w:type="dxa" w:w="3135"/>
          </w:tcPr>
          <w:p>
            <w:r>
              <w:rPr>
                <w:sz w:val="21"/>
              </w:rPr>
            </w:r>
            <w:r>
              <w:rPr>
                <w:sz w:val="21"/>
              </w:rPr>
              <w:t>cryo-TEM</w:t>
            </w:r>
          </w:p>
        </w:tc>
        <w:tc>
          <w:tcPr>
            <w:tcW w:type="dxa" w:w="3135"/>
          </w:tcPr>
          <w:p>
            <w:r>
              <w:rPr>
                <w:sz w:val="21"/>
              </w:rPr>
            </w:r>
            <w:r>
              <w:rPr>
                <w:sz w:val="21"/>
              </w:rPr>
              <w:t>SEI/CEI 纳米结构</w:t>
            </w:r>
          </w:p>
        </w:tc>
        <w:tc>
          <w:tcPr>
            <w:tcW w:type="dxa" w:w="3135"/>
          </w:tcPr>
          <w:p>
            <w:r>
              <w:rPr>
                <w:sz w:val="21"/>
              </w:rPr>
            </w:r>
            <w:r>
              <w:rPr>
                <w:sz w:val="21"/>
              </w:rPr>
              <w:t>【与 XX 课题组合作】</w:t>
            </w:r>
          </w:p>
        </w:tc>
      </w:tr>
      <w:tr>
        <w:tc>
          <w:tcPr>
            <w:tcW w:type="dxa" w:w="3135"/>
          </w:tcPr>
          <w:p>
            <w:r>
              <w:rPr>
                <w:sz w:val="21"/>
              </w:rPr>
            </w:r>
            <w:r>
              <w:rPr>
                <w:sz w:val="21"/>
              </w:rPr>
              <w:t>MD/DFT 计算资源</w:t>
            </w:r>
          </w:p>
        </w:tc>
        <w:tc>
          <w:tcPr>
            <w:tcW w:type="dxa" w:w="3135"/>
          </w:tcPr>
          <w:p>
            <w:r>
              <w:rPr>
                <w:sz w:val="21"/>
              </w:rPr>
            </w:r>
            <w:r>
              <w:rPr>
                <w:sz w:val="21"/>
              </w:rPr>
              <w:t>溶剂化结构、氢键/配位结合能</w:t>
            </w:r>
          </w:p>
        </w:tc>
        <w:tc>
          <w:tcPr>
            <w:tcW w:type="dxa" w:w="3135"/>
          </w:tcPr>
          <w:p>
            <w:r>
              <w:rPr>
                <w:sz w:val="21"/>
              </w:rPr>
            </w:r>
            <w:r>
              <w:rPr>
                <w:sz w:val="21"/>
              </w:rPr>
              <w:t>【学校超算 / 合作课题组】</w:t>
            </w:r>
          </w:p>
        </w:tc>
      </w:tr>
      <w:tr>
        <w:tc>
          <w:tcPr>
            <w:tcW w:type="dxa" w:w="3135"/>
          </w:tcPr>
          <w:p>
            <w:r>
              <w:rPr>
                <w:sz w:val="21"/>
              </w:rPr>
            </w:r>
            <w:r>
              <w:rPr>
                <w:sz w:val="21"/>
              </w:rPr>
              <w:t>软包电池组装</w:t>
            </w:r>
          </w:p>
        </w:tc>
        <w:tc>
          <w:tcPr>
            <w:tcW w:type="dxa" w:w="3135"/>
          </w:tcPr>
          <w:p>
            <w:r>
              <w:rPr>
                <w:sz w:val="21"/>
              </w:rPr>
            </w:r>
            <w:r>
              <w:rPr>
                <w:sz w:val="21"/>
              </w:rPr>
              <w:t>实用化验证</w:t>
            </w:r>
          </w:p>
        </w:tc>
        <w:tc>
          <w:tcPr>
            <w:tcW w:type="dxa" w:w="3135"/>
          </w:tcPr>
          <w:p>
            <w:r>
              <w:rPr>
                <w:sz w:val="21"/>
              </w:rPr>
            </w:r>
            <w:r>
              <w:rPr>
                <w:sz w:val="21"/>
              </w:rPr>
              <w:t>【合作单位 / 中试平台】</w:t>
            </w:r>
          </w:p>
        </w:tc>
      </w:tr>
    </w:tbl>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