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18" w:rsidRDefault="00361018" w:rsidP="0036101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bookmarkStart w:id="0" w:name="_GoBack"/>
      <w:bookmarkEnd w:id="0"/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ESIAG 2012-2013</w:t>
      </w:r>
    </w:p>
    <w:p w:rsidR="00361018" w:rsidRPr="00B2313D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Pr="00B2313D" w:rsidRDefault="00361018" w:rsidP="00361018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ANALYSE DES RISQUES</w:t>
      </w:r>
    </w:p>
    <w:p w:rsidR="00361018" w:rsidRDefault="00361018" w:rsidP="00361018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b/>
          <w:bCs/>
          <w:color w:val="0000FF"/>
          <w:sz w:val="36"/>
        </w:rPr>
        <w:t>VAL</w:t>
      </w: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361018" w:rsidRPr="00754290" w:rsidRDefault="00361018" w:rsidP="0036101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361018" w:rsidRPr="00754290" w:rsidRDefault="00361018" w:rsidP="00361018">
      <w:pPr>
        <w:rPr>
          <w:rFonts w:asciiTheme="majorBidi" w:hAnsiTheme="majorBidi" w:cstheme="majorBidi"/>
          <w:b/>
          <w:sz w:val="16"/>
        </w:rPr>
      </w:pPr>
      <w:r w:rsidRPr="00754290">
        <w:rPr>
          <w:rFonts w:asciiTheme="majorBidi" w:hAnsiTheme="majorBidi" w:cstheme="majorBidi"/>
          <w:b/>
          <w:sz w:val="16"/>
        </w:rPr>
        <w:t>Suivi des dernières versions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7"/>
        <w:gridCol w:w="1192"/>
        <w:gridCol w:w="2097"/>
        <w:gridCol w:w="5131"/>
      </w:tblGrid>
      <w:tr w:rsidR="00361018" w:rsidTr="00292AC1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292AC1">
            <w:pPr>
              <w:jc w:val="center"/>
              <w:rPr>
                <w:sz w:val="16"/>
              </w:rPr>
            </w:pPr>
            <w:r>
              <w:rPr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292AC1">
            <w:pPr>
              <w:jc w:val="center"/>
              <w:rPr>
                <w:sz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292AC1">
            <w:pPr>
              <w:jc w:val="center"/>
              <w:rPr>
                <w:sz w:val="16"/>
              </w:rPr>
            </w:pPr>
            <w:r>
              <w:rPr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361018" w:rsidRDefault="00361018" w:rsidP="00292AC1">
            <w:pPr>
              <w:jc w:val="center"/>
              <w:rPr>
                <w:sz w:val="16"/>
              </w:rPr>
            </w:pPr>
            <w:r>
              <w:rPr>
                <w:b/>
              </w:rPr>
              <w:t>Nature de la modification</w:t>
            </w:r>
          </w:p>
        </w:tc>
      </w:tr>
      <w:tr w:rsidR="00361018" w:rsidTr="00292AC1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292AC1">
            <w:pPr>
              <w:jc w:val="center"/>
              <w:rPr>
                <w:sz w:val="16"/>
              </w:rPr>
            </w:pP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292AC1">
            <w:pPr>
              <w:jc w:val="center"/>
              <w:rPr>
                <w:color w:val="0000FF"/>
              </w:rPr>
            </w:pPr>
            <w:bookmarkStart w:id="1" w:name="autonew_date"/>
            <w:bookmarkEnd w:id="1"/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292AC1">
            <w:pPr>
              <w:jc w:val="center"/>
              <w:rPr>
                <w:caps/>
                <w:color w:val="0000FF"/>
              </w:rPr>
            </w:pPr>
            <w:bookmarkStart w:id="2" w:name="autonew_auteur"/>
            <w:bookmarkEnd w:id="2"/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292AC1">
            <w:bookmarkStart w:id="3" w:name="autonew_texte_catalogue"/>
            <w:bookmarkEnd w:id="3"/>
          </w:p>
        </w:tc>
      </w:tr>
      <w:tr w:rsidR="00361018" w:rsidTr="00292AC1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292AC1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292AC1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292AC1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292AC1"/>
        </w:tc>
      </w:tr>
      <w:tr w:rsidR="00361018" w:rsidTr="00292AC1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292AC1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292AC1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292AC1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292AC1"/>
        </w:tc>
      </w:tr>
      <w:tr w:rsidR="00361018" w:rsidTr="00292AC1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292AC1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292AC1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292AC1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292AC1"/>
        </w:tc>
      </w:tr>
      <w:tr w:rsidR="00361018" w:rsidTr="00292AC1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292AC1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292AC1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292AC1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61018" w:rsidRDefault="00361018" w:rsidP="00292AC1"/>
        </w:tc>
      </w:tr>
    </w:tbl>
    <w:p w:rsidR="00361018" w:rsidRDefault="00361018" w:rsidP="00361018"/>
    <w:p w:rsidR="00361018" w:rsidRDefault="00361018" w:rsidP="00361018">
      <w:pPr>
        <w:rPr>
          <w:b/>
          <w:sz w:val="36"/>
          <w:szCs w:val="36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fr-FR" w:eastAsia="fr-FR"/>
        </w:rPr>
        <w:id w:val="116642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361018" w:rsidRDefault="00361018" w:rsidP="00361018">
          <w:pPr>
            <w:pStyle w:val="En-ttedetabledesmatires"/>
          </w:pPr>
          <w:r>
            <w:rPr>
              <w:lang w:val="fr-FR"/>
            </w:rPr>
            <w:t>Plan du Document</w:t>
          </w:r>
        </w:p>
        <w:p w:rsidR="00361018" w:rsidRDefault="001B0223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1B0223">
            <w:fldChar w:fldCharType="begin"/>
          </w:r>
          <w:r w:rsidR="00361018">
            <w:instrText xml:space="preserve"> TOC \o "1-3" \h \z \u </w:instrText>
          </w:r>
          <w:r w:rsidRPr="001B0223">
            <w:fldChar w:fldCharType="separate"/>
          </w:r>
          <w:hyperlink w:anchor="_Toc309252181" w:history="1">
            <w:r w:rsidR="00361018" w:rsidRPr="009F5FDE">
              <w:rPr>
                <w:rStyle w:val="Lienhypertexte"/>
                <w:noProof/>
              </w:rPr>
              <w:t>1.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Analyse des risques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1B0223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2" w:history="1">
            <w:r w:rsidR="00361018" w:rsidRPr="009F5FDE">
              <w:rPr>
                <w:rStyle w:val="Lienhypertexte"/>
                <w:noProof/>
              </w:rPr>
              <w:t>1.1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Objet du document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1B0223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3" w:history="1">
            <w:r w:rsidR="00361018" w:rsidRPr="009F5FDE">
              <w:rPr>
                <w:rStyle w:val="Lienhypertexte"/>
                <w:noProof/>
              </w:rPr>
              <w:t>1.2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Principe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1B0223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84" w:history="1">
            <w:r w:rsidR="00361018" w:rsidRPr="009F5FDE">
              <w:rPr>
                <w:rStyle w:val="Lienhypertexte"/>
                <w:noProof/>
                <w:lang w:val="en-US"/>
              </w:rPr>
              <w:t>2.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Démarche générale: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1B0223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5" w:history="1">
            <w:r w:rsidR="00361018" w:rsidRPr="009F5FDE">
              <w:rPr>
                <w:rStyle w:val="Lienhypertexte"/>
                <w:noProof/>
              </w:rPr>
              <w:t>2.1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Identification des risques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1B0223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6" w:history="1">
            <w:r w:rsidR="00361018" w:rsidRPr="009F5FDE">
              <w:rPr>
                <w:rStyle w:val="Lienhypertexte"/>
                <w:noProof/>
              </w:rPr>
              <w:t>2.2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L’évaluation des risques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1B0223" w:rsidP="00361018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7" w:history="1">
            <w:r w:rsidR="00361018" w:rsidRPr="009F5FDE">
              <w:rPr>
                <w:rStyle w:val="Lienhypertexte"/>
                <w:noProof/>
              </w:rPr>
              <w:t>2.2.1</w:t>
            </w:r>
            <w:r w:rsidR="003610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Critères de cotation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1B0223" w:rsidP="00361018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8" w:history="1">
            <w:r w:rsidR="00361018" w:rsidRPr="009F5FDE">
              <w:rPr>
                <w:rStyle w:val="Lienhypertexte"/>
                <w:noProof/>
              </w:rPr>
              <w:t>2.2.2</w:t>
            </w:r>
            <w:r w:rsidR="003610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Matrice d’évaluation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1B0223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9" w:history="1">
            <w:r w:rsidR="00361018" w:rsidRPr="009F5FDE">
              <w:rPr>
                <w:rStyle w:val="Lienhypertexte"/>
                <w:noProof/>
              </w:rPr>
              <w:t>2.3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Plan d’actions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1B0223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90" w:history="1">
            <w:r w:rsidR="00361018" w:rsidRPr="009F5FDE">
              <w:rPr>
                <w:rStyle w:val="Lienhypertexte"/>
                <w:noProof/>
              </w:rPr>
              <w:t>3.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Conclusion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1B0223" w:rsidP="00361018">
          <w:r>
            <w:rPr>
              <w:b/>
              <w:bCs/>
            </w:rPr>
            <w:fldChar w:fldCharType="end"/>
          </w:r>
        </w:p>
      </w:sdtContent>
    </w:sdt>
    <w:p w:rsidR="00361018" w:rsidRDefault="00361018" w:rsidP="00361018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361018" w:rsidRDefault="00361018" w:rsidP="00361018">
      <w:pPr>
        <w:pStyle w:val="Titre1"/>
        <w:numPr>
          <w:ilvl w:val="0"/>
          <w:numId w:val="3"/>
        </w:numPr>
      </w:pPr>
      <w:r>
        <w:lastRenderedPageBreak/>
        <w:t>Analyse des risques :</w:t>
      </w:r>
    </w:p>
    <w:p w:rsidR="00361018" w:rsidRPr="00784458" w:rsidRDefault="00361018" w:rsidP="00361018">
      <w:pPr>
        <w:pStyle w:val="Titre2"/>
        <w:ind w:firstLine="360"/>
      </w:pPr>
      <w:r>
        <w:t xml:space="preserve">1.1 </w:t>
      </w:r>
      <w:r w:rsidRPr="00784458">
        <w:t>Objet du document 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sureté de fonctionnement ou la sécurité est un enjeu crucial dans la survie d’un projet. Cette considération repose principalement sur le concept de risque. 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risque dans un projet informatique est la probabilité qu’il ne s’exécute pas dans les délais demandés, et /ou selon les couts ou les spécifications convenues.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document a comme objectif de faire une analyse préliminaire des risques encourus par le projet en : 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Identifiant les facteurs de risque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Estimant les risques.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Evaluant l’acceptabilité des risques.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Mettant un plan d’action pour la gestion des risques.</w:t>
      </w:r>
    </w:p>
    <w:p w:rsidR="00361018" w:rsidRPr="001A7B50" w:rsidRDefault="00361018" w:rsidP="00361018">
      <w:pPr>
        <w:pStyle w:val="Titre2"/>
        <w:ind w:firstLine="360"/>
      </w:pPr>
      <w:r>
        <w:t>1.2</w:t>
      </w:r>
      <w:r w:rsidRPr="001A7B50">
        <w:t>Principe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complexité du projet requiert des réponses détaillées concernant certaines questions fondamentales pour la gestion des risques.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Ces questions se résument en : 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Comment identifier les éléments à risque ?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Après identification de ces derniers, quel impact ont-ils sur le déroulement du projet ?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 est le degré de gravité de chaque risque ?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document tend à dresser une liste de risque pouvant entraver la démarche seine du projet en limitant l’étendue et/ou la gravité des conséquences d’un accident sur les cibles vulnérables, ainsi qu’en prévenant les dangers potentiels en réduisant leurs probabilité d’occurrence.</w:t>
      </w:r>
    </w:p>
    <w:p w:rsidR="00361018" w:rsidRPr="00D427ED" w:rsidRDefault="00361018" w:rsidP="00361018">
      <w:pPr>
        <w:pStyle w:val="Titre1"/>
        <w:numPr>
          <w:ilvl w:val="0"/>
          <w:numId w:val="3"/>
        </w:numPr>
        <w:rPr>
          <w:i/>
          <w:iCs/>
        </w:rPr>
      </w:pPr>
      <w:r w:rsidRPr="002313D6">
        <w:t>Démarche générale</w:t>
      </w:r>
      <w:r>
        <w:t> :</w:t>
      </w:r>
    </w:p>
    <w:p w:rsidR="00361018" w:rsidRPr="00690716" w:rsidRDefault="00361018" w:rsidP="00361018">
      <w:pPr>
        <w:pStyle w:val="Titre2"/>
        <w:ind w:firstLine="360"/>
      </w:pPr>
      <w:r>
        <w:t xml:space="preserve">2.1 </w:t>
      </w:r>
      <w:r w:rsidRPr="00690716">
        <w:t>Identification des risques</w:t>
      </w:r>
    </w:p>
    <w:p w:rsidR="00361018" w:rsidRDefault="00361018" w:rsidP="00361018">
      <w:pPr>
        <w:pStyle w:val="Titre3"/>
        <w:ind w:firstLine="708"/>
      </w:pPr>
      <w:r>
        <w:t>2.1.1Critères de cotation :</w:t>
      </w:r>
    </w:p>
    <w:tbl>
      <w:tblPr>
        <w:tblStyle w:val="Grilledutableau"/>
        <w:tblpPr w:leftFromText="141" w:rightFromText="141" w:vertAnchor="text" w:horzAnchor="margin" w:tblpXSpec="center" w:tblpY="378"/>
        <w:tblW w:w="11764" w:type="dxa"/>
        <w:tblLook w:val="04A0"/>
      </w:tblPr>
      <w:tblGrid>
        <w:gridCol w:w="723"/>
        <w:gridCol w:w="1469"/>
        <w:gridCol w:w="4196"/>
        <w:gridCol w:w="4189"/>
        <w:gridCol w:w="1187"/>
      </w:tblGrid>
      <w:tr w:rsidR="002E0491" w:rsidTr="00292AC1">
        <w:trPr>
          <w:trHeight w:val="894"/>
        </w:trPr>
        <w:tc>
          <w:tcPr>
            <w:tcW w:w="0" w:type="auto"/>
          </w:tcPr>
          <w:p w:rsidR="00361018" w:rsidRPr="00D723A0" w:rsidRDefault="00361018" w:rsidP="00292AC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Pr="00D723A0" w:rsidRDefault="00361018" w:rsidP="00292AC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</w:t>
            </w:r>
            <w:r w:rsidR="00A86B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61018" w:rsidRPr="00D723A0" w:rsidRDefault="00361018" w:rsidP="00292AC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Faits</w:t>
            </w:r>
          </w:p>
        </w:tc>
        <w:tc>
          <w:tcPr>
            <w:tcW w:w="0" w:type="auto"/>
          </w:tcPr>
          <w:p w:rsidR="00361018" w:rsidRPr="00D723A0" w:rsidRDefault="00361018" w:rsidP="00292AC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Risque</w:t>
            </w:r>
          </w:p>
        </w:tc>
        <w:tc>
          <w:tcPr>
            <w:tcW w:w="0" w:type="auto"/>
          </w:tcPr>
          <w:p w:rsidR="00361018" w:rsidRDefault="002E0491" w:rsidP="00292AC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</w:t>
            </w:r>
            <w:r w:rsidR="003610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négatif sur…</w:t>
            </w:r>
          </w:p>
        </w:tc>
      </w:tr>
      <w:tr w:rsidR="002E0491" w:rsidTr="00292AC1">
        <w:trPr>
          <w:trHeight w:val="894"/>
        </w:trPr>
        <w:tc>
          <w:tcPr>
            <w:tcW w:w="0" w:type="auto"/>
          </w:tcPr>
          <w:p w:rsidR="00361018" w:rsidRDefault="00933385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111CF5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225166" w:rsidRDefault="00361018" w:rsidP="0022516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 membres d</w:t>
            </w:r>
            <w:r w:rsidR="002F63FF">
              <w:rPr>
                <w:rFonts w:asciiTheme="majorBidi" w:hAnsiTheme="majorBidi" w:cstheme="majorBidi"/>
                <w:sz w:val="24"/>
                <w:szCs w:val="24"/>
              </w:rPr>
              <w:t xml:space="preserve">u groupe ne maitrisent pas </w:t>
            </w:r>
            <w:r w:rsidR="00715F1F">
              <w:rPr>
                <w:rFonts w:asciiTheme="majorBidi" w:hAnsiTheme="majorBidi" w:cstheme="majorBidi"/>
                <w:sz w:val="24"/>
                <w:szCs w:val="24"/>
              </w:rPr>
              <w:t>ActiveMQ</w:t>
            </w:r>
            <w:r w:rsidR="002F63FF">
              <w:rPr>
                <w:rFonts w:asciiTheme="majorBidi" w:hAnsiTheme="majorBidi" w:cstheme="majorBidi"/>
                <w:sz w:val="24"/>
                <w:szCs w:val="24"/>
              </w:rPr>
              <w:t xml:space="preserve"> qui</w:t>
            </w:r>
            <w:r w:rsidR="00715F1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F63FF">
              <w:rPr>
                <w:rFonts w:asciiTheme="majorBidi" w:hAnsiTheme="majorBidi" w:cstheme="majorBidi"/>
                <w:sz w:val="24"/>
                <w:szCs w:val="24"/>
              </w:rPr>
              <w:t>représente</w:t>
            </w:r>
            <w:r w:rsidR="00FE5D1F">
              <w:rPr>
                <w:rFonts w:asciiTheme="majorBidi" w:hAnsiTheme="majorBidi" w:cstheme="majorBidi"/>
                <w:sz w:val="24"/>
                <w:szCs w:val="24"/>
              </w:rPr>
              <w:t xml:space="preserve"> une technologie cruciale pour faire </w:t>
            </w:r>
            <w:r w:rsidR="00FE5D1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communiquer le composant RTDG et le composant RTDRS</w:t>
            </w:r>
          </w:p>
        </w:tc>
        <w:tc>
          <w:tcPr>
            <w:tcW w:w="0" w:type="auto"/>
          </w:tcPr>
          <w:p w:rsidR="00361018" w:rsidRDefault="00933D67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-</w:t>
            </w:r>
            <w:r w:rsidR="00361018">
              <w:rPr>
                <w:rFonts w:asciiTheme="majorBidi" w:hAnsiTheme="majorBidi" w:cstheme="majorBidi"/>
                <w:sz w:val="24"/>
                <w:szCs w:val="24"/>
              </w:rPr>
              <w:t>Risque</w:t>
            </w:r>
            <w:r w:rsidR="00F65CF0">
              <w:rPr>
                <w:rFonts w:asciiTheme="majorBidi" w:hAnsiTheme="majorBidi" w:cstheme="majorBidi"/>
                <w:sz w:val="24"/>
                <w:szCs w:val="24"/>
              </w:rPr>
              <w:t xml:space="preserve"> que le composa</w:t>
            </w:r>
            <w:r w:rsidR="00DB15C0">
              <w:rPr>
                <w:rFonts w:asciiTheme="majorBidi" w:hAnsiTheme="majorBidi" w:cstheme="majorBidi"/>
                <w:sz w:val="24"/>
                <w:szCs w:val="24"/>
              </w:rPr>
              <w:t>nt RTDRS ne reçoive</w:t>
            </w:r>
            <w:r w:rsidR="00F65CF0">
              <w:rPr>
                <w:rFonts w:asciiTheme="majorBidi" w:hAnsiTheme="majorBidi" w:cstheme="majorBidi"/>
                <w:sz w:val="24"/>
                <w:szCs w:val="24"/>
              </w:rPr>
              <w:t xml:space="preserve"> pas les informations terrains </w:t>
            </w:r>
            <w:r w:rsidR="00A918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65CF0">
              <w:rPr>
                <w:rFonts w:asciiTheme="majorBidi" w:hAnsiTheme="majorBidi" w:cstheme="majorBidi"/>
                <w:sz w:val="24"/>
                <w:szCs w:val="24"/>
              </w:rPr>
              <w:t>par l’intermédiaire du composant RTDG.</w:t>
            </w:r>
          </w:p>
          <w:p w:rsidR="00F65CF0" w:rsidRDefault="00933D67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-</w:t>
            </w:r>
            <w:r w:rsidR="00F65CF0">
              <w:rPr>
                <w:rFonts w:asciiTheme="majorBidi" w:hAnsiTheme="majorBidi" w:cstheme="majorBidi"/>
                <w:sz w:val="24"/>
                <w:szCs w:val="24"/>
              </w:rPr>
              <w:t>Risque que le composant RTDG</w:t>
            </w:r>
            <w:r w:rsidR="00225166">
              <w:rPr>
                <w:rFonts w:asciiTheme="majorBidi" w:hAnsiTheme="majorBidi" w:cstheme="majorBidi"/>
                <w:sz w:val="24"/>
                <w:szCs w:val="24"/>
              </w:rPr>
              <w:t xml:space="preserve"> ne reçoive</w:t>
            </w:r>
            <w:r w:rsidR="00774153">
              <w:rPr>
                <w:rFonts w:asciiTheme="majorBidi" w:hAnsiTheme="majorBidi" w:cstheme="majorBidi"/>
                <w:sz w:val="24"/>
                <w:szCs w:val="24"/>
              </w:rPr>
              <w:t xml:space="preserve"> pas les informations,</w:t>
            </w:r>
            <w:r w:rsidR="00993BD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F5F54">
              <w:rPr>
                <w:rFonts w:asciiTheme="majorBidi" w:hAnsiTheme="majorBidi" w:cstheme="majorBidi"/>
                <w:sz w:val="24"/>
                <w:szCs w:val="24"/>
              </w:rPr>
              <w:t xml:space="preserve">représentant les ordres de contre-mesures </w:t>
            </w:r>
            <w:r w:rsidR="00292AC1">
              <w:rPr>
                <w:rFonts w:asciiTheme="majorBidi" w:hAnsiTheme="majorBidi" w:cstheme="majorBidi"/>
                <w:sz w:val="24"/>
                <w:szCs w:val="24"/>
              </w:rPr>
              <w:t>du composant RT</w:t>
            </w:r>
            <w:r w:rsidR="00774153">
              <w:rPr>
                <w:rFonts w:asciiTheme="majorBidi" w:hAnsiTheme="majorBidi" w:cstheme="majorBidi"/>
                <w:sz w:val="24"/>
                <w:szCs w:val="24"/>
              </w:rPr>
              <w:t>DRS</w:t>
            </w:r>
          </w:p>
        </w:tc>
        <w:tc>
          <w:tcPr>
            <w:tcW w:w="0" w:type="auto"/>
          </w:tcPr>
          <w:p w:rsidR="00361018" w:rsidRDefault="00361018" w:rsidP="00BD4B3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Délai</w:t>
            </w:r>
          </w:p>
        </w:tc>
      </w:tr>
      <w:tr w:rsidR="002E0491" w:rsidTr="00292AC1">
        <w:trPr>
          <w:trHeight w:val="936"/>
        </w:trPr>
        <w:tc>
          <w:tcPr>
            <w:tcW w:w="0" w:type="auto"/>
          </w:tcPr>
          <w:p w:rsidR="00361018" w:rsidRDefault="00F53B46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675E0F" w:rsidRDefault="00675E0F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Complexité de la configuration </w:t>
            </w:r>
            <w:r w:rsidR="00710263">
              <w:rPr>
                <w:rFonts w:asciiTheme="majorBidi" w:hAnsiTheme="majorBidi" w:cstheme="majorBidi"/>
                <w:sz w:val="24"/>
                <w:szCs w:val="24"/>
              </w:rPr>
              <w:t>et de la mise en place des dépendances</w:t>
            </w:r>
            <w:r w:rsidR="00F15377">
              <w:rPr>
                <w:rFonts w:asciiTheme="majorBidi" w:hAnsiTheme="majorBidi" w:cstheme="majorBidi"/>
                <w:sz w:val="24"/>
                <w:szCs w:val="24"/>
              </w:rPr>
              <w:t xml:space="preserve"> au niveau de l’environnement de simulation</w:t>
            </w:r>
            <w:r w:rsidR="0071026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que l’environnement de simulation ne s’exécute pas sur n’importe quel réseau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2E0491" w:rsidTr="00292AC1">
        <w:trPr>
          <w:trHeight w:val="936"/>
        </w:trPr>
        <w:tc>
          <w:tcPr>
            <w:tcW w:w="0" w:type="auto"/>
          </w:tcPr>
          <w:p w:rsidR="00361018" w:rsidRDefault="00007269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CF2BFC" w:rsidP="002E049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Difficulté de mise en place des </w:t>
            </w:r>
            <w:r w:rsidR="00361018">
              <w:rPr>
                <w:rFonts w:asciiTheme="majorBidi" w:hAnsiTheme="majorBidi" w:cstheme="majorBidi"/>
                <w:sz w:val="24"/>
                <w:szCs w:val="24"/>
              </w:rPr>
              <w:t xml:space="preserve">algorithmes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 réplication</w:t>
            </w:r>
            <w:r w:rsidR="002E049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361018" w:rsidRDefault="002E0491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Perte de données dans le cas où le composant </w:t>
            </w:r>
            <w:r w:rsidR="0020759F">
              <w:rPr>
                <w:rFonts w:asciiTheme="majorBidi" w:hAnsiTheme="majorBidi" w:cstheme="majorBidi"/>
                <w:sz w:val="24"/>
                <w:szCs w:val="24"/>
              </w:rPr>
              <w:t xml:space="preserve">RTDS </w:t>
            </w:r>
            <w:r w:rsidR="00B62E35">
              <w:rPr>
                <w:rFonts w:asciiTheme="majorBidi" w:hAnsiTheme="majorBidi" w:cstheme="majorBidi"/>
                <w:sz w:val="24"/>
                <w:szCs w:val="24"/>
              </w:rPr>
              <w:t>contenant les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donnée</w:t>
            </w:r>
            <w:r w:rsidR="00B62E35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tombe en panne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2E0491" w:rsidTr="00292AC1">
        <w:trPr>
          <w:trHeight w:val="936"/>
        </w:trPr>
        <w:tc>
          <w:tcPr>
            <w:tcW w:w="0" w:type="auto"/>
          </w:tcPr>
          <w:p w:rsidR="002F63FF" w:rsidRDefault="00007269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F63FF" w:rsidRDefault="002F63FF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2F63FF" w:rsidRDefault="002F63FF" w:rsidP="002F63F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de l’algorithme d’équilibrage de charge</w:t>
            </w:r>
            <w:r w:rsidR="009950E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F63FF" w:rsidRDefault="002E0491" w:rsidP="002E049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surcharge d’un composant RTDG qui ne pourra traiter les requêtes qui lui ont été envoyées que ce soit de la part du RTDRS ou du composant embarqué.</w:t>
            </w:r>
          </w:p>
        </w:tc>
        <w:tc>
          <w:tcPr>
            <w:tcW w:w="0" w:type="auto"/>
          </w:tcPr>
          <w:p w:rsidR="002F63FF" w:rsidRDefault="00836969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063AE2" w:rsidTr="00292AC1">
        <w:trPr>
          <w:trHeight w:val="936"/>
        </w:trPr>
        <w:tc>
          <w:tcPr>
            <w:tcW w:w="0" w:type="auto"/>
          </w:tcPr>
          <w:p w:rsidR="00063AE2" w:rsidRDefault="009D0861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63AE2" w:rsidRDefault="00254A1C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063AE2" w:rsidRDefault="00870949" w:rsidP="002F63F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</w:t>
            </w:r>
            <w:r w:rsidR="00B67340">
              <w:rPr>
                <w:rFonts w:asciiTheme="majorBidi" w:hAnsiTheme="majorBidi" w:cstheme="majorBidi"/>
                <w:sz w:val="24"/>
                <w:szCs w:val="24"/>
              </w:rPr>
              <w:t>e création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d’un environnement de temps réel</w:t>
            </w:r>
          </w:p>
        </w:tc>
        <w:tc>
          <w:tcPr>
            <w:tcW w:w="0" w:type="auto"/>
          </w:tcPr>
          <w:p w:rsidR="00063AE2" w:rsidRDefault="00641E67" w:rsidP="002E049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Risque de réponses tardives </w:t>
            </w:r>
            <w:r w:rsidR="00A2644D">
              <w:rPr>
                <w:rFonts w:asciiTheme="majorBidi" w:hAnsiTheme="majorBidi" w:cstheme="majorBidi"/>
                <w:sz w:val="24"/>
                <w:szCs w:val="24"/>
              </w:rPr>
              <w:t xml:space="preserve">aux messages </w:t>
            </w:r>
            <w:r w:rsidR="00A54925">
              <w:rPr>
                <w:rFonts w:asciiTheme="majorBidi" w:hAnsiTheme="majorBidi" w:cstheme="majorBidi"/>
                <w:sz w:val="24"/>
                <w:szCs w:val="24"/>
              </w:rPr>
              <w:t>du composant embarqué</w:t>
            </w:r>
            <w:r w:rsidR="008A6290">
              <w:rPr>
                <w:rFonts w:asciiTheme="majorBidi" w:hAnsiTheme="majorBidi" w:cstheme="majorBidi"/>
                <w:sz w:val="24"/>
                <w:szCs w:val="24"/>
              </w:rPr>
              <w:t xml:space="preserve"> qui doivent respecter la contrainte du temps réel</w:t>
            </w:r>
          </w:p>
        </w:tc>
        <w:tc>
          <w:tcPr>
            <w:tcW w:w="0" w:type="auto"/>
          </w:tcPr>
          <w:p w:rsidR="00063AE2" w:rsidRDefault="00003763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</w:tbl>
    <w:p w:rsidR="00361018" w:rsidRPr="002313D6" w:rsidRDefault="00361018" w:rsidP="00361018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361018" w:rsidRPr="00E25B5E" w:rsidRDefault="00361018" w:rsidP="00361018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Degrés d’impact :</w:t>
      </w:r>
    </w:p>
    <w:tbl>
      <w:tblPr>
        <w:tblStyle w:val="Grilledutableau"/>
        <w:tblW w:w="9376" w:type="dxa"/>
        <w:tblLook w:val="04A0"/>
      </w:tblPr>
      <w:tblGrid>
        <w:gridCol w:w="1745"/>
        <w:gridCol w:w="7631"/>
      </w:tblGrid>
      <w:tr w:rsidR="00361018" w:rsidTr="00292AC1">
        <w:trPr>
          <w:trHeight w:val="521"/>
        </w:trPr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Cotation 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361018" w:rsidTr="00292AC1">
        <w:trPr>
          <w:trHeight w:val="521"/>
        </w:trPr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Aucun risque</w:t>
            </w:r>
          </w:p>
        </w:tc>
      </w:tr>
      <w:tr w:rsidR="00361018" w:rsidTr="00292AC1">
        <w:trPr>
          <w:trHeight w:val="521"/>
        </w:trPr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mineur</w:t>
            </w:r>
          </w:p>
        </w:tc>
      </w:tr>
      <w:tr w:rsidR="00361018" w:rsidTr="00292AC1">
        <w:trPr>
          <w:trHeight w:val="521"/>
        </w:trPr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significatif, mais maitrisable</w:t>
            </w:r>
          </w:p>
        </w:tc>
      </w:tr>
      <w:tr w:rsidR="00361018" w:rsidTr="00292AC1">
        <w:trPr>
          <w:trHeight w:val="547"/>
        </w:trPr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grave pénalisant</w:t>
            </w:r>
          </w:p>
        </w:tc>
      </w:tr>
    </w:tbl>
    <w:p w:rsidR="00361018" w:rsidRPr="00115F51" w:rsidRDefault="00361018" w:rsidP="00361018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Barème de probabilité :</w:t>
      </w:r>
    </w:p>
    <w:tbl>
      <w:tblPr>
        <w:tblStyle w:val="Grilledutableau"/>
        <w:tblW w:w="9623" w:type="dxa"/>
        <w:tblLook w:val="04A0"/>
      </w:tblPr>
      <w:tblGrid>
        <w:gridCol w:w="2448"/>
        <w:gridCol w:w="7175"/>
      </w:tblGrid>
      <w:tr w:rsidR="00361018" w:rsidTr="00292AC1">
        <w:trPr>
          <w:trHeight w:val="446"/>
        </w:trPr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361018" w:rsidTr="00292AC1">
        <w:trPr>
          <w:trHeight w:val="446"/>
        </w:trPr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Quasiment inévitable</w:t>
            </w:r>
          </w:p>
        </w:tc>
      </w:tr>
      <w:tr w:rsidR="00361018" w:rsidTr="00292AC1">
        <w:trPr>
          <w:trHeight w:val="446"/>
        </w:trPr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de grandes chances de se produire</w:t>
            </w:r>
          </w:p>
        </w:tc>
      </w:tr>
      <w:tr w:rsidR="00361018" w:rsidTr="00292AC1">
        <w:trPr>
          <w:trHeight w:val="467"/>
        </w:trPr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Peut se produire</w:t>
            </w:r>
          </w:p>
        </w:tc>
      </w:tr>
      <w:tr w:rsidR="00361018" w:rsidTr="00292AC1">
        <w:trPr>
          <w:trHeight w:val="467"/>
        </w:trPr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peu de chances de se produire</w:t>
            </w:r>
          </w:p>
        </w:tc>
      </w:tr>
    </w:tbl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pStyle w:val="Titre3"/>
        <w:ind w:firstLine="708"/>
      </w:pPr>
      <w:r>
        <w:lastRenderedPageBreak/>
        <w:t>2.1.2Matrice d’évaluation</w:t>
      </w:r>
    </w:p>
    <w:p w:rsidR="00361018" w:rsidRPr="009D56D1" w:rsidRDefault="00361018" w:rsidP="00361018"/>
    <w:tbl>
      <w:tblPr>
        <w:tblStyle w:val="Grilledutableau"/>
        <w:tblW w:w="10065" w:type="dxa"/>
        <w:tblLook w:val="04A0"/>
      </w:tblPr>
      <w:tblGrid>
        <w:gridCol w:w="1162"/>
        <w:gridCol w:w="2118"/>
        <w:gridCol w:w="3017"/>
        <w:gridCol w:w="1561"/>
        <w:gridCol w:w="2207"/>
      </w:tblGrid>
      <w:tr w:rsidR="00361018" w:rsidTr="00292AC1">
        <w:trPr>
          <w:trHeight w:val="665"/>
        </w:trPr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Degrés d’impact</w:t>
            </w:r>
          </w:p>
        </w:tc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Gravité</w:t>
            </w:r>
          </w:p>
        </w:tc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Classement</w:t>
            </w:r>
          </w:p>
        </w:tc>
      </w:tr>
      <w:tr w:rsidR="00361018" w:rsidTr="00292AC1">
        <w:trPr>
          <w:trHeight w:val="665"/>
        </w:trPr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CA46C6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58080E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51309D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61018" w:rsidRDefault="00096289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361018" w:rsidTr="00292AC1">
        <w:trPr>
          <w:trHeight w:val="665"/>
        </w:trPr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BD7E9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8C429A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61018" w:rsidRDefault="00FD017C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61018" w:rsidTr="00292AC1">
        <w:trPr>
          <w:trHeight w:val="665"/>
        </w:trPr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6F0755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6F0755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361018" w:rsidRDefault="008A140D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61018" w:rsidTr="00292AC1">
        <w:trPr>
          <w:trHeight w:val="697"/>
        </w:trPr>
        <w:tc>
          <w:tcPr>
            <w:tcW w:w="0" w:type="auto"/>
          </w:tcPr>
          <w:p w:rsidR="00361018" w:rsidRDefault="00D125E6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6E6EB7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6E6EB7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61018" w:rsidRDefault="00096289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361018" w:rsidTr="00292AC1">
        <w:trPr>
          <w:trHeight w:val="697"/>
        </w:trPr>
        <w:tc>
          <w:tcPr>
            <w:tcW w:w="0" w:type="auto"/>
          </w:tcPr>
          <w:p w:rsidR="00361018" w:rsidRDefault="000E33F6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FA1F2B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FF037D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A32B94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D4130B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61018" w:rsidRDefault="009E2FBC" w:rsidP="00292A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pStyle w:val="Titre2"/>
      </w:pPr>
      <w:r>
        <w:t xml:space="preserve">2.2 </w:t>
      </w:r>
      <w:r w:rsidRPr="00015B93">
        <w:t>Plan d’action :</w:t>
      </w:r>
    </w:p>
    <w:p w:rsidR="00361018" w:rsidRPr="00D240F2" w:rsidRDefault="00361018" w:rsidP="00361018"/>
    <w:tbl>
      <w:tblPr>
        <w:tblStyle w:val="Grilledutableau"/>
        <w:tblW w:w="10391" w:type="dxa"/>
        <w:tblInd w:w="-654" w:type="dxa"/>
        <w:tblLook w:val="04A0"/>
      </w:tblPr>
      <w:tblGrid>
        <w:gridCol w:w="723"/>
        <w:gridCol w:w="1481"/>
        <w:gridCol w:w="8187"/>
      </w:tblGrid>
      <w:tr w:rsidR="00531678" w:rsidTr="00292AC1">
        <w:trPr>
          <w:trHeight w:val="932"/>
        </w:trPr>
        <w:tc>
          <w:tcPr>
            <w:tcW w:w="0" w:type="auto"/>
          </w:tcPr>
          <w:p w:rsidR="00361018" w:rsidRPr="00DD4925" w:rsidRDefault="00361018" w:rsidP="00292AC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Pr="00DD4925" w:rsidRDefault="00361018" w:rsidP="00292AC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 du risque</w:t>
            </w:r>
          </w:p>
        </w:tc>
        <w:tc>
          <w:tcPr>
            <w:tcW w:w="0" w:type="auto"/>
          </w:tcPr>
          <w:p w:rsidR="00361018" w:rsidRPr="00DD4925" w:rsidRDefault="00361018" w:rsidP="00292AC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d’action</w:t>
            </w:r>
          </w:p>
        </w:tc>
      </w:tr>
      <w:tr w:rsidR="00531678" w:rsidTr="00292AC1">
        <w:trPr>
          <w:trHeight w:val="1827"/>
        </w:trPr>
        <w:tc>
          <w:tcPr>
            <w:tcW w:w="0" w:type="auto"/>
          </w:tcPr>
          <w:p w:rsidR="00361018" w:rsidRDefault="00756A0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202603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05A39" w:rsidRDefault="00005A39" w:rsidP="00005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-Documentation </w:t>
            </w:r>
            <w:r w:rsidR="00562C19">
              <w:rPr>
                <w:rFonts w:asciiTheme="majorBidi" w:hAnsiTheme="majorBidi" w:cstheme="majorBidi"/>
                <w:sz w:val="24"/>
                <w:szCs w:val="24"/>
              </w:rPr>
              <w:t>sur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ActiveMQ : « ActiveMQ in action »</w:t>
            </w:r>
            <w:r w:rsidR="00F744DF">
              <w:rPr>
                <w:rFonts w:asciiTheme="majorBidi" w:hAnsiTheme="majorBidi" w:cstheme="majorBidi"/>
                <w:sz w:val="24"/>
                <w:szCs w:val="24"/>
              </w:rPr>
              <w:t xml:space="preserve"> de Bruce Snyder</w:t>
            </w:r>
            <w:r w:rsidR="00880A6D">
              <w:rPr>
                <w:rFonts w:asciiTheme="majorBidi" w:hAnsiTheme="majorBidi" w:cstheme="majorBidi"/>
                <w:sz w:val="24"/>
                <w:szCs w:val="24"/>
              </w:rPr>
              <w:t xml:space="preserve"> disponible </w:t>
            </w:r>
            <w:r w:rsidR="00E96A8D">
              <w:rPr>
                <w:rFonts w:asciiTheme="majorBidi" w:hAnsiTheme="majorBidi" w:cstheme="majorBidi"/>
                <w:sz w:val="24"/>
                <w:szCs w:val="24"/>
              </w:rPr>
              <w:t>en format papier et ebook</w:t>
            </w:r>
          </w:p>
          <w:p w:rsidR="00944BF3" w:rsidRDefault="00804A60" w:rsidP="00D521B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Formation Samedi 08/12/12</w:t>
            </w:r>
            <w:r w:rsidR="00D521B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en ActiveMQ avec Mr Redouane Qarra</w:t>
            </w:r>
          </w:p>
        </w:tc>
      </w:tr>
      <w:tr w:rsidR="00531678" w:rsidTr="00292AC1">
        <w:trPr>
          <w:trHeight w:val="924"/>
        </w:trPr>
        <w:tc>
          <w:tcPr>
            <w:tcW w:w="0" w:type="auto"/>
          </w:tcPr>
          <w:p w:rsidR="00361018" w:rsidRDefault="00B41FE1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F0502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-Conception d’un système de simulation</w:t>
            </w:r>
            <w:r w:rsidR="00F0502E">
              <w:rPr>
                <w:rFonts w:asciiTheme="majorBidi" w:hAnsiTheme="majorBidi" w:cstheme="majorBidi"/>
                <w:sz w:val="24"/>
                <w:szCs w:val="24"/>
              </w:rPr>
              <w:t xml:space="preserve"> paramétrable</w:t>
            </w:r>
            <w:r w:rsidR="00BE2D87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57291C">
              <w:rPr>
                <w:rFonts w:asciiTheme="majorBidi" w:hAnsiTheme="majorBidi" w:cstheme="majorBidi"/>
                <w:sz w:val="24"/>
                <w:szCs w:val="24"/>
              </w:rPr>
              <w:t>il prend la taille du</w:t>
            </w:r>
            <w:r w:rsidR="00DE1461">
              <w:rPr>
                <w:rFonts w:asciiTheme="majorBidi" w:hAnsiTheme="majorBidi" w:cstheme="majorBidi"/>
                <w:sz w:val="24"/>
                <w:szCs w:val="24"/>
              </w:rPr>
              <w:t xml:space="preserve"> réseau en paramètre et s’adapte à ce</w:t>
            </w:r>
            <w:r w:rsidR="00466730">
              <w:rPr>
                <w:rFonts w:asciiTheme="majorBidi" w:hAnsiTheme="majorBidi" w:cstheme="majorBidi"/>
                <w:sz w:val="24"/>
                <w:szCs w:val="24"/>
              </w:rPr>
              <w:t>tte derniè</w:t>
            </w:r>
            <w:r w:rsidR="00DE1461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466730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BE2D8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531678" w:rsidTr="00292AC1">
        <w:trPr>
          <w:trHeight w:val="924"/>
        </w:trPr>
        <w:tc>
          <w:tcPr>
            <w:tcW w:w="0" w:type="auto"/>
          </w:tcPr>
          <w:p w:rsidR="00361018" w:rsidRDefault="00F90ABA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965E89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C20930" w:rsidRDefault="00CD4FED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algorithmes de réplication</w:t>
            </w:r>
          </w:p>
          <w:p w:rsidR="0070621B" w:rsidRDefault="0070621B" w:rsidP="00ED0FA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-Documentation sur les </w:t>
            </w:r>
            <w:r w:rsidR="00ED0FAB">
              <w:rPr>
                <w:rFonts w:asciiTheme="majorBidi" w:hAnsiTheme="majorBidi" w:cstheme="majorBidi"/>
                <w:sz w:val="24"/>
                <w:szCs w:val="24"/>
              </w:rPr>
              <w:t>types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C04BE">
              <w:rPr>
                <w:rFonts w:asciiTheme="majorBidi" w:hAnsiTheme="majorBidi" w:cstheme="majorBidi"/>
                <w:sz w:val="24"/>
                <w:szCs w:val="24"/>
              </w:rPr>
              <w:t>de réplication</w:t>
            </w:r>
            <w:r w:rsidR="00C845CB">
              <w:rPr>
                <w:rFonts w:asciiTheme="majorBidi" w:hAnsiTheme="majorBidi" w:cstheme="majorBidi"/>
                <w:sz w:val="24"/>
                <w:szCs w:val="24"/>
              </w:rPr>
              <w:t xml:space="preserve"> possibles</w:t>
            </w:r>
            <w:r w:rsidR="003C04BE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ED0FAB">
              <w:rPr>
                <w:rFonts w:asciiTheme="majorBidi" w:hAnsiTheme="majorBidi" w:cstheme="majorBidi"/>
                <w:sz w:val="24"/>
                <w:szCs w:val="24"/>
              </w:rPr>
              <w:t>réplication de capture instantanée,</w:t>
            </w:r>
            <w:r w:rsidR="00C0529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D0FAB">
              <w:rPr>
                <w:rFonts w:asciiTheme="majorBidi" w:hAnsiTheme="majorBidi" w:cstheme="majorBidi"/>
                <w:sz w:val="24"/>
                <w:szCs w:val="24"/>
              </w:rPr>
              <w:t>réplication transactionnelle</w:t>
            </w:r>
            <w:r w:rsidR="00C0529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58792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31678">
              <w:rPr>
                <w:rFonts w:asciiTheme="majorBidi" w:hAnsiTheme="majorBidi" w:cstheme="majorBidi"/>
                <w:sz w:val="24"/>
                <w:szCs w:val="24"/>
              </w:rPr>
              <w:t>réplication de fusion</w:t>
            </w:r>
            <w:r w:rsidR="003C04BE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BA04B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936DB8" w:rsidRPr="00D715D9" w:rsidRDefault="00936DB8" w:rsidP="00591178">
            <w:pPr>
              <w:jc w:val="both"/>
              <w:rPr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Sitewe</w:t>
            </w:r>
            <w:r w:rsidR="003A17DD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591178">
              <w:rPr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  <w:t>http://msdn.microsoft.com/fr</w:t>
            </w:r>
            <w:r w:rsidR="003A17DD" w:rsidRPr="00D715D9">
              <w:rPr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  <w:t>fr/library/ms152565%28v=sql.105%29.aspx</w:t>
            </w:r>
          </w:p>
          <w:p w:rsidR="005A6738" w:rsidRDefault="005A6738" w:rsidP="009A168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7479F5">
              <w:rPr>
                <w:rFonts w:asciiTheme="majorBidi" w:hAnsiTheme="majorBidi" w:cstheme="majorBidi"/>
                <w:sz w:val="24"/>
                <w:szCs w:val="24"/>
              </w:rPr>
              <w:t>Définition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 prototypes </w:t>
            </w:r>
          </w:p>
        </w:tc>
      </w:tr>
      <w:tr w:rsidR="00531678" w:rsidTr="00292AC1">
        <w:trPr>
          <w:trHeight w:val="924"/>
        </w:trPr>
        <w:tc>
          <w:tcPr>
            <w:tcW w:w="0" w:type="auto"/>
          </w:tcPr>
          <w:p w:rsidR="00361018" w:rsidRDefault="001E3FB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</w:t>
            </w:r>
            <w:r w:rsidR="00980A2B">
              <w:rPr>
                <w:rFonts w:asciiTheme="majorBidi" w:hAnsiTheme="majorBidi" w:cstheme="majorBidi"/>
                <w:sz w:val="24"/>
                <w:szCs w:val="24"/>
              </w:rPr>
              <w:t xml:space="preserve">r les algorithmes </w:t>
            </w:r>
            <w:r w:rsidR="00666E96">
              <w:rPr>
                <w:rFonts w:asciiTheme="majorBidi" w:hAnsiTheme="majorBidi" w:cstheme="majorBidi"/>
                <w:sz w:val="24"/>
                <w:szCs w:val="24"/>
              </w:rPr>
              <w:t xml:space="preserve">d’équilibrage de charge </w:t>
            </w:r>
          </w:p>
          <w:p w:rsidR="00F43E46" w:rsidRDefault="00361018" w:rsidP="00F43E46">
            <w:pPr>
              <w:jc w:val="both"/>
              <w:rPr>
                <w:rFonts w:asciiTheme="majorBidi" w:hAnsiTheme="majorBidi" w:cstheme="majorBidi"/>
              </w:rPr>
            </w:pPr>
            <w:r w:rsidRPr="00D6713D">
              <w:rPr>
                <w:rFonts w:asciiTheme="majorBidi" w:hAnsiTheme="majorBidi" w:cstheme="majorBidi"/>
              </w:rPr>
              <w:t>-</w:t>
            </w:r>
            <w:r w:rsidR="00D6713D">
              <w:rPr>
                <w:rFonts w:asciiTheme="majorBidi" w:hAnsiTheme="majorBidi" w:cstheme="majorBidi"/>
              </w:rPr>
              <w:t>Estimation du</w:t>
            </w:r>
            <w:r w:rsidR="00D6713D" w:rsidRPr="00D6713D">
              <w:rPr>
                <w:rFonts w:asciiTheme="majorBidi" w:hAnsiTheme="majorBidi" w:cstheme="majorBidi"/>
              </w:rPr>
              <w:t xml:space="preserve"> temps d'indisponibilité toléré sur </w:t>
            </w:r>
            <w:r w:rsidR="00D6713D">
              <w:rPr>
                <w:rFonts w:asciiTheme="majorBidi" w:hAnsiTheme="majorBidi" w:cstheme="majorBidi"/>
              </w:rPr>
              <w:t>une durée donnée (</w:t>
            </w:r>
            <w:r w:rsidR="00D6713D" w:rsidRPr="00D6713D">
              <w:rPr>
                <w:rFonts w:asciiTheme="majorBidi" w:hAnsiTheme="majorBidi" w:cstheme="majorBidi"/>
              </w:rPr>
              <w:t>un an</w:t>
            </w:r>
            <w:r w:rsidR="00D6713D">
              <w:rPr>
                <w:rFonts w:asciiTheme="majorBidi" w:hAnsiTheme="majorBidi" w:cstheme="majorBidi"/>
              </w:rPr>
              <w:t xml:space="preserve"> par exemple)</w:t>
            </w:r>
            <w:r w:rsidR="00C15D05">
              <w:rPr>
                <w:rFonts w:asciiTheme="majorBidi" w:hAnsiTheme="majorBidi" w:cstheme="majorBidi"/>
              </w:rPr>
              <w:t xml:space="preserve"> d’une copie du composant RTDG</w:t>
            </w:r>
          </w:p>
          <w:p w:rsidR="00520E1C" w:rsidRDefault="00D6713D" w:rsidP="00F43E4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6713D">
              <w:rPr>
                <w:rFonts w:asciiTheme="majorBidi" w:hAnsiTheme="majorBidi" w:cstheme="majorBidi"/>
              </w:rPr>
              <w:t xml:space="preserve"> </w:t>
            </w:r>
            <w:r w:rsidR="00520E1C" w:rsidRPr="00D6713D">
              <w:rPr>
                <w:rFonts w:asciiTheme="majorBidi" w:hAnsiTheme="majorBidi" w:cstheme="majorBidi"/>
              </w:rPr>
              <w:t>-</w:t>
            </w:r>
            <w:r w:rsidR="00781B7D">
              <w:rPr>
                <w:rFonts w:asciiTheme="majorBidi" w:hAnsiTheme="majorBidi" w:cstheme="majorBidi"/>
                <w:sz w:val="24"/>
                <w:szCs w:val="24"/>
              </w:rPr>
              <w:t>Définition de prototypes</w:t>
            </w:r>
          </w:p>
        </w:tc>
      </w:tr>
      <w:tr w:rsidR="00531678" w:rsidTr="00292AC1">
        <w:trPr>
          <w:trHeight w:val="924"/>
        </w:trPr>
        <w:tc>
          <w:tcPr>
            <w:tcW w:w="0" w:type="auto"/>
          </w:tcPr>
          <w:p w:rsidR="006274D0" w:rsidRDefault="006274D0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</w:tcPr>
          <w:p w:rsidR="006274D0" w:rsidRDefault="00072319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6274D0" w:rsidRDefault="00C820F3" w:rsidP="00292A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la RTSJ (Real Time Specification for Java)</w:t>
            </w:r>
          </w:p>
          <w:p w:rsidR="00AF146E" w:rsidRDefault="00AF146E" w:rsidP="003A1047">
            <w:pPr>
              <w:jc w:val="both"/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A1047">
              <w:rPr>
                <w:rFonts w:asciiTheme="majorBidi" w:hAnsiTheme="majorBidi" w:cstheme="majorBidi"/>
                <w:sz w:val="24"/>
                <w:szCs w:val="24"/>
              </w:rPr>
              <w:t>Documentation sur les JVM représentant les implémentations de la RTSJ</w:t>
            </w:r>
            <w:r w:rsidR="00AC18F5"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="00AC18F5" w:rsidRPr="00AC18F5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Sun JVM</w:t>
            </w:r>
          </w:p>
          <w:p w:rsidR="005A698D" w:rsidRDefault="005A698D" w:rsidP="003A1047">
            <w:pPr>
              <w:jc w:val="both"/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comment-copy"/>
              </w:rPr>
              <w:t>-</w:t>
            </w:r>
            <w:r w:rsidRPr="00C9748B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Documentation sur l’API de temps réel se trouvant dans le package javax.</w:t>
            </w:r>
            <w:r w:rsidR="003F3C0B" w:rsidRPr="00C9748B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realtime</w:t>
            </w:r>
          </w:p>
          <w:p w:rsidR="005737C9" w:rsidRDefault="005737C9" w:rsidP="003A1047">
            <w:pPr>
              <w:jc w:val="both"/>
              <w:rPr>
                <w:rStyle w:val="comment-copy"/>
                <w:rFonts w:asciiTheme="majorBidi" w:hAnsiTheme="majorBidi" w:cstheme="majorBidi"/>
                <w:color w:val="548DD4" w:themeColor="text2" w:themeTint="99"/>
                <w:sz w:val="24"/>
                <w:szCs w:val="24"/>
              </w:rPr>
            </w:pPr>
            <w:r w:rsidRPr="005737C9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 xml:space="preserve">Site web : </w:t>
            </w:r>
            <w:hyperlink r:id="rId7" w:history="1">
              <w:r w:rsidR="009C18D8" w:rsidRPr="00F46ADF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http://jrate.sourceforge.net/api/stable/javax/realtime/package-tree.html</w:t>
              </w:r>
            </w:hyperlink>
          </w:p>
          <w:p w:rsidR="009C18D8" w:rsidRDefault="009C18D8" w:rsidP="003A1047">
            <w:pPr>
              <w:jc w:val="both"/>
              <w:rPr>
                <w:rStyle w:val="comment-copy"/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E4A26">
              <w:rPr>
                <w:rStyle w:val="comment-copy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-Création de thread qui s’exécute en temps réel</w:t>
            </w:r>
          </w:p>
          <w:p w:rsidR="00E63ED0" w:rsidRPr="00DE4A26" w:rsidRDefault="00E63ED0" w:rsidP="003A1047">
            <w:pPr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63ED0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Tutoriel :</w:t>
            </w:r>
            <w:r>
              <w:rPr>
                <w:rStyle w:val="comment-copy"/>
              </w:rPr>
              <w:t xml:space="preserve"> </w:t>
            </w:r>
            <w:r w:rsidRPr="00D715D9">
              <w:rPr>
                <w:rStyle w:val="comment-copy"/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  <w:t>http://www.infres.enst.fr/~domas/TPJavaRTS.html</w:t>
            </w:r>
          </w:p>
        </w:tc>
      </w:tr>
    </w:tbl>
    <w:p w:rsidR="00361018" w:rsidRDefault="00361018" w:rsidP="00361018">
      <w:pPr>
        <w:pStyle w:val="Titre1"/>
      </w:pPr>
    </w:p>
    <w:p w:rsidR="00361018" w:rsidRDefault="00361018" w:rsidP="00361018">
      <w:pPr>
        <w:pStyle w:val="Titre1"/>
        <w:numPr>
          <w:ilvl w:val="0"/>
          <w:numId w:val="3"/>
        </w:numPr>
      </w:pPr>
      <w:r>
        <w:t>Conclusion</w:t>
      </w:r>
    </w:p>
    <w:p w:rsidR="00361018" w:rsidRPr="00743A75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projet comporte beaucoup de risques. Ceux identifiés semblent les plus évidents. Une  évaluation de chaque risque se fera à la fin de chaque itération. On </w:t>
      </w:r>
      <w:r w:rsidRPr="00743A75">
        <w:rPr>
          <w:rFonts w:asciiTheme="majorBidi" w:hAnsiTheme="majorBidi" w:cstheme="majorBidi"/>
          <w:sz w:val="24"/>
          <w:szCs w:val="24"/>
        </w:rPr>
        <w:t>pourra ainsi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constater leur diminution ou leur disparition pour la fin du projet même si de nouveaux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risques peuvent apparaître en cours de projet, ils seront ajouté</w:t>
      </w:r>
      <w:r>
        <w:rPr>
          <w:rFonts w:asciiTheme="majorBidi" w:hAnsiTheme="majorBidi" w:cstheme="majorBidi"/>
          <w:sz w:val="24"/>
          <w:szCs w:val="24"/>
        </w:rPr>
        <w:t>s</w:t>
      </w:r>
      <w:r w:rsidRPr="00743A75">
        <w:rPr>
          <w:rFonts w:asciiTheme="majorBidi" w:hAnsiTheme="majorBidi" w:cstheme="majorBidi"/>
          <w:sz w:val="24"/>
          <w:szCs w:val="24"/>
        </w:rPr>
        <w:t xml:space="preserve"> et pris en compte afin de 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réduire voire éliminer également.</w:t>
      </w:r>
    </w:p>
    <w:p w:rsidR="00541DB0" w:rsidRDefault="00541DB0"/>
    <w:sectPr w:rsidR="00541DB0" w:rsidSect="00292AC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631" w:rsidRDefault="00423631" w:rsidP="006B0E61">
      <w:pPr>
        <w:spacing w:after="0" w:line="240" w:lineRule="auto"/>
      </w:pPr>
      <w:r>
        <w:separator/>
      </w:r>
    </w:p>
  </w:endnote>
  <w:endnote w:type="continuationSeparator" w:id="1">
    <w:p w:rsidR="00423631" w:rsidRDefault="00423631" w:rsidP="006B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2735"/>
      <w:docPartObj>
        <w:docPartGallery w:val="Page Numbers (Bottom of Page)"/>
        <w:docPartUnique/>
      </w:docPartObj>
    </w:sdtPr>
    <w:sdtContent>
      <w:p w:rsidR="00292AC1" w:rsidRDefault="00292AC1">
        <w:pPr>
          <w:pStyle w:val="Pieddepage"/>
          <w:jc w:val="right"/>
        </w:pPr>
        <w:r>
          <w:t xml:space="preserve">ESIAG 2012-2013                                                                                                                                       </w:t>
        </w:r>
        <w:fldSimple w:instr=" PAGE   \* MERGEFORMAT ">
          <w:r w:rsidR="00591178">
            <w:rPr>
              <w:noProof/>
            </w:rPr>
            <w:t>6</w:t>
          </w:r>
        </w:fldSimple>
      </w:p>
    </w:sdtContent>
  </w:sdt>
  <w:p w:rsidR="00292AC1" w:rsidRDefault="00292AC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631" w:rsidRDefault="00423631" w:rsidP="006B0E61">
      <w:pPr>
        <w:spacing w:after="0" w:line="240" w:lineRule="auto"/>
      </w:pPr>
      <w:r>
        <w:separator/>
      </w:r>
    </w:p>
  </w:footnote>
  <w:footnote w:type="continuationSeparator" w:id="1">
    <w:p w:rsidR="00423631" w:rsidRDefault="00423631" w:rsidP="006B0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292AC1" w:rsidTr="00292AC1">
      <w:trPr>
        <w:trHeight w:val="1020"/>
        <w:jc w:val="center"/>
      </w:trPr>
      <w:tc>
        <w:tcPr>
          <w:tcW w:w="2550" w:type="dxa"/>
        </w:tcPr>
        <w:p w:rsidR="00292AC1" w:rsidRDefault="00292AC1" w:rsidP="00292AC1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>
                <wp:extent cx="1819275" cy="628650"/>
                <wp:effectExtent l="0" t="0" r="9525" b="0"/>
                <wp:docPr id="4" name="Image 4" descr="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i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76" cy="63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</w:tcPr>
        <w:p w:rsidR="00292AC1" w:rsidRPr="000A6A9B" w:rsidRDefault="00292AC1" w:rsidP="00292AC1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ESIAG 2012_2013</w:t>
          </w:r>
        </w:p>
        <w:p w:rsidR="00292AC1" w:rsidRPr="000A6A9B" w:rsidRDefault="00292AC1" w:rsidP="00292AC1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Analyse des risques</w:t>
          </w:r>
        </w:p>
        <w:p w:rsidR="00292AC1" w:rsidRPr="006F7F54" w:rsidRDefault="00292AC1" w:rsidP="00292AC1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Version 0.1.0</w:t>
          </w:r>
        </w:p>
      </w:tc>
    </w:tr>
  </w:tbl>
  <w:p w:rsidR="00292AC1" w:rsidRDefault="00292AC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55B94"/>
    <w:multiLevelType w:val="hybridMultilevel"/>
    <w:tmpl w:val="22B0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A2BD4"/>
    <w:multiLevelType w:val="hybridMultilevel"/>
    <w:tmpl w:val="B34266E2"/>
    <w:lvl w:ilvl="0" w:tplc="D13C6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87F22"/>
    <w:multiLevelType w:val="hybridMultilevel"/>
    <w:tmpl w:val="F97E1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A0"/>
    <w:multiLevelType w:val="hybridMultilevel"/>
    <w:tmpl w:val="47C8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018"/>
    <w:rsid w:val="00003763"/>
    <w:rsid w:val="00005A39"/>
    <w:rsid w:val="00007269"/>
    <w:rsid w:val="00027238"/>
    <w:rsid w:val="000627C4"/>
    <w:rsid w:val="00063AE2"/>
    <w:rsid w:val="00072319"/>
    <w:rsid w:val="0008165C"/>
    <w:rsid w:val="00086C38"/>
    <w:rsid w:val="00096289"/>
    <w:rsid w:val="000B50A7"/>
    <w:rsid w:val="000E33F6"/>
    <w:rsid w:val="001044DE"/>
    <w:rsid w:val="00111CF5"/>
    <w:rsid w:val="001554F8"/>
    <w:rsid w:val="00164E87"/>
    <w:rsid w:val="00167FAE"/>
    <w:rsid w:val="00196D4B"/>
    <w:rsid w:val="001B0223"/>
    <w:rsid w:val="001B28F0"/>
    <w:rsid w:val="001B3861"/>
    <w:rsid w:val="001E3FB8"/>
    <w:rsid w:val="001F3DF7"/>
    <w:rsid w:val="00200E2A"/>
    <w:rsid w:val="00202603"/>
    <w:rsid w:val="0020759F"/>
    <w:rsid w:val="00225166"/>
    <w:rsid w:val="00227429"/>
    <w:rsid w:val="00250D7D"/>
    <w:rsid w:val="00254A1C"/>
    <w:rsid w:val="002721D8"/>
    <w:rsid w:val="00276EB8"/>
    <w:rsid w:val="00284939"/>
    <w:rsid w:val="002916F9"/>
    <w:rsid w:val="00292AC1"/>
    <w:rsid w:val="002E0491"/>
    <w:rsid w:val="002F63FF"/>
    <w:rsid w:val="0031779F"/>
    <w:rsid w:val="0035165C"/>
    <w:rsid w:val="00353399"/>
    <w:rsid w:val="00361018"/>
    <w:rsid w:val="003A1047"/>
    <w:rsid w:val="003A17DD"/>
    <w:rsid w:val="003A70F1"/>
    <w:rsid w:val="003B3F43"/>
    <w:rsid w:val="003C04BE"/>
    <w:rsid w:val="003C622A"/>
    <w:rsid w:val="003E0374"/>
    <w:rsid w:val="003F047A"/>
    <w:rsid w:val="003F3C0B"/>
    <w:rsid w:val="00423631"/>
    <w:rsid w:val="00434F09"/>
    <w:rsid w:val="00446AB5"/>
    <w:rsid w:val="00466730"/>
    <w:rsid w:val="0048021A"/>
    <w:rsid w:val="004A0A22"/>
    <w:rsid w:val="004A3C58"/>
    <w:rsid w:val="0051309D"/>
    <w:rsid w:val="00520E1C"/>
    <w:rsid w:val="00526A2D"/>
    <w:rsid w:val="00531678"/>
    <w:rsid w:val="00532736"/>
    <w:rsid w:val="00541A9F"/>
    <w:rsid w:val="00541DB0"/>
    <w:rsid w:val="00562C19"/>
    <w:rsid w:val="0057291C"/>
    <w:rsid w:val="005737C9"/>
    <w:rsid w:val="0058080E"/>
    <w:rsid w:val="00587929"/>
    <w:rsid w:val="00591178"/>
    <w:rsid w:val="00597C0D"/>
    <w:rsid w:val="005A4FD2"/>
    <w:rsid w:val="005A6738"/>
    <w:rsid w:val="005A698D"/>
    <w:rsid w:val="005A6C84"/>
    <w:rsid w:val="005B0B3B"/>
    <w:rsid w:val="005D4E5C"/>
    <w:rsid w:val="00602E6C"/>
    <w:rsid w:val="00610AE8"/>
    <w:rsid w:val="006274D0"/>
    <w:rsid w:val="0063166E"/>
    <w:rsid w:val="00634FDB"/>
    <w:rsid w:val="0063559F"/>
    <w:rsid w:val="00641E67"/>
    <w:rsid w:val="00645ABF"/>
    <w:rsid w:val="00666E96"/>
    <w:rsid w:val="006737C9"/>
    <w:rsid w:val="00675E0F"/>
    <w:rsid w:val="00686996"/>
    <w:rsid w:val="006A59C0"/>
    <w:rsid w:val="006B0E61"/>
    <w:rsid w:val="006E6EB7"/>
    <w:rsid w:val="006F0755"/>
    <w:rsid w:val="006F57E5"/>
    <w:rsid w:val="006F5F54"/>
    <w:rsid w:val="00705614"/>
    <w:rsid w:val="0070621B"/>
    <w:rsid w:val="00710263"/>
    <w:rsid w:val="00715F1F"/>
    <w:rsid w:val="007479F5"/>
    <w:rsid w:val="00756A08"/>
    <w:rsid w:val="00774153"/>
    <w:rsid w:val="00781B7D"/>
    <w:rsid w:val="007A28DA"/>
    <w:rsid w:val="007C14B2"/>
    <w:rsid w:val="007D0BA5"/>
    <w:rsid w:val="007E7467"/>
    <w:rsid w:val="00804A60"/>
    <w:rsid w:val="00821A0C"/>
    <w:rsid w:val="00836969"/>
    <w:rsid w:val="00870949"/>
    <w:rsid w:val="00880A6D"/>
    <w:rsid w:val="008A140D"/>
    <w:rsid w:val="008A1D86"/>
    <w:rsid w:val="008A6290"/>
    <w:rsid w:val="008C429A"/>
    <w:rsid w:val="008C6DF7"/>
    <w:rsid w:val="00904AB8"/>
    <w:rsid w:val="00933385"/>
    <w:rsid w:val="00933D67"/>
    <w:rsid w:val="00936DB8"/>
    <w:rsid w:val="00944BF3"/>
    <w:rsid w:val="009524B7"/>
    <w:rsid w:val="00957316"/>
    <w:rsid w:val="009600CE"/>
    <w:rsid w:val="00965E89"/>
    <w:rsid w:val="00980A2B"/>
    <w:rsid w:val="00990B1E"/>
    <w:rsid w:val="00993BD3"/>
    <w:rsid w:val="009950E7"/>
    <w:rsid w:val="009A085E"/>
    <w:rsid w:val="009A168A"/>
    <w:rsid w:val="009B2DD2"/>
    <w:rsid w:val="009C18D8"/>
    <w:rsid w:val="009D0861"/>
    <w:rsid w:val="009E2FBC"/>
    <w:rsid w:val="009E5CB6"/>
    <w:rsid w:val="00A2045A"/>
    <w:rsid w:val="00A21634"/>
    <w:rsid w:val="00A244FB"/>
    <w:rsid w:val="00A2644D"/>
    <w:rsid w:val="00A3003D"/>
    <w:rsid w:val="00A32B94"/>
    <w:rsid w:val="00A54925"/>
    <w:rsid w:val="00A713A3"/>
    <w:rsid w:val="00A86B0B"/>
    <w:rsid w:val="00A918F8"/>
    <w:rsid w:val="00AC18F5"/>
    <w:rsid w:val="00AD6126"/>
    <w:rsid w:val="00AF146E"/>
    <w:rsid w:val="00B11395"/>
    <w:rsid w:val="00B15912"/>
    <w:rsid w:val="00B37668"/>
    <w:rsid w:val="00B41FE1"/>
    <w:rsid w:val="00B62E35"/>
    <w:rsid w:val="00B65918"/>
    <w:rsid w:val="00B67340"/>
    <w:rsid w:val="00B93D1D"/>
    <w:rsid w:val="00BA04BA"/>
    <w:rsid w:val="00BC0133"/>
    <w:rsid w:val="00BD4B31"/>
    <w:rsid w:val="00BD7E98"/>
    <w:rsid w:val="00BE2D87"/>
    <w:rsid w:val="00C05291"/>
    <w:rsid w:val="00C075C8"/>
    <w:rsid w:val="00C15D05"/>
    <w:rsid w:val="00C20930"/>
    <w:rsid w:val="00C820F3"/>
    <w:rsid w:val="00C845CB"/>
    <w:rsid w:val="00C923C0"/>
    <w:rsid w:val="00C9748B"/>
    <w:rsid w:val="00CA4451"/>
    <w:rsid w:val="00CA46C6"/>
    <w:rsid w:val="00CB7C88"/>
    <w:rsid w:val="00CC2896"/>
    <w:rsid w:val="00CD4FED"/>
    <w:rsid w:val="00CE4E2E"/>
    <w:rsid w:val="00CE5555"/>
    <w:rsid w:val="00CF2BFC"/>
    <w:rsid w:val="00CF37A3"/>
    <w:rsid w:val="00D125E6"/>
    <w:rsid w:val="00D3432A"/>
    <w:rsid w:val="00D37978"/>
    <w:rsid w:val="00D412A1"/>
    <w:rsid w:val="00D4130B"/>
    <w:rsid w:val="00D43EC5"/>
    <w:rsid w:val="00D521B4"/>
    <w:rsid w:val="00D6713D"/>
    <w:rsid w:val="00D715D9"/>
    <w:rsid w:val="00D84B1D"/>
    <w:rsid w:val="00DB15C0"/>
    <w:rsid w:val="00DC6964"/>
    <w:rsid w:val="00DC69F0"/>
    <w:rsid w:val="00DE1461"/>
    <w:rsid w:val="00DE4A26"/>
    <w:rsid w:val="00E13F0E"/>
    <w:rsid w:val="00E23D1D"/>
    <w:rsid w:val="00E4191C"/>
    <w:rsid w:val="00E63ED0"/>
    <w:rsid w:val="00E7172D"/>
    <w:rsid w:val="00E96A8D"/>
    <w:rsid w:val="00EB4F64"/>
    <w:rsid w:val="00EB7B94"/>
    <w:rsid w:val="00ED0FAB"/>
    <w:rsid w:val="00F0502E"/>
    <w:rsid w:val="00F06EC1"/>
    <w:rsid w:val="00F15377"/>
    <w:rsid w:val="00F43E46"/>
    <w:rsid w:val="00F53B46"/>
    <w:rsid w:val="00F65CF0"/>
    <w:rsid w:val="00F71BC6"/>
    <w:rsid w:val="00F744DF"/>
    <w:rsid w:val="00F763ED"/>
    <w:rsid w:val="00F8048D"/>
    <w:rsid w:val="00F90ABA"/>
    <w:rsid w:val="00FA1F2B"/>
    <w:rsid w:val="00FB7A9A"/>
    <w:rsid w:val="00FD017C"/>
    <w:rsid w:val="00FE5D1F"/>
    <w:rsid w:val="00FF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18"/>
  </w:style>
  <w:style w:type="paragraph" w:styleId="Titre1">
    <w:name w:val="heading 1"/>
    <w:basedOn w:val="Normal"/>
    <w:next w:val="Normal"/>
    <w:link w:val="Titre1Car"/>
    <w:uiPriority w:val="9"/>
    <w:qFormat/>
    <w:rsid w:val="00361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1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1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1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61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10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361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018"/>
  </w:style>
  <w:style w:type="paragraph" w:styleId="Pieddepage">
    <w:name w:val="footer"/>
    <w:basedOn w:val="Normal"/>
    <w:link w:val="PieddepageCar"/>
    <w:uiPriority w:val="99"/>
    <w:unhideWhenUsed/>
    <w:rsid w:val="00361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018"/>
  </w:style>
  <w:style w:type="table" w:styleId="Grilledutableau">
    <w:name w:val="Table Grid"/>
    <w:basedOn w:val="TableauNormal"/>
    <w:uiPriority w:val="59"/>
    <w:rsid w:val="0036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6101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36101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361018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361018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361018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1018"/>
    <w:pPr>
      <w:outlineLvl w:val="9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1018"/>
    <w:rPr>
      <w:rFonts w:ascii="Tahoma" w:hAnsi="Tahoma" w:cs="Tahoma"/>
      <w:sz w:val="16"/>
      <w:szCs w:val="16"/>
    </w:rPr>
  </w:style>
  <w:style w:type="character" w:customStyle="1" w:styleId="comment-copy">
    <w:name w:val="comment-copy"/>
    <w:basedOn w:val="Policepardfaut"/>
    <w:rsid w:val="00AC18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rate.sourceforge.net/api/stable/javax/realtime/package-tr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 ULTRA</Company>
  <LinksUpToDate>false</LinksUpToDate>
  <CharactersWithSpaces>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Edition ULTRA</dc:creator>
  <cp:keywords/>
  <dc:description/>
  <cp:lastModifiedBy>Edition ULTRA</cp:lastModifiedBy>
  <cp:revision>38</cp:revision>
  <dcterms:created xsi:type="dcterms:W3CDTF">2012-12-02T16:02:00Z</dcterms:created>
  <dcterms:modified xsi:type="dcterms:W3CDTF">2012-12-02T18:16:00Z</dcterms:modified>
</cp:coreProperties>
</file>