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3.png" ContentType="image/png"/>
  <Override PartName="/word/media/rId160.png" ContentType="image/png"/>
  <Override PartName="/word/media/rId86.png" ContentType="image/png"/>
  <Override PartName="/word/media/rId142.png" ContentType="image/png"/>
  <Override PartName="/word/media/rId35.png" ContentType="image/png"/>
  <Override PartName="/word/media/rId134.png" ContentType="image/png"/>
  <Override PartName="/word/media/rId21.png" ContentType="image/png"/>
  <Override PartName="/word/media/rId131.png" ContentType="image/png"/>
  <Override PartName="/word/media/rId157.png" ContentType="image/png"/>
  <Override PartName="/word/media/rId127.png" ContentType="image/png"/>
  <Override PartName="/word/media/rId146.png" ContentType="image/png"/>
  <Override PartName="/word/media/rId18.png" ContentType="image/png"/>
  <Override PartName="/word/media/rId25.png" ContentType="image/png"/>
  <Override PartName="/word/media/rId121.png" ContentType="image/png"/>
  <Override PartName="/word/media/rId149.png" ContentType="image/png"/>
  <Override PartName="/word/media/rId114.png" ContentType="image/png"/>
  <Override PartName="/word/media/rId75.png" ContentType="image/png"/>
  <Override PartName="/word/media/rId72.png" ContentType="image/png"/>
  <Override PartName="/word/media/rId57.png" ContentType="image/png"/>
  <Override PartName="/word/media/rId91.png" ContentType="image/png"/>
  <Override PartName="/word/media/rId47.png" ContentType="image/png"/>
  <Override PartName="/word/media/rId79.png" ContentType="image/png"/>
  <Override PartName="/word/media/rId98.png" ContentType="image/png"/>
  <Override PartName="/word/media/rId50.png" ContentType="image/png"/>
  <Override PartName="/word/media/rId68.png" ContentType="image/png"/>
  <Override PartName="/word/media/rId60.png" ContentType="image/png"/>
  <Override PartName="/word/media/rId95.png" ContentType="image/png"/>
  <Override PartName="/word/media/rId83.png" ContentType="image/png"/>
  <Override PartName="/word/media/rId64.png" ContentType="image/png"/>
  <Override PartName="/word/media/rId40.png" ContentType="image/png"/>
  <Override PartName="/word/media/rId138.png" ContentType="image/png"/>
  <Override PartName="/word/media/rId110.png" ContentType="image/png"/>
  <Override PartName="/word/media/rId10.png" ContentType="image/png"/>
  <Override PartName="/word/media/rId54.png" ContentType="image/png"/>
  <Override PartName="/word/media/rId1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sdt>
      <w:sdtPr>
        <w:docPartObj>
          <w:docPartGallery w:val="Table of Contents"/>
          <w:docPartUnique/>
        </w:docPartObj>
      </w:sdtPr>
      <w:sdtContent>
        <w:p>
          <w:pPr>
            <w:pStyle w:val="TOCHeading"/>
          </w:pPr>
          <w:r>
            <w:t xml:space="preserve">目录</w:t>
          </w:r>
        </w:p>
        <w:p>
          <w:r>
            <w:fldChar w:fldCharType="begin" w:dirty="true"/>
            <w:instrText xml:space="preserve">TOC \o "1-2" \h \z \u</w:instrText>
            <w:fldChar w:fldCharType="separate"/>
            <w:fldChar w:fldCharType="end"/>
          </w:r>
        </w:p>
      </w:sdtContent>
    </w:sdt>
    <w:p>
      <w:pPr>
        <w:pStyle w:val="FirstParagraph"/>
      </w:pPr>
      <w:r>
        <w:rPr>
          <w:rFonts w:hint="eastAsia"/>
          <w:b/>
          <w:bCs/>
        </w:rPr>
        <w:t xml:space="preserve">霍尔木兹海峡封锁对国际原油价格影响的</w:t>
      </w:r>
      <w:r>
        <w:br/>
      </w:r>
      <w:r>
        <w:rPr>
          <w:rFonts w:hint="eastAsia"/>
          <w:b/>
          <w:bCs/>
        </w:rPr>
        <w:t xml:space="preserve">动态建模与情景预测</w:t>
      </w:r>
    </w:p>
    <w:p>
      <w:r>
        <w:pict>
          <v:rect style="width:0;height:1.5pt" o:hralign="center" o:hrstd="t" o:hr="t"/>
        </w:pict>
      </w:r>
    </w:p>
    <w:p>
      <w:pPr>
        <w:pStyle w:val="FirstParagraph"/>
      </w:pPr>
      <w:r>
        <w:rPr>
          <w:rFonts w:hint="eastAsia"/>
        </w:rPr>
        <w:t xml:space="preserve">数学建模</w:t>
      </w:r>
      <w:r>
        <w:t xml:space="preserve"> A </w:t>
      </w:r>
      <w:r>
        <w:rPr>
          <w:rFonts w:hint="eastAsia"/>
        </w:rPr>
        <w:t xml:space="preserve">题项目组</w:t>
      </w:r>
    </w:p>
    <w:p>
      <w:pPr>
        <w:pStyle w:val="BodyText"/>
      </w:pPr>
      <w:r>
        <w:t xml:space="preserve">2026 </w:t>
      </w:r>
      <w:r>
        <w:rPr>
          <w:rFonts w:hint="eastAsia"/>
        </w:rPr>
        <w:t xml:space="preserve">年</w:t>
      </w:r>
      <w:r>
        <w:t xml:space="preserve"> 5 </w:t>
      </w:r>
      <w:r>
        <w:rPr>
          <w:rFonts w:hint="eastAsia"/>
        </w:rPr>
        <w:t xml:space="preserve">月</w:t>
      </w:r>
    </w:p>
    <w:p>
      <w:pPr>
        <w:pStyle w:val="BodyText"/>
      </w:pPr>
      <w:r>
        <w:rPr>
          <w:rFonts w:hint="eastAsia"/>
          <w:b/>
          <w:bCs/>
        </w:rPr>
        <w:t xml:space="preserve">摘要</w:t>
      </w:r>
    </w:p>
    <w:p>
      <w:pPr>
        <w:pStyle w:val="BodyText"/>
      </w:pPr>
      <w:r>
        <w:rPr>
          <w:rFonts w:hint="eastAsia"/>
        </w:rPr>
        <w:t xml:space="preserve">霍尔木兹海峡是全球原油运输的关键咽喉。若发生封锁，供应中断、地缘风险重估、战略储备释放、商业库存缓冲、绕道运输恢复和市场预期修复会共同作用于国际原油价格。本文以附件布伦特原油期货主力合约价格数据为基础，建立</w:t>
      </w:r>
      <w:r>
        <w:rPr>
          <w:rFonts w:hint="eastAsia"/>
        </w:rPr>
        <w:t xml:space="preserve">“数据清洗–传统供需基准–短期动态递推–长期情景预测–敏感性分析”</w:t>
      </w:r>
      <w:r>
        <w:rPr>
          <w:rFonts w:hint="eastAsia"/>
        </w:rPr>
        <w:t xml:space="preserve">的模型链条。</w:t>
      </w:r>
    </w:p>
    <w:p>
      <w:pPr>
        <w:pStyle w:val="BodyText"/>
      </w:pPr>
      <w:r>
        <w:rPr>
          <w:rFonts w:hint="eastAsia"/>
        </w:rPr>
        <w:t xml:space="preserve">针对任务一，本文清洗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日为冲突窗口。附件数据显示，窗口内最高收盘价为</w:t>
      </w:r>
      <w:r>
        <w:t xml:space="preserve"> 114.06 </w:t>
      </w:r>
      <w:r>
        <w:rPr>
          <w:rFonts w:hint="eastAsia"/>
        </w:rPr>
        <w:t xml:space="preserve">美元/桶，最高盘中价为</w:t>
      </w:r>
      <w:r>
        <w:t xml:space="preserve"> 119.50 </w:t>
      </w:r>
      <w:r>
        <w:rPr>
          <w:rFonts w:hint="eastAsia"/>
        </w:rPr>
        <w:t xml:space="preserve">美元/桶。按题面短期低弹性和供应中断范围建立线性需求反事实基准，可得</w:t>
      </w:r>
      <w:r>
        <w:t xml:space="preserve"> 278–337 </w:t>
      </w:r>
      <w:r>
        <w:rPr>
          <w:rFonts w:hint="eastAsia"/>
        </w:rPr>
        <w:t xml:space="preserve">美元/桶的理论压力区间；常弹性需求口径会给出更高的机械上界。两种口径均显著高于附件真实价格，说明必须引入政策缓冲、需求收缩、价格传导折价和市场预期修复。</w:t>
      </w:r>
    </w:p>
    <w:p>
      <w:pPr>
        <w:pStyle w:val="BodyText"/>
      </w:pPr>
      <w:r>
        <w:rPr>
          <w:rFonts w:hint="eastAsia"/>
        </w:rPr>
        <w:t xml:space="preserve">为解释日度价格路径，本文构建综合机制递推模型：物理供需层纳入供应中断、SPR</w:t>
      </w:r>
      <w:r>
        <w:t xml:space="preserve"> </w:t>
      </w:r>
      <w:r>
        <w:rPr>
          <w:rFonts w:hint="eastAsia"/>
        </w:rPr>
        <w:t xml:space="preserve">释放、商业库存、绕道运输、需求收缩和恐慌衰减，市场价格形成层纳入地缘风险溢价、冲击不确定性、持续封锁制度风险、缓冲确认折价和预期修复折价。综合最优模型在</w:t>
      </w:r>
      <w:r>
        <w:t xml:space="preserve"> 46 </w:t>
      </w:r>
      <w:r>
        <w:rPr>
          <w:rFonts w:hint="eastAsia"/>
        </w:rPr>
        <w:t xml:space="preserve">个交易日内取得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美元/桶、MAPE</w:t>
      </w:r>
      <w:r>
        <w:t xml:space="preserve"> </w:t>
      </w:r>
      <w:r>
        <w:rPr>
          <w:rFonts w:hint="eastAsia"/>
        </w:rPr>
        <w:t xml:space="preserve">为</w:t>
      </w:r>
      <w:r>
        <w:t xml:space="preserve"> 2.86% </w:t>
      </w:r>
      <w:r>
        <w:rPr>
          <w:rFonts w:hint="eastAsia"/>
        </w:rPr>
        <w:t xml:space="preserve">的拟合效果，并优于上一日价格朴素基准和滚动</w:t>
      </w:r>
      <w:r>
        <w:t xml:space="preserve"> ARIMA </w:t>
      </w:r>
      <w:r>
        <w:rPr>
          <w:rFonts w:hint="eastAsia"/>
        </w:rPr>
        <w:t xml:space="preserve">基准。进一步加入只使用历史滞后价格特征的</w:t>
      </w:r>
      <w:r>
        <w:t xml:space="preserve"> Ridge </w:t>
      </w:r>
      <w:r>
        <w:rPr>
          <w:rFonts w:hint="eastAsia"/>
        </w:rPr>
        <w:t xml:space="preserve">收益率辅助层后，RMSE</w:t>
      </w:r>
      <w:r>
        <w:t xml:space="preserve"> </w:t>
      </w:r>
      <w:r>
        <w:rPr>
          <w:rFonts w:hint="eastAsia"/>
        </w:rPr>
        <w:t xml:space="preserve">降至</w:t>
      </w:r>
      <w:r>
        <w:t xml:space="preserve"> 3.35 </w:t>
      </w:r>
      <w:r>
        <w:rPr>
          <w:rFonts w:hint="eastAsia"/>
        </w:rPr>
        <w:t xml:space="preserve">美元/桶、方向命中率升至</w:t>
      </w:r>
      <w:r>
        <w:t xml:space="preserve"> </w:t>
      </w:r>
      <w:r>
        <w:rPr>
          <w:rFonts w:hint="eastAsia"/>
        </w:rPr>
        <w:t xml:space="preserve">68.9%，但纯历史机器学习模型不能替代机制模型，因此该层仅作为计算机辅助增强。滞后平移、拐点、机制消融和结构稳定性检验表明，模型不是简单滞后复制，110–120</w:t>
      </w:r>
      <w:r>
        <w:t xml:space="preserve"> </w:t>
      </w:r>
      <w:r>
        <w:rPr>
          <w:rFonts w:hint="eastAsia"/>
        </w:rPr>
        <w:t xml:space="preserve">美元平台也不是外生设定的价格上限。</w:t>
      </w:r>
    </w:p>
    <w:p>
      <w:pPr>
        <w:pStyle w:val="BodyText"/>
      </w:pPr>
      <w:r>
        <w:rPr>
          <w:rFonts w:hint="eastAsia"/>
        </w:rPr>
        <w:t xml:space="preserve">针对任务二，本文构建</w:t>
      </w:r>
      <w:r>
        <w:t xml:space="preserve"> 60–180 </w:t>
      </w:r>
      <w:r>
        <w:rPr>
          <w:rFonts w:hint="eastAsia"/>
        </w:rPr>
        <w:t xml:space="preserve">天乐观、中性、悲观三种情景路径，并将</w:t>
      </w:r>
      <w:r>
        <w:t xml:space="preserve"> EIA、JODI、OPEC </w:t>
      </w:r>
      <w:r>
        <w:rPr>
          <w:rFonts w:hint="eastAsia"/>
        </w:rPr>
        <w:t xml:space="preserve">官方外生数据和</w:t>
      </w:r>
      <w:r>
        <w:t xml:space="preserve"> OVX </w:t>
      </w:r>
      <w:r>
        <w:rPr>
          <w:rFonts w:hint="eastAsia"/>
        </w:rPr>
        <w:t xml:space="preserve">市场隐含波动率从证据校验层推进到长期参数约束层。新版长期自适应反馈模型显示，中性情景第</w:t>
      </w:r>
      <w:r>
        <w:t xml:space="preserve"> 180 </w:t>
      </w:r>
      <w:r>
        <w:rPr>
          <w:rFonts w:hint="eastAsia"/>
        </w:rPr>
        <w:t xml:space="preserve">天价格约为</w:t>
      </w:r>
      <w:r>
        <w:t xml:space="preserve"> 94.15 </w:t>
      </w:r>
      <w:r>
        <w:rPr>
          <w:rFonts w:hint="eastAsia"/>
        </w:rPr>
        <w:t xml:space="preserve">美元/桶，悲观情景第</w:t>
      </w:r>
      <w:r>
        <w:t xml:space="preserve"> 180 </w:t>
      </w:r>
      <w:r>
        <w:rPr>
          <w:rFonts w:hint="eastAsia"/>
        </w:rPr>
        <w:t xml:space="preserve">天约为</w:t>
      </w:r>
      <w:r>
        <w:t xml:space="preserve"> 110.16 </w:t>
      </w:r>
      <w:r>
        <w:rPr>
          <w:rFonts w:hint="eastAsia"/>
        </w:rPr>
        <w:t xml:space="preserve">美元/桶，且仍保留二次跳涨风险。敏感性分析表明，封锁风险衰减速度、地缘风险权重、不确定性与制度风险强度是综合敏感度最高的三个因素；这说明长期结果最依赖市场吸收封锁制度风险的速度，而非某个单一政策释放量。2000</w:t>
      </w:r>
      <w:r>
        <w:t xml:space="preserve"> </w:t>
      </w:r>
      <w:r>
        <w:rPr>
          <w:rFonts w:hint="eastAsia"/>
        </w:rPr>
        <w:t xml:space="preserve">次蒙特卡洛情景树显示，第</w:t>
      </w:r>
      <w:r>
        <w:t xml:space="preserve"> 180 </w:t>
      </w:r>
      <w:r>
        <w:rPr>
          <w:rFonts w:hint="eastAsia"/>
        </w:rPr>
        <w:t xml:space="preserve">天价格</w:t>
      </w:r>
      <w:r>
        <w:t xml:space="preserve"> 5%–95% </w:t>
      </w:r>
      <w:r>
        <w:rPr>
          <w:rFonts w:hint="eastAsia"/>
        </w:rPr>
        <w:t xml:space="preserve">区间为</w:t>
      </w:r>
      <w:r>
        <w:t xml:space="preserve"> 89.58–106.44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16.3%。为避免长期中性线被误读为逐日精确预测，本文又引入受</w:t>
      </w:r>
      <w:r>
        <w:t xml:space="preserve"> GPR </w:t>
      </w:r>
      <w:r>
        <w:rPr>
          <w:rFonts w:hint="eastAsia"/>
        </w:rPr>
        <w:t xml:space="preserve">与</w:t>
      </w:r>
      <w:r>
        <w:t xml:space="preserve"> OVX </w:t>
      </w:r>
      <w:r>
        <w:rPr>
          <w:rFonts w:hint="eastAsia"/>
        </w:rPr>
        <w:t xml:space="preserve">风险读数约束的缓和、维持、升级三状态转移扰动，得到第</w:t>
      </w:r>
      <w:r>
        <w:t xml:space="preserve"> 180 </w:t>
      </w:r>
      <w:r>
        <w:rPr>
          <w:rFonts w:hint="eastAsia"/>
        </w:rPr>
        <w:t xml:space="preserve">天</w:t>
      </w:r>
      <w:r>
        <w:t xml:space="preserve"> 5%–95% </w:t>
      </w:r>
      <w:r>
        <w:rPr>
          <w:rFonts w:hint="eastAsia"/>
        </w:rPr>
        <w:t xml:space="preserve">条件区间</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38.3%。GPR </w:t>
      </w:r>
      <w:r>
        <w:rPr>
          <w:rFonts w:hint="eastAsia"/>
        </w:rPr>
        <w:t xml:space="preserve">滞后检验、OVX</w:t>
      </w:r>
      <w:r>
        <w:t xml:space="preserve"> </w:t>
      </w:r>
      <w:r>
        <w:rPr>
          <w:rFonts w:hint="eastAsia"/>
        </w:rPr>
        <w:t xml:space="preserve">隐含波动率检验和</w:t>
      </w:r>
      <w:r>
        <w:t xml:space="preserve"> 2017–2026 </w:t>
      </w:r>
      <w:r>
        <w:rPr>
          <w:rFonts w:hint="eastAsia"/>
        </w:rPr>
        <w:t xml:space="preserve">年历史同长度窗口检验进一步说明：2026</w:t>
      </w:r>
      <w:r>
        <w:t xml:space="preserve"> </w:t>
      </w:r>
      <w:r>
        <w:rPr>
          <w:rFonts w:hint="eastAsia"/>
        </w:rPr>
        <w:t xml:space="preserve">冲突窗口具有罕见地缘风险和高波动特征，但外部风险指标只作为校验与长期约束证据，不作为短期同月拟合因子。</w:t>
      </w:r>
    </w:p>
    <w:p>
      <w:pPr>
        <w:pStyle w:val="BodyText"/>
      </w:pPr>
      <w:r>
        <w:rPr>
          <w:rFonts w:hint="eastAsia"/>
          <w:b/>
          <w:bCs/>
        </w:rPr>
        <w:t xml:space="preserve">关键词：</w:t>
      </w:r>
      <w:r>
        <w:t xml:space="preserve"> </w:t>
      </w:r>
      <w:r>
        <w:rPr>
          <w:rFonts w:hint="eastAsia"/>
        </w:rPr>
        <w:t xml:space="preserve">霍尔木兹海峡；原油价格；动态递推模型；战略石油储备；情景预测；敏感性分析</w:t>
      </w:r>
    </w:p>
    <w:p>
      <w:pPr>
        <w:pStyle w:val="BodyText"/>
      </w:pPr>
      <w:r>
        <w:t xml:space="preserve"> </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动态层：引入</w:t>
      </w:r>
      <w:r>
        <w:t xml:space="preserve"> </w:t>
      </w:r>
      <w:r>
        <w:rPr>
          <w:rFonts w:hint="eastAsia"/>
        </w:rPr>
        <w:t xml:space="preserve">SPR、库存、绕道、需求调整、恐慌衰减和预期修复，解释现实价格路径。</w:t>
      </w:r>
    </w:p>
    <w:p>
      <w:pPr>
        <w:numPr>
          <w:ilvl w:val="0"/>
          <w:numId w:val="1001"/>
        </w:numPr>
      </w:pPr>
      <w:r>
        <w:rPr>
          <w:rFonts w:hint="eastAsia"/>
        </w:rPr>
        <w:t xml:space="preserve">外推层：构建</w:t>
      </w:r>
      <w:r>
        <w:t xml:space="preserve"> 60–180 </w:t>
      </w:r>
      <w:r>
        <w:rPr>
          <w:rFonts w:hint="eastAsia"/>
        </w:rPr>
        <w:t xml:space="preserve">天三情景预测，并通过敏感性分析识别关键变量。</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1</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完成附件数据清洗、传统供需基准、短期动态递推、参数校准和鲁棒性检验，给出</w:t>
            </w:r>
            <w:r>
              <w:t xml:space="preserve"> </w:t>
            </w:r>
            <w:r>
              <w:rPr>
                <w:rFonts w:hint="eastAsia"/>
              </w:rPr>
              <w:t xml:space="preserve">RMSE、MAE、MAPE、基准对比、滞后检验、机制消融和参数扰动测试。</w:t>
            </w:r>
          </w:p>
        </w:tc>
      </w:tr>
      <w:tr>
        <w:tc>
          <w:tcPr/>
          <w:p>
            <w:pPr>
              <w:pStyle w:val="Compact"/>
              <w:jc w:val="left"/>
            </w:pPr>
            <w:r>
              <w:rPr>
                <w:rFonts w:hint="eastAsia"/>
              </w:rPr>
              <w:t xml:space="preserve">任务</w:t>
            </w:r>
            <w:r>
              <w:t xml:space="preserve"> 2</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17" w:name="问题分析与总体思路"/>
    <w:p>
      <w:pPr>
        <w:pStyle w:val="Heading1"/>
      </w:pPr>
      <w:r>
        <w:rPr>
          <w:rFonts w:hint="eastAsia"/>
        </w:rPr>
        <w:t xml:space="preserve">问题分析与总体思路</w:t>
      </w:r>
    </w:p>
    <w:p>
      <w:pPr>
        <w:pStyle w:val="FirstParagraph"/>
      </w:pPr>
      <w:r>
        <w:rPr>
          <w:rFonts w:hint="eastAsia"/>
        </w:rPr>
        <w:t xml:space="preserve">本题的难点不在于直接套用一个时间序列模型，而在于解释</w:t>
      </w:r>
      <w:r>
        <w:rPr>
          <w:rFonts w:hint="eastAsia"/>
        </w:rPr>
        <w:t xml:space="preserve">“为什么低弹性供需冲击会给出很高理论价格，而附件真实价格却停留在约</w:t>
      </w:r>
      <w:r>
        <w:t xml:space="preserve"> 110–120 </w:t>
      </w:r>
      <w:r>
        <w:rPr>
          <w:rFonts w:hint="eastAsia"/>
        </w:rPr>
        <w:t xml:space="preserve">美元/桶的平台附近”</w:t>
      </w:r>
      <w:r>
        <w:rPr>
          <w:rFonts w:hint="eastAsia"/>
        </w:rPr>
        <w:t xml:space="preserve">。因此，本文将建模思路分成三条互相支撑的证据线。</w:t>
      </w:r>
    </w:p>
    <w:p>
      <w:pPr>
        <w:numPr>
          <w:ilvl w:val="0"/>
          <w:numId w:val="1002"/>
        </w:numPr>
      </w:pPr>
      <w:r>
        <w:rPr>
          <w:rFonts w:hint="eastAsia"/>
        </w:rPr>
        <w:t xml:space="preserve">先建立传统供需基准，用题面低短期弹性和供应中断范围计算无缓冲理论上界，作为后续动态模型的反事实参照。</w:t>
      </w:r>
    </w:p>
    <w:p>
      <w:pPr>
        <w:numPr>
          <w:ilvl w:val="0"/>
          <w:numId w:val="1002"/>
        </w:numPr>
      </w:pPr>
      <w:r>
        <w:rPr>
          <w:rFonts w:hint="eastAsia"/>
        </w:rPr>
        <w:t xml:space="preserve">再建立短期动态递推模型，把</w:t>
      </w:r>
      <w:r>
        <w:t xml:space="preserve"> </w:t>
      </w:r>
      <w:r>
        <w:rPr>
          <w:rFonts w:hint="eastAsia"/>
        </w:rPr>
        <w:t xml:space="preserve">SPR、商业库存、绕道运输、需求收缩、恐慌衰减和预期修复纳入同一日度递推框架，解释附件冲突窗口内的真实价格路径。</w:t>
      </w:r>
    </w:p>
    <w:p>
      <w:pPr>
        <w:numPr>
          <w:ilvl w:val="0"/>
          <w:numId w:val="1002"/>
        </w:numPr>
      </w:pPr>
      <w:r>
        <w:rPr>
          <w:rFonts w:hint="eastAsia"/>
        </w:rPr>
        <w:t xml:space="preserve">最后建立</w:t>
      </w:r>
      <w:r>
        <w:t xml:space="preserve"> 60–180 </w:t>
      </w:r>
      <w:r>
        <w:rPr>
          <w:rFonts w:hint="eastAsia"/>
        </w:rPr>
        <w:t xml:space="preserve">天三情景预测模型，并通过敏感性分析、蒙特卡洛情景树、滞后地缘风险指数检验和历史样本稳健性检验识别影响长期价格平衡点和二次跳涨风险的关键变量。</w:t>
      </w:r>
    </w:p>
    <w:p>
      <w:pPr>
        <w:pStyle w:val="CaptionedFigure"/>
      </w:pPr>
      <w:r>
        <w:drawing>
          <wp:inline>
            <wp:extent cx="5120640" cy="2901696"/>
            <wp:effectExtent b="0" l="0" r="0" t="0"/>
            <wp:docPr descr="" title="" id="11" name="Picture"/>
            <a:graphic>
              <a:graphicData uri="http://schemas.openxmlformats.org/drawingml/2006/picture">
                <pic:pic>
                  <pic:nvPicPr>
                    <pic:cNvPr descr="论文总体技术路线图.png" id="12" name="Picture"/>
                    <pic:cNvPicPr>
                      <a:picLocks noChangeArrowheads="1" noChangeAspect="1"/>
                    </pic:cNvPicPr>
                  </pic:nvPicPr>
                  <pic:blipFill>
                    <a:blip r:embed="rId10"/>
                    <a:stretch>
                      <a:fillRect/>
                    </a:stretch>
                  </pic:blipFill>
                  <pic:spPr bwMode="auto">
                    <a:xfrm>
                      <a:off x="0" y="0"/>
                      <a:ext cx="5120640" cy="2901696"/>
                    </a:xfrm>
                    <a:prstGeom prst="rect">
                      <a:avLst/>
                    </a:prstGeom>
                    <a:noFill/>
                    <a:ln w="9525">
                      <a:noFill/>
                      <a:headEnd/>
                      <a:tailEnd/>
                    </a:ln>
                  </pic:spPr>
                </pic:pic>
              </a:graphicData>
            </a:graphic>
          </wp:inline>
        </w:drawing>
      </w:r>
    </w:p>
    <w:p>
      <w:pPr>
        <w:pStyle w:val="ImageCaption"/>
      </w:pPr>
      <w:r>
        <w:rPr>
          <w:rFonts w:hint="eastAsia"/>
        </w:rPr>
        <w:t xml:space="preserve">本文总体技术路线。模型从附件真实数据出发，先解释短期价格平台，再外推长期情景风险。</w:t>
      </w:r>
    </w:p>
    <w:p>
      <w:pPr>
        <w:pStyle w:val="BodyText"/>
      </w:pPr>
      <w:r>
        <w:rPr>
          <w:rFonts w:hint="eastAsia"/>
        </w:rPr>
        <w:t xml:space="preserve">这一技术路线的核心原则是：真实价格只来自附件数据；长期部分只作情景预测，不伪装成拟合；模型检验需覆盖朴素基准、滞后复制、参数过拟合和结构稳定性等关键边界。</w:t>
      </w:r>
    </w:p>
    <w:p>
      <w:pPr>
        <w:pStyle w:val="BodyText"/>
      </w:pPr>
      <w:r>
        <w:rPr>
          <w:rFonts w:hint="eastAsia"/>
        </w:rPr>
        <w:t xml:space="preserve">最终论文只推荐一个主模型，即综合机制递推模型。传统供需模型用于提供反事实基准，三情景模型是主模型在</w:t>
      </w:r>
      <w:r>
        <w:t xml:space="preserve"> 60–180 </w:t>
      </w:r>
      <w:r>
        <w:rPr>
          <w:rFonts w:hint="eastAsia"/>
        </w:rPr>
        <w:t xml:space="preserve">天尺度上的条件外推，消融实验、敏感性分析和蒙特卡洛情景树用于证明主模型中的因素是否值得保留，并刻画多因素同时恶化时的尾部风险。因素纳入原则见表</w:t>
      </w:r>
      <w:r>
        <w:t xml:space="preserve"> </w:t>
      </w:r>
      <w:hyperlink w:anchor="tab:factor-inclusion">
        <w:r>
          <w:rPr>
            <w:rStyle w:val="Hyperlink"/>
          </w:rPr>
          <w:t xml:space="preserve">1</w:t>
        </w:r>
      </w:hyperlink>
      <w:r>
        <w:t xml:space="preserve">。</w:t>
      </w:r>
    </w:p>
    <w:bookmarkStart w:id="13" w:name="tab:factor-inclusion"/>
    <w:p>
      <w:pPr>
        <w:pStyle w:val="TableCaption"/>
      </w:pPr>
      <w:r>
        <w:rPr>
          <w:rFonts w:hint="eastAsia"/>
        </w:rPr>
        <w:t xml:space="preserve">因素纳入原则</w:t>
      </w:r>
    </w:p>
    <w:tbl>
      <w:tblPr>
        <w:tblStyle w:val="Table"/>
        <w:tblW w:type="auto" w:w="0"/>
        <w:tblLook w:firstRow="1" w:lastRow="0" w:firstColumn="0" w:lastColumn="0" w:noHBand="0" w:noVBand="0" w:val="0020"/>
        <w:tblCaption w:val="因素纳入原则"/>
      </w:tblPr>
      <w:tblGrid>
        <w:gridCol w:w="2640"/>
        <w:gridCol w:w="2640"/>
        <w:gridCol w:w="2640"/>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因素</w:t>
            </w:r>
          </w:p>
        </w:tc>
        <w:tc>
          <w:tcPr/>
          <w:p>
            <w:pPr>
              <w:pStyle w:val="Compact"/>
              <w:jc w:val="left"/>
            </w:pPr>
            <w:r>
              <w:rPr>
                <w:rFonts w:hint="eastAsia"/>
              </w:rPr>
              <w:t xml:space="preserve">处理方式</w:t>
            </w:r>
          </w:p>
        </w:tc>
      </w:tr>
      <w:tr>
        <w:tc>
          <w:tcPr/>
          <w:p>
            <w:pPr>
              <w:pStyle w:val="Compact"/>
              <w:jc w:val="left"/>
            </w:pPr>
            <w:r>
              <w:rPr>
                <w:rFonts w:hint="eastAsia"/>
              </w:rPr>
              <w:t xml:space="preserve">主模型物理层</w:t>
            </w:r>
          </w:p>
        </w:tc>
        <w:tc>
          <w:tcPr/>
          <w:p>
            <w:pPr>
              <w:pStyle w:val="Compact"/>
              <w:jc w:val="left"/>
            </w:pPr>
            <w:r>
              <w:rPr>
                <w:rFonts w:hint="eastAsia"/>
              </w:rPr>
              <w:t xml:space="preserve">供应中断、短期弹性、SPR、商业库存、绕道运输、需求收缩、恐慌衰减</w:t>
            </w:r>
          </w:p>
        </w:tc>
        <w:tc>
          <w:tcPr/>
          <w:p>
            <w:pPr>
              <w:pStyle w:val="Compact"/>
              <w:jc w:val="left"/>
            </w:pPr>
            <w:r>
              <w:rPr>
                <w:rFonts w:hint="eastAsia"/>
              </w:rPr>
              <w:t xml:space="preserve">进入综合机制递推模型，参与短期路径拟合与机制解释</w:t>
            </w:r>
          </w:p>
        </w:tc>
      </w:tr>
      <w:tr>
        <w:tc>
          <w:tcPr/>
          <w:p>
            <w:pPr>
              <w:pStyle w:val="Compact"/>
              <w:jc w:val="left"/>
            </w:pPr>
            <w:r>
              <w:rPr>
                <w:rFonts w:hint="eastAsia"/>
              </w:rPr>
              <w:t xml:space="preserve">主模型价格形成层</w:t>
            </w:r>
          </w:p>
        </w:tc>
        <w:tc>
          <w:tcPr/>
          <w:p>
            <w:pPr>
              <w:pStyle w:val="Compact"/>
              <w:jc w:val="left"/>
            </w:pPr>
            <w:r>
              <w:rPr>
                <w:rFonts w:hint="eastAsia"/>
              </w:rPr>
              <w:t xml:space="preserve">地缘风险溢价、冲击不确定性、持续封锁制度风险、缓冲确认折价、预期修复折价</w:t>
            </w:r>
          </w:p>
        </w:tc>
        <w:tc>
          <w:tcPr/>
          <w:p>
            <w:pPr>
              <w:pStyle w:val="Compact"/>
              <w:jc w:val="left"/>
            </w:pPr>
            <w:r>
              <w:rPr>
                <w:rFonts w:hint="eastAsia"/>
              </w:rPr>
              <w:t xml:space="preserve">进入主模型，但必须通过基准对比、消融实验和稳健性检验证明必要性</w:t>
            </w:r>
          </w:p>
        </w:tc>
      </w:tr>
      <w:tr>
        <w:tc>
          <w:tcPr/>
          <w:p>
            <w:pPr>
              <w:pStyle w:val="Compact"/>
              <w:jc w:val="left"/>
            </w:pPr>
            <w:r>
              <w:rPr>
                <w:rFonts w:hint="eastAsia"/>
              </w:rPr>
              <w:t xml:space="preserve">长期情景层</w:t>
            </w:r>
          </w:p>
        </w:tc>
        <w:tc>
          <w:tcPr/>
          <w:p>
            <w:pPr>
              <w:pStyle w:val="Compact"/>
              <w:jc w:val="left"/>
            </w:pPr>
            <w:r>
              <w:t xml:space="preserve">OPEC+ </w:t>
            </w:r>
            <w:r>
              <w:rPr>
                <w:rFonts w:hint="eastAsia"/>
              </w:rPr>
              <w:t xml:space="preserve">剩余产能、非</w:t>
            </w:r>
            <w:r>
              <w:t xml:space="preserve"> OPEC </w:t>
            </w:r>
            <w:r>
              <w:rPr>
                <w:rFonts w:hint="eastAsia"/>
              </w:rPr>
              <w:t xml:space="preserve">供给响应、冲突升级概率</w:t>
            </w:r>
          </w:p>
        </w:tc>
        <w:tc>
          <w:tcPr/>
          <w:p>
            <w:pPr>
              <w:pStyle w:val="Compact"/>
              <w:jc w:val="left"/>
            </w:pPr>
            <w:r>
              <w:rPr>
                <w:rFonts w:hint="eastAsia"/>
              </w:rPr>
              <w:t xml:space="preserve">不强行用于短期拟合，进入</w:t>
            </w:r>
            <w:r>
              <w:t xml:space="preserve"> 60–180 </w:t>
            </w:r>
            <w:r>
              <w:rPr>
                <w:rFonts w:hint="eastAsia"/>
              </w:rPr>
              <w:t xml:space="preserve">天情景预测和尾部风险解释</w:t>
            </w:r>
          </w:p>
        </w:tc>
      </w:tr>
      <w:tr>
        <w:tc>
          <w:tcPr/>
          <w:p>
            <w:pPr>
              <w:pStyle w:val="Compact"/>
              <w:jc w:val="left"/>
            </w:pPr>
            <w:r>
              <w:rPr>
                <w:rFonts w:hint="eastAsia"/>
              </w:rPr>
              <w:t xml:space="preserve">改进方向</w:t>
            </w:r>
          </w:p>
        </w:tc>
        <w:tc>
          <w:tcPr/>
          <w:p>
            <w:pPr>
              <w:pStyle w:val="Compact"/>
              <w:jc w:val="left"/>
            </w:pPr>
            <w:r>
              <w:rPr>
                <w:rFonts w:hint="eastAsia"/>
              </w:rPr>
              <w:t xml:space="preserve">油轮保险费、美元指数、期货期限结构、投机资金和套保需求</w:t>
            </w:r>
          </w:p>
        </w:tc>
        <w:tc>
          <w:tcPr/>
          <w:p>
            <w:pPr>
              <w:pStyle w:val="Compact"/>
              <w:jc w:val="left"/>
            </w:pPr>
            <w:r>
              <w:rPr>
                <w:rFonts w:hint="eastAsia"/>
              </w:rPr>
              <w:t xml:space="preserve">当前缺少附件内真实外生数据，不单独参数化，作为后续扩展方向</w:t>
            </w:r>
          </w:p>
        </w:tc>
      </w:tr>
    </w:tbl>
    <w:bookmarkEnd w:id="13"/>
    <w:bookmarkStart w:id="15" w:name="本文贡献与识别边界"/>
    <w:p>
      <w:pPr>
        <w:pStyle w:val="Heading2"/>
      </w:pPr>
      <w:r>
        <w:rPr>
          <w:rFonts w:hint="eastAsia"/>
        </w:rPr>
        <w:t xml:space="preserve">本文贡献与识别边界</w:t>
      </w:r>
    </w:p>
    <w:p>
      <w:pPr>
        <w:pStyle w:val="FirstParagraph"/>
      </w:pPr>
      <w:r>
        <w:rPr>
          <w:rFonts w:hint="eastAsia"/>
        </w:rPr>
        <w:t xml:space="preserve">从评审视角看，本文的关键目标不是把附件价格曲线</w:t>
      </w:r>
      <w:r>
        <w:rPr>
          <w:rFonts w:hint="eastAsia"/>
        </w:rPr>
        <w:t xml:space="preserve">“画得像”</w:t>
      </w:r>
      <w:r>
        <w:rPr>
          <w:rFonts w:hint="eastAsia"/>
        </w:rPr>
        <w:t xml:space="preserve">，而是回答三个可检验问题：第一，在题面给定低弹性和封锁冲击下，传统供需模型为什么会明显高估价格；第二，哪些缓冲机制能够把理论高位压回附件中的现实价格平台；第三，当封锁延长至</w:t>
      </w:r>
      <w:r>
        <w:t xml:space="preserve"> 60–180 </w:t>
      </w:r>
      <w:r>
        <w:rPr>
          <w:rFonts w:hint="eastAsia"/>
        </w:rPr>
        <w:t xml:space="preserve">天时，哪些因素决定价格中枢和尾部跳涨风险。本文的贡献与边界见表</w:t>
      </w:r>
      <w:r>
        <w:t xml:space="preserve"> </w:t>
      </w:r>
      <w:hyperlink w:anchor="tab:contribution-boundary">
        <w:r>
          <w:rPr>
            <w:rStyle w:val="Hyperlink"/>
          </w:rPr>
          <w:t xml:space="preserve">2</w:t>
        </w:r>
      </w:hyperlink>
      <w:r>
        <w:t xml:space="preserve">。</w:t>
      </w:r>
    </w:p>
    <w:bookmarkStart w:id="14" w:name="tab:contribution-boundary"/>
    <w:p>
      <w:pPr>
        <w:pStyle w:val="TableCaption"/>
      </w:pPr>
      <w:r>
        <w:rPr>
          <w:rFonts w:hint="eastAsia"/>
        </w:rPr>
        <w:t xml:space="preserve">本文贡献与识别边界</w:t>
      </w:r>
    </w:p>
    <w:tbl>
      <w:tblPr>
        <w:tblStyle w:val="Table"/>
        <w:tblW w:type="auto" w:w="0"/>
        <w:tblLook w:firstRow="1" w:lastRow="0" w:firstColumn="0" w:lastColumn="0" w:noHBand="0" w:noVBand="0" w:val="0020"/>
        <w:tblCaption w:val="本文贡献与识别边界"/>
      </w:tblPr>
      <w:tblGrid>
        <w:gridCol w:w="2640"/>
        <w:gridCol w:w="2640"/>
        <w:gridCol w:w="2640"/>
      </w:tblGrid>
      <w:tr>
        <w:trPr>
          <w:tblHeader w:val="on"/>
        </w:trPr>
        <w:tc>
          <w:tcPr/>
          <w:p>
            <w:pPr>
              <w:pStyle w:val="Compact"/>
              <w:jc w:val="left"/>
            </w:pPr>
            <w:r>
              <w:rPr>
                <w:rFonts w:hint="eastAsia"/>
              </w:rPr>
              <w:t xml:space="preserve">维度</w:t>
            </w:r>
          </w:p>
        </w:tc>
        <w:tc>
          <w:tcPr/>
          <w:p>
            <w:pPr>
              <w:pStyle w:val="Compact"/>
              <w:jc w:val="left"/>
            </w:pPr>
            <w:r>
              <w:rPr>
                <w:rFonts w:hint="eastAsia"/>
              </w:rPr>
              <w:t xml:space="preserve">本文贡献</w:t>
            </w:r>
          </w:p>
        </w:tc>
        <w:tc>
          <w:tcPr/>
          <w:p>
            <w:pPr>
              <w:pStyle w:val="Compact"/>
              <w:jc w:val="left"/>
            </w:pPr>
            <w:r>
              <w:rPr>
                <w:rFonts w:hint="eastAsia"/>
              </w:rPr>
              <w:t xml:space="preserve">识别边界</w:t>
            </w:r>
          </w:p>
        </w:tc>
      </w:tr>
      <w:tr>
        <w:tc>
          <w:tcPr/>
          <w:p>
            <w:pPr>
              <w:pStyle w:val="Compact"/>
              <w:jc w:val="left"/>
            </w:pPr>
            <w:r>
              <w:rPr>
                <w:rFonts w:hint="eastAsia"/>
              </w:rPr>
              <w:t xml:space="preserve">反事实基准</w:t>
            </w:r>
          </w:p>
        </w:tc>
        <w:tc>
          <w:tcPr/>
          <w:p>
            <w:pPr>
              <w:pStyle w:val="Compact"/>
              <w:jc w:val="left"/>
            </w:pPr>
            <w:r>
              <w:rPr>
                <w:rFonts w:hint="eastAsia"/>
              </w:rPr>
              <w:t xml:space="preserve">依据赛题低弹性假设构造无缓冲价格上界，给出动态模型需要解释的压力来源。</w:t>
            </w:r>
          </w:p>
        </w:tc>
        <w:tc>
          <w:tcPr/>
          <w:p>
            <w:pPr>
              <w:pStyle w:val="Compact"/>
              <w:jc w:val="left"/>
            </w:pPr>
            <w:r>
              <w:rPr>
                <w:rFonts w:hint="eastAsia"/>
              </w:rPr>
              <w:t xml:space="preserve">该上界是题面条件下的反事实压力，不是对现实市场价格的直接预测。</w:t>
            </w:r>
          </w:p>
        </w:tc>
      </w:tr>
      <w:tr>
        <w:tc>
          <w:tcPr/>
          <w:p>
            <w:pPr>
              <w:pStyle w:val="Compact"/>
              <w:jc w:val="left"/>
            </w:pPr>
            <w:r>
              <w:rPr>
                <w:rFonts w:hint="eastAsia"/>
              </w:rPr>
              <w:t xml:space="preserve">短期机制递推</w:t>
            </w:r>
          </w:p>
        </w:tc>
        <w:tc>
          <w:tcPr/>
          <w:p>
            <w:pPr>
              <w:pStyle w:val="Compact"/>
              <w:jc w:val="left"/>
            </w:pPr>
            <w:r>
              <w:rPr>
                <w:rFonts w:hint="eastAsia"/>
              </w:rPr>
              <w:t xml:space="preserve">将</w:t>
            </w:r>
            <w:r>
              <w:t xml:space="preserve"> </w:t>
            </w:r>
            <w:r>
              <w:rPr>
                <w:rFonts w:hint="eastAsia"/>
              </w:rPr>
              <w:t xml:space="preserve">SPR、商业库存、绕道运输、需求收缩、恐慌衰减、风险溢价和预期修复放入同一日度递推框架，解释附件冲突窗口内的价格平台。</w:t>
            </w:r>
          </w:p>
        </w:tc>
        <w:tc>
          <w:tcPr/>
          <w:p>
            <w:pPr>
              <w:pStyle w:val="Compact"/>
              <w:jc w:val="left"/>
            </w:pPr>
            <w:r>
              <w:rPr>
                <w:rFonts w:hint="eastAsia"/>
              </w:rPr>
              <w:t xml:space="preserve">短期结果只在</w:t>
            </w:r>
            <w:r>
              <w:t xml:space="preserve"> 2026 </w:t>
            </w:r>
            <w:r>
              <w:rPr>
                <w:rFonts w:hint="eastAsia"/>
              </w:rPr>
              <w:t xml:space="preserve">冲突窗口内校准，不包装为跨年份通用交易模型。</w:t>
            </w:r>
          </w:p>
        </w:tc>
      </w:tr>
      <w:tr>
        <w:tc>
          <w:tcPr/>
          <w:p>
            <w:pPr>
              <w:pStyle w:val="Compact"/>
              <w:jc w:val="left"/>
            </w:pPr>
            <w:r>
              <w:rPr>
                <w:rFonts w:hint="eastAsia"/>
              </w:rPr>
              <w:t xml:space="preserve">模型鲁棒性检验</w:t>
            </w:r>
          </w:p>
        </w:tc>
        <w:tc>
          <w:tcPr/>
          <w:p>
            <w:pPr>
              <w:pStyle w:val="Compact"/>
              <w:jc w:val="left"/>
            </w:pPr>
            <w:r>
              <w:rPr>
                <w:rFonts w:hint="eastAsia"/>
              </w:rPr>
              <w:t xml:space="preserve">与朴素上一日、漂移随机游走和</w:t>
            </w:r>
            <w:r>
              <w:t xml:space="preserve"> ARIMA </w:t>
            </w:r>
            <w:r>
              <w:rPr>
                <w:rFonts w:hint="eastAsia"/>
              </w:rPr>
              <w:t xml:space="preserve">基准比较，并加入</w:t>
            </w:r>
            <w:r>
              <w:t xml:space="preserve"> DM </w:t>
            </w:r>
            <w:r>
              <w:rPr>
                <w:rFonts w:hint="eastAsia"/>
              </w:rPr>
              <w:t xml:space="preserve">检验、滞后平移、机制消融和参数扰动测试。</w:t>
            </w:r>
          </w:p>
        </w:tc>
        <w:tc>
          <w:tcPr/>
          <w:p>
            <w:pPr>
              <w:pStyle w:val="Compact"/>
              <w:jc w:val="left"/>
            </w:pPr>
            <w:r>
              <w:rPr>
                <w:rFonts w:hint="eastAsia"/>
              </w:rPr>
              <w:t xml:space="preserve">检验提供支持性证据，但不能替代未来真实观测对长期外推的事后验证。</w:t>
            </w:r>
          </w:p>
        </w:tc>
      </w:tr>
      <w:tr>
        <w:tc>
          <w:tcPr/>
          <w:p>
            <w:pPr>
              <w:pStyle w:val="Compact"/>
              <w:jc w:val="left"/>
            </w:pPr>
            <w:r>
              <w:rPr>
                <w:rFonts w:hint="eastAsia"/>
              </w:rPr>
              <w:t xml:space="preserve">长期情景推演</w:t>
            </w:r>
          </w:p>
        </w:tc>
        <w:tc>
          <w:tcPr/>
          <w:p>
            <w:pPr>
              <w:pStyle w:val="Compact"/>
              <w:jc w:val="left"/>
            </w:pPr>
            <w:r>
              <w:rPr>
                <w:rFonts w:hint="eastAsia"/>
              </w:rPr>
              <w:t xml:space="preserve">把主模型延伸到</w:t>
            </w:r>
            <w:r>
              <w:t xml:space="preserve"> 60–180 </w:t>
            </w:r>
            <w:r>
              <w:rPr>
                <w:rFonts w:hint="eastAsia"/>
              </w:rPr>
              <w:t xml:space="preserve">天，输出乐观、中性、悲观路径、蒙特卡洛区间和状态转移尾部风险。</w:t>
            </w:r>
          </w:p>
        </w:tc>
        <w:tc>
          <w:tcPr/>
          <w:p>
            <w:pPr>
              <w:pStyle w:val="Compact"/>
              <w:jc w:val="left"/>
            </w:pPr>
            <w:r>
              <w:rPr>
                <w:rFonts w:hint="eastAsia"/>
              </w:rPr>
              <w:t xml:space="preserve">长期结果是条件情景预测，不把中性曲线写成未来每日油价的精确点预测。</w:t>
            </w:r>
          </w:p>
        </w:tc>
      </w:tr>
      <w:tr>
        <w:tc>
          <w:tcPr/>
          <w:p>
            <w:pPr>
              <w:pStyle w:val="Compact"/>
              <w:jc w:val="left"/>
            </w:pPr>
            <w:r>
              <w:rPr>
                <w:rFonts w:hint="eastAsia"/>
              </w:rPr>
              <w:t xml:space="preserve">外部合理性校验</w:t>
            </w:r>
          </w:p>
        </w:tc>
        <w:tc>
          <w:tcPr/>
          <w:p>
            <w:pPr>
              <w:pStyle w:val="Compact"/>
              <w:jc w:val="left"/>
            </w:pPr>
            <w:r>
              <w:rPr>
                <w:rFonts w:hint="eastAsia"/>
              </w:rPr>
              <w:t xml:space="preserve">使用</w:t>
            </w:r>
            <w:r>
              <w:t xml:space="preserve"> EIA </w:t>
            </w:r>
            <w:r>
              <w:rPr>
                <w:rFonts w:hint="eastAsia"/>
              </w:rPr>
              <w:t xml:space="preserve">周度数据、JODI</w:t>
            </w:r>
            <w:r>
              <w:t xml:space="preserve"> </w:t>
            </w:r>
            <w:r>
              <w:rPr>
                <w:rFonts w:hint="eastAsia"/>
              </w:rPr>
              <w:t xml:space="preserve">多国月度石油数据、OPEC</w:t>
            </w:r>
            <w:r>
              <w:t xml:space="preserve"> </w:t>
            </w:r>
            <w:r>
              <w:rPr>
                <w:rFonts w:hint="eastAsia"/>
              </w:rPr>
              <w:t xml:space="preserve">全球供需平衡表、GPR</w:t>
            </w:r>
            <w:r>
              <w:t xml:space="preserve"> </w:t>
            </w:r>
            <w:r>
              <w:rPr>
                <w:rFonts w:hint="eastAsia"/>
              </w:rPr>
              <w:t xml:space="preserve">指数、OVX</w:t>
            </w:r>
            <w:r>
              <w:t xml:space="preserve"> </w:t>
            </w:r>
            <w:r>
              <w:rPr>
                <w:rFonts w:hint="eastAsia"/>
              </w:rPr>
              <w:t xml:space="preserve">隐含波动率和</w:t>
            </w:r>
            <w:r>
              <w:t xml:space="preserve"> 2017–2026 </w:t>
            </w:r>
            <w:r>
              <w:rPr>
                <w:rFonts w:hint="eastAsia"/>
              </w:rPr>
              <w:t xml:space="preserve">历史同长度窗口验证数量级、事件极端性与风险环境。</w:t>
            </w:r>
          </w:p>
        </w:tc>
        <w:tc>
          <w:tcPr/>
          <w:p>
            <w:pPr>
              <w:pStyle w:val="Compact"/>
              <w:jc w:val="left"/>
            </w:pPr>
            <w:r>
              <w:rPr>
                <w:rFonts w:hint="eastAsia"/>
              </w:rPr>
              <w:t xml:space="preserve">外部数据用于数量级校验和约束，不把多国上报值包装成完整全球总量，也不反向替代附件真实价格。</w:t>
            </w:r>
          </w:p>
        </w:tc>
      </w:tr>
    </w:tbl>
    <w:bookmarkEnd w:id="14"/>
    <w:bookmarkEnd w:id="15"/>
    <w:bookmarkStart w:id="16" w:name="文献依据与建模约束"/>
    <w:p>
      <w:pPr>
        <w:pStyle w:val="Heading2"/>
      </w:pPr>
      <w:r>
        <w:rPr>
          <w:rFonts w:hint="eastAsia"/>
        </w:rPr>
        <w:t xml:space="preserve">文献依据与建模约束</w:t>
      </w:r>
    </w:p>
    <w:p>
      <w:pPr>
        <w:pStyle w:val="FirstParagraph"/>
      </w:pPr>
      <w:r>
        <w:rPr>
          <w:rFonts w:hint="eastAsia"/>
        </w:rPr>
        <w:t xml:space="preserve">为避免模型显得像</w:t>
      </w:r>
      <w:r>
        <w:rPr>
          <w:rFonts w:hint="eastAsia"/>
        </w:rPr>
        <w:t xml:space="preserve">“为了拟合而临时拼接”</w:t>
      </w:r>
      <w:r>
        <w:rPr>
          <w:rFonts w:hint="eastAsia"/>
        </w:rPr>
        <w:t xml:space="preserve">，本文将文献调研转化为可执行的建模约束。Kilian（2009）和</w:t>
      </w:r>
      <w:r>
        <w:t xml:space="preserve"> </w:t>
      </w:r>
      <w:r>
        <w:rPr>
          <w:rFonts w:hint="eastAsia"/>
        </w:rPr>
        <w:t xml:space="preserve">Hamilton（2009）表明，油价冲击不能只由当期供应缺口解释，还需要区分供给、需求、预防性需求和宏观环境；Kilian</w:t>
      </w:r>
      <w:r>
        <w:t xml:space="preserve"> </w:t>
      </w:r>
      <w:r>
        <w:rPr>
          <w:rFonts w:hint="eastAsia"/>
        </w:rPr>
        <w:t xml:space="preserve">与</w:t>
      </w:r>
      <w:r>
        <w:t xml:space="preserve"> </w:t>
      </w:r>
      <w:r>
        <w:rPr>
          <w:rFonts w:hint="eastAsia"/>
        </w:rPr>
        <w:t xml:space="preserve">Murphy（2014）进一步说明库存和投机性需求会影响油价路径。因此，本文将传统供需模型定位为低弹性反事实上界，而不是最终预测模型。</w:t>
      </w:r>
    </w:p>
    <w:p>
      <w:pPr>
        <w:pStyle w:val="BodyText"/>
      </w:pPr>
      <w:r>
        <w:rPr>
          <w:rFonts w:hint="eastAsia"/>
        </w:rPr>
        <w:t xml:space="preserve">在预测评价方面，Alquist</w:t>
      </w:r>
      <w:r>
        <w:t xml:space="preserve"> </w:t>
      </w:r>
      <w:r>
        <w:rPr>
          <w:rFonts w:hint="eastAsia"/>
        </w:rPr>
        <w:t xml:space="preserve">与</w:t>
      </w:r>
      <w:r>
        <w:t xml:space="preserve"> </w:t>
      </w:r>
      <w:r>
        <w:rPr>
          <w:rFonts w:hint="eastAsia"/>
        </w:rPr>
        <w:t xml:space="preserve">Kilian（2010）以及</w:t>
      </w:r>
      <w:r>
        <w:t xml:space="preserve"> Alquist、Kilian </w:t>
      </w:r>
      <w:r>
        <w:rPr>
          <w:rFonts w:hint="eastAsia"/>
        </w:rPr>
        <w:t xml:space="preserve">与</w:t>
      </w:r>
      <w:r>
        <w:t xml:space="preserve"> </w:t>
      </w:r>
      <w:r>
        <w:rPr>
          <w:rFonts w:hint="eastAsia"/>
        </w:rPr>
        <w:t xml:space="preserve">Vigfusson（2013）指出，原油价格预测必须与无变化预测、随机游走等强基准比较，并明确预测期限和不确定性边界。因此，本文在短期部分设置上一日价格朴素基准、漂移随机游走和滚动</w:t>
      </w:r>
      <w:r>
        <w:t xml:space="preserve"> </w:t>
      </w:r>
      <w:r>
        <w:rPr>
          <w:rFonts w:hint="eastAsia"/>
        </w:rPr>
        <w:t xml:space="preserve">ARIMA；在长期部分不把中性线写成逐日真实价格预测，而是同时给出三情景中心路径、蒙特卡洛扇形区间和状态转移尾部风险。</w:t>
      </w:r>
    </w:p>
    <w:p>
      <w:pPr>
        <w:pStyle w:val="BodyText"/>
      </w:pPr>
      <w:r>
        <w:rPr>
          <w:rFonts w:hint="eastAsia"/>
        </w:rPr>
        <w:t xml:space="preserve">在政策缓冲方面，Newell</w:t>
      </w:r>
      <w:r>
        <w:t xml:space="preserve"> </w:t>
      </w:r>
      <w:r>
        <w:rPr>
          <w:rFonts w:hint="eastAsia"/>
        </w:rPr>
        <w:t xml:space="preserve">与</w:t>
      </w:r>
      <w:r>
        <w:t xml:space="preserve"> </w:t>
      </w:r>
      <w:r>
        <w:rPr>
          <w:rFonts w:hint="eastAsia"/>
        </w:rPr>
        <w:t xml:space="preserve">Prest（2017）、Kilian</w:t>
      </w:r>
      <w:r>
        <w:t xml:space="preserve"> </w:t>
      </w:r>
      <w:r>
        <w:rPr>
          <w:rFonts w:hint="eastAsia"/>
        </w:rPr>
        <w:t xml:space="preserve">与</w:t>
      </w:r>
      <w:r>
        <w:t xml:space="preserve"> </w:t>
      </w:r>
      <w:r>
        <w:rPr>
          <w:rFonts w:hint="eastAsia"/>
        </w:rPr>
        <w:t xml:space="preserve">Zhou（2019）和</w:t>
      </w:r>
      <w:r>
        <w:t xml:space="preserve"> Stevens </w:t>
      </w:r>
      <w:r>
        <w:rPr>
          <w:rFonts w:hint="eastAsia"/>
        </w:rPr>
        <w:t xml:space="preserve">与</w:t>
      </w:r>
      <w:r>
        <w:t xml:space="preserve"> </w:t>
      </w:r>
      <w:r>
        <w:rPr>
          <w:rFonts w:hint="eastAsia"/>
        </w:rPr>
        <w:t xml:space="preserve">Zhang（2021）均表明，SPR</w:t>
      </w:r>
      <w:r>
        <w:t xml:space="preserve"> </w:t>
      </w:r>
      <w:r>
        <w:rPr>
          <w:rFonts w:hint="eastAsia"/>
        </w:rPr>
        <w:t xml:space="preserve">释放能够影响油价，但其作用通常是临时削峰和稳定预期，不能被写成完全抵消供应中断的万能机制。因此，本文把</w:t>
      </w:r>
      <w:r>
        <w:t xml:space="preserve"> </w:t>
      </w:r>
      <w:r>
        <w:rPr>
          <w:rFonts w:hint="eastAsia"/>
        </w:rPr>
        <w:t xml:space="preserve">SPR、商业库存和绕道运输都作为部分缓冲变量：它们改变剩余缺口和价格峰值，却不直接决定长期均衡价格。</w:t>
      </w:r>
    </w:p>
    <w:p>
      <w:pPr>
        <w:pStyle w:val="BodyText"/>
      </w:pPr>
      <w:r>
        <w:rPr>
          <w:rFonts w:hint="eastAsia"/>
        </w:rPr>
        <w:t xml:space="preserve">在风险变量方面，Caldara</w:t>
      </w:r>
      <w:r>
        <w:t xml:space="preserve"> </w:t>
      </w:r>
      <w:r>
        <w:rPr>
          <w:rFonts w:hint="eastAsia"/>
        </w:rPr>
        <w:t xml:space="preserve">与</w:t>
      </w:r>
      <w:r>
        <w:t xml:space="preserve"> </w:t>
      </w:r>
      <w:r>
        <w:rPr>
          <w:rFonts w:hint="eastAsia"/>
        </w:rPr>
        <w:t xml:space="preserve">Iacoviello（2022）提供了</w:t>
      </w:r>
      <w:r>
        <w:t xml:space="preserve"> GPR </w:t>
      </w:r>
      <w:r>
        <w:rPr>
          <w:rFonts w:hint="eastAsia"/>
        </w:rPr>
        <w:t xml:space="preserve">指数的理论和数据基础，Mei</w:t>
      </w:r>
      <w:r>
        <w:t xml:space="preserve"> </w:t>
      </w:r>
      <w:r>
        <w:rPr>
          <w:rFonts w:hint="eastAsia"/>
        </w:rPr>
        <w:t xml:space="preserve">等（2020）、Liu</w:t>
      </w:r>
      <w:r>
        <w:t xml:space="preserve"> </w:t>
      </w:r>
      <w:r>
        <w:rPr>
          <w:rFonts w:hint="eastAsia"/>
        </w:rPr>
        <w:t xml:space="preserve">等（2019）说明地缘风险更适合解释油价波动和尾部风险。由于</w:t>
      </w:r>
      <w:r>
        <w:t xml:space="preserve"> GPR </w:t>
      </w:r>
      <w:r>
        <w:rPr>
          <w:rFonts w:hint="eastAsia"/>
        </w:rPr>
        <w:t xml:space="preserve">来自新闻文本，本文不将同步</w:t>
      </w:r>
      <w:r>
        <w:t xml:space="preserve"> GPR </w:t>
      </w:r>
      <w:r>
        <w:rPr>
          <w:rFonts w:hint="eastAsia"/>
        </w:rPr>
        <w:t xml:space="preserve">输入短期拟合，而只将其作为外部风险校验和滞后检验变量，防止同月新闻与同月油价之间的内生性循环。进一步地，本文接入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隐含波动率，将更接近市场交易定价的风险变量用于长期风险权重和不确定性强度约束，而不把它包装成短期方向预测因子。</w:t>
      </w:r>
    </w:p>
    <w:p>
      <w:pPr>
        <w:pStyle w:val="TableCaption"/>
      </w:pPr>
      <w:r>
        <w:rPr>
          <w:rFonts w:hint="eastAsia"/>
        </w:rPr>
        <w:t xml:space="preserve">核心文献对本文模型设计的约束</w:t>
      </w:r>
    </w:p>
    <w:tbl>
      <w:tblPr>
        <w:tblStyle w:val="Table"/>
        <w:tblW w:type="auto" w:w="0"/>
        <w:tblLook w:firstRow="1" w:lastRow="0" w:firstColumn="0" w:lastColumn="0" w:noHBand="0" w:noVBand="0" w:val="0020"/>
        <w:tblCaption w:val="核心文献对本文模型设计的约束"/>
      </w:tblPr>
      <w:tblGrid>
        <w:gridCol w:w="2640"/>
        <w:gridCol w:w="2640"/>
        <w:gridCol w:w="2640"/>
      </w:tblGrid>
      <w:tr>
        <w:trPr>
          <w:tblHeader w:val="on"/>
        </w:trPr>
        <w:tc>
          <w:tcPr/>
          <w:p>
            <w:pPr>
              <w:pStyle w:val="Compact"/>
              <w:jc w:val="left"/>
            </w:pPr>
            <w:r>
              <w:rPr>
                <w:rFonts w:hint="eastAsia"/>
              </w:rPr>
              <w:t xml:space="preserve">文献主线</w:t>
            </w:r>
          </w:p>
        </w:tc>
        <w:tc>
          <w:tcPr/>
          <w:p>
            <w:pPr>
              <w:pStyle w:val="Compact"/>
              <w:jc w:val="left"/>
            </w:pPr>
            <w:r>
              <w:rPr>
                <w:rFonts w:hint="eastAsia"/>
              </w:rPr>
              <w:t xml:space="preserve">对本文的约束</w:t>
            </w:r>
          </w:p>
        </w:tc>
        <w:tc>
          <w:tcPr/>
          <w:p>
            <w:pPr>
              <w:pStyle w:val="Compact"/>
              <w:jc w:val="left"/>
            </w:pPr>
            <w:r>
              <w:rPr>
                <w:rFonts w:hint="eastAsia"/>
              </w:rPr>
              <w:t xml:space="preserve">落地位置</w:t>
            </w:r>
          </w:p>
        </w:tc>
      </w:tr>
      <w:tr>
        <w:tc>
          <w:tcPr/>
          <w:p>
            <w:pPr>
              <w:pStyle w:val="Compact"/>
              <w:jc w:val="left"/>
            </w:pPr>
            <w:r>
              <w:rPr>
                <w:rFonts w:hint="eastAsia"/>
              </w:rPr>
              <w:t xml:space="preserve">油价冲击分解</w:t>
            </w:r>
          </w:p>
        </w:tc>
        <w:tc>
          <w:tcPr/>
          <w:p>
            <w:pPr>
              <w:pStyle w:val="Compact"/>
              <w:jc w:val="left"/>
            </w:pPr>
            <w:r>
              <w:rPr>
                <w:rFonts w:hint="eastAsia"/>
              </w:rPr>
              <w:t xml:space="preserve">不能只用供应缺口解释油价，需纳入库存、预期和风险重估</w:t>
            </w:r>
          </w:p>
        </w:tc>
        <w:tc>
          <w:tcPr/>
          <w:p>
            <w:pPr>
              <w:pStyle w:val="Compact"/>
              <w:jc w:val="left"/>
            </w:pPr>
            <w:r>
              <w:rPr>
                <w:rFonts w:hint="eastAsia"/>
              </w:rPr>
              <w:t xml:space="preserve">传统基准与综合机制递推模型</w:t>
            </w:r>
          </w:p>
        </w:tc>
      </w:tr>
      <w:tr>
        <w:tc>
          <w:tcPr/>
          <w:p>
            <w:pPr>
              <w:pStyle w:val="Compact"/>
              <w:jc w:val="left"/>
            </w:pPr>
            <w:r>
              <w:rPr>
                <w:rFonts w:hint="eastAsia"/>
              </w:rPr>
              <w:t xml:space="preserve">随机游走强基准</w:t>
            </w:r>
          </w:p>
        </w:tc>
        <w:tc>
          <w:tcPr/>
          <w:p>
            <w:pPr>
              <w:pStyle w:val="Compact"/>
              <w:jc w:val="left"/>
            </w:pPr>
            <w:r>
              <w:t xml:space="preserve">RMSE </w:t>
            </w:r>
            <w:r>
              <w:rPr>
                <w:rFonts w:hint="eastAsia"/>
              </w:rPr>
              <w:t xml:space="preserve">必须和</w:t>
            </w:r>
            <w:r>
              <w:t xml:space="preserve"> no-change、Random Walk、ARIMA </w:t>
            </w:r>
            <w:r>
              <w:rPr>
                <w:rFonts w:hint="eastAsia"/>
              </w:rPr>
              <w:t xml:space="preserve">等基准比较</w:t>
            </w:r>
          </w:p>
        </w:tc>
        <w:tc>
          <w:tcPr/>
          <w:p>
            <w:pPr>
              <w:pStyle w:val="Compact"/>
              <w:jc w:val="left"/>
            </w:pPr>
            <w:r>
              <w:rPr>
                <w:rFonts w:hint="eastAsia"/>
              </w:rPr>
              <w:t xml:space="preserve">短期模型基准对比与</w:t>
            </w:r>
            <w:r>
              <w:t xml:space="preserve"> DM </w:t>
            </w:r>
            <w:r>
              <w:rPr>
                <w:rFonts w:hint="eastAsia"/>
              </w:rPr>
              <w:t xml:space="preserve">检验</w:t>
            </w:r>
          </w:p>
        </w:tc>
      </w:tr>
      <w:tr>
        <w:tc>
          <w:tcPr/>
          <w:p>
            <w:pPr>
              <w:pStyle w:val="Compact"/>
              <w:jc w:val="left"/>
            </w:pPr>
            <w:r>
              <w:t xml:space="preserve">SPR </w:t>
            </w:r>
            <w:r>
              <w:rPr>
                <w:rFonts w:hint="eastAsia"/>
              </w:rPr>
              <w:t xml:space="preserve">与库存政策缓冲</w:t>
            </w:r>
          </w:p>
        </w:tc>
        <w:tc>
          <w:tcPr/>
          <w:p>
            <w:pPr>
              <w:pStyle w:val="Compact"/>
              <w:jc w:val="left"/>
            </w:pPr>
            <w:r>
              <w:t xml:space="preserve">SPR </w:t>
            </w:r>
            <w:r>
              <w:rPr>
                <w:rFonts w:hint="eastAsia"/>
              </w:rPr>
              <w:t xml:space="preserve">是削峰和争取时间，不是完全填补缺口的万能变量</w:t>
            </w:r>
          </w:p>
        </w:tc>
        <w:tc>
          <w:tcPr/>
          <w:p>
            <w:pPr>
              <w:pStyle w:val="Compact"/>
              <w:jc w:val="left"/>
            </w:pPr>
            <w:r>
              <w:rPr>
                <w:rFonts w:hint="eastAsia"/>
              </w:rPr>
              <w:t xml:space="preserve">物理供需层、消融实验和长期敏感性分析</w:t>
            </w:r>
          </w:p>
        </w:tc>
      </w:tr>
      <w:tr>
        <w:tc>
          <w:tcPr/>
          <w:p>
            <w:pPr>
              <w:pStyle w:val="Compact"/>
              <w:jc w:val="left"/>
            </w:pPr>
            <w:r>
              <w:t xml:space="preserve">GPR </w:t>
            </w:r>
            <w:r>
              <w:rPr>
                <w:rFonts w:hint="eastAsia"/>
              </w:rPr>
              <w:t xml:space="preserve">与</w:t>
            </w:r>
            <w:r>
              <w:t xml:space="preserve"> OVX </w:t>
            </w:r>
            <w:r>
              <w:rPr>
                <w:rFonts w:hint="eastAsia"/>
              </w:rPr>
              <w:t xml:space="preserve">波动风险</w:t>
            </w:r>
          </w:p>
        </w:tc>
        <w:tc>
          <w:tcPr/>
          <w:p>
            <w:pPr>
              <w:pStyle w:val="Compact"/>
              <w:jc w:val="left"/>
            </w:pPr>
            <w:r>
              <w:t xml:space="preserve">GPR </w:t>
            </w:r>
            <w:r>
              <w:rPr>
                <w:rFonts w:hint="eastAsia"/>
              </w:rPr>
              <w:t xml:space="preserve">适合做风险校验，OVX</w:t>
            </w:r>
            <w:r>
              <w:t xml:space="preserve"> </w:t>
            </w:r>
            <w:r>
              <w:rPr>
                <w:rFonts w:hint="eastAsia"/>
              </w:rPr>
              <w:t xml:space="preserve">适合做市场隐含波动率约束，二者均不宜同步解释同日或同月油价方向</w:t>
            </w:r>
          </w:p>
        </w:tc>
        <w:tc>
          <w:tcPr/>
          <w:p>
            <w:pPr>
              <w:pStyle w:val="Compact"/>
              <w:jc w:val="left"/>
            </w:pPr>
            <w:r>
              <w:rPr>
                <w:rFonts w:hint="eastAsia"/>
              </w:rPr>
              <w:t xml:space="preserve">滞后</w:t>
            </w:r>
            <w:r>
              <w:t xml:space="preserve"> GPR </w:t>
            </w:r>
            <w:r>
              <w:rPr>
                <w:rFonts w:hint="eastAsia"/>
              </w:rPr>
              <w:t xml:space="preserve">检验、OVX</w:t>
            </w:r>
            <w:r>
              <w:t xml:space="preserve"> </w:t>
            </w:r>
            <w:r>
              <w:rPr>
                <w:rFonts w:hint="eastAsia"/>
              </w:rPr>
              <w:t xml:space="preserve">滞后波动检验和长期尾部风险解释</w:t>
            </w:r>
          </w:p>
        </w:tc>
      </w:tr>
      <w:tr>
        <w:tc>
          <w:tcPr/>
          <w:p>
            <w:pPr>
              <w:pStyle w:val="Compact"/>
              <w:jc w:val="left"/>
            </w:pPr>
            <w:r>
              <w:rPr>
                <w:rFonts w:hint="eastAsia"/>
              </w:rPr>
              <w:t xml:space="preserve">长期预测不确定性</w:t>
            </w:r>
          </w:p>
        </w:tc>
        <w:tc>
          <w:tcPr/>
          <w:p>
            <w:pPr>
              <w:pStyle w:val="Compact"/>
              <w:jc w:val="left"/>
            </w:pPr>
            <w:r>
              <w:rPr>
                <w:rFonts w:hint="eastAsia"/>
              </w:rPr>
              <w:t xml:space="preserve">长期结果应报告情景、区间和尾部概率，不夸大单点预测</w:t>
            </w:r>
          </w:p>
        </w:tc>
        <w:tc>
          <w:tcPr/>
          <w:p>
            <w:pPr>
              <w:pStyle w:val="Compact"/>
              <w:jc w:val="left"/>
            </w:pPr>
            <w:r>
              <w:rPr>
                <w:rFonts w:hint="eastAsia"/>
              </w:rPr>
              <w:t xml:space="preserve">三情景、蒙特卡洛和状态转移情景树</w:t>
            </w:r>
          </w:p>
        </w:tc>
      </w:tr>
    </w:tbl>
    <w:bookmarkEnd w:id="16"/>
    <w:bookmarkEnd w:id="17"/>
    <w:bookmarkStart w:id="29" w:name="数据处理与描述性分析"/>
    <w:p>
      <w:pPr>
        <w:pStyle w:val="Heading1"/>
      </w:pPr>
      <w:r>
        <w:rPr>
          <w:rFonts w:hint="eastAsia"/>
        </w:rPr>
        <w:t xml:space="preserve">数据处理与描述性分析</w:t>
      </w:r>
    </w:p>
    <w:bookmarkStart w:id="24"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日。数据清洗步骤包括日期解析、数值字段标准化、收益率计算、滚动波动率计算和冲突窗口截取。第一条记录的前收盘价缺失属于正常时间序列边界，冲突窗口内收盘价不存在缺失。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本文采用附件</w:t>
      </w:r>
      <w:r>
        <w:t xml:space="preserve"> CSV </w:t>
      </w:r>
      <w:r>
        <w:rPr>
          <w:rFonts w:hint="eastAsia"/>
        </w:rPr>
        <w:t xml:space="preserve">中的</w:t>
      </w:r>
      <w:r>
        <w:t xml:space="preserve"> </w:t>
      </w:r>
      <w:r>
        <w:rPr>
          <w:rStyle w:val="VerbatimChar"/>
        </w:rPr>
        <w:t xml:space="preserve">close_price</w:t>
      </w:r>
      <w:r>
        <w:t xml:space="preserve"> </w:t>
      </w:r>
      <w:r>
        <w:rPr>
          <w:rFonts w:hint="eastAsia"/>
        </w:rPr>
        <w:t xml:space="preserve">作为拟合目标。题面中提到的极端峰值和附件</w:t>
      </w:r>
      <w:r>
        <w:t xml:space="preserve"> CSV </w:t>
      </w:r>
      <w:r>
        <w:rPr>
          <w:rFonts w:hint="eastAsia"/>
        </w:rPr>
        <w:t xml:space="preserve">的收盘价口径并不完全一致，因此本文在建模评价中坚持</w:t>
      </w:r>
      <w:r>
        <w:rPr>
          <w:rFonts w:hint="eastAsia"/>
        </w:rPr>
        <w:t xml:space="preserve">“以附件数据为准”</w:t>
      </w:r>
      <w:r>
        <w:rPr>
          <w:rFonts w:hint="eastAsia"/>
        </w:rPr>
        <w:t xml:space="preserve">，并把题面峰值作为极端冲击叙述背景。</w:t>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p>
      <w:pPr>
        <w:pStyle w:val="BodyText"/>
      </w:pPr>
      <w:r>
        <w:rPr>
          <w:rFonts w:hint="eastAsia"/>
        </w:rPr>
        <w:t xml:space="preserve">为增强长期情景预测的外部约束，本文进一步补充</w:t>
      </w:r>
      <w:r>
        <w:t xml:space="preserve"> EIA </w:t>
      </w:r>
      <w:r>
        <w:rPr>
          <w:rFonts w:hint="eastAsia"/>
        </w:rPr>
        <w:t xml:space="preserve">官方周度数据，包括美国</w:t>
      </w:r>
      <w:r>
        <w:t xml:space="preserve"> SPR </w:t>
      </w:r>
      <w:r>
        <w:rPr>
          <w:rFonts w:hint="eastAsia"/>
        </w:rPr>
        <w:t xml:space="preserve">原油库存、美国商业原油库存和美国原油产量。需要说明的是，这些数据均为美国口径，不能直接等同全球战略储备、全球商业库存或全球供给恢复能力；本文将其用于校验长期模型的数量级和叙述边界，而不是粗暴替换赛题给定的全球冲击参数。</w:t>
      </w:r>
    </w:p>
    <w:p>
      <w:pPr>
        <w:pStyle w:val="TableCaption"/>
      </w:pPr>
      <w:r>
        <w:t xml:space="preserve">EIA </w:t>
      </w:r>
      <w:r>
        <w:rPr>
          <w:rFonts w:hint="eastAsia"/>
        </w:rPr>
        <w:t xml:space="preserve">官方外生数据摘要</w:t>
      </w:r>
    </w:p>
    <w:tbl>
      <w:tblPr>
        <w:tblStyle w:val="Table"/>
        <w:tblW w:type="auto" w:w="0"/>
        <w:tblLook w:firstRow="1" w:lastRow="0" w:firstColumn="0" w:lastColumn="0" w:noHBand="0" w:noVBand="0" w:val="0020"/>
        <w:tblCaption w:val="EIA 官方外生数据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冲突前数值</w:t>
            </w:r>
          </w:p>
        </w:tc>
        <w:tc>
          <w:tcPr/>
          <w:p>
            <w:pPr>
              <w:pStyle w:val="Compact"/>
              <w:jc w:val="right"/>
            </w:pPr>
            <w:r>
              <w:rPr>
                <w:rFonts w:hint="eastAsia"/>
              </w:rPr>
              <w:t xml:space="preserve">窗口末数值</w:t>
            </w:r>
          </w:p>
        </w:tc>
        <w:tc>
          <w:tcPr/>
          <w:p>
            <w:pPr>
              <w:pStyle w:val="Compact"/>
              <w:jc w:val="right"/>
            </w:pPr>
            <w:r>
              <w:rPr>
                <w:rFonts w:hint="eastAsia"/>
              </w:rPr>
              <w:t xml:space="preserve">窗口变化</w:t>
            </w:r>
          </w:p>
        </w:tc>
        <w:tc>
          <w:tcPr/>
          <w:p>
            <w:pPr>
              <w:pStyle w:val="Compact"/>
              <w:jc w:val="right"/>
            </w:pPr>
            <w:r>
              <w:rPr>
                <w:rFonts w:hint="eastAsia"/>
              </w:rPr>
              <w:t xml:space="preserve">日均变化</w:t>
            </w:r>
          </w:p>
        </w:tc>
      </w:tr>
      <w:tr>
        <w:tc>
          <w:tcPr/>
          <w:p>
            <w:pPr>
              <w:pStyle w:val="Compact"/>
              <w:jc w:val="left"/>
            </w:pPr>
            <w:r>
              <w:rPr>
                <w:rFonts w:hint="eastAsia"/>
              </w:rPr>
              <w:t xml:space="preserve">美国</w:t>
            </w:r>
            <w:r>
              <w:t xml:space="preserve"> SPR </w:t>
            </w:r>
            <w:r>
              <w:rPr>
                <w:rFonts w:hint="eastAsia"/>
              </w:rPr>
              <w:t xml:space="preserve">库存</w:t>
            </w:r>
          </w:p>
        </w:tc>
        <w:tc>
          <w:tcPr/>
          <w:p>
            <w:pPr>
              <w:pStyle w:val="Compact"/>
              <w:jc w:val="right"/>
            </w:pPr>
            <w:r>
              <w:t xml:space="preserve">415441</w:t>
            </w:r>
          </w:p>
        </w:tc>
        <w:tc>
          <w:tcPr/>
          <w:p>
            <w:pPr>
              <w:pStyle w:val="Compact"/>
              <w:jc w:val="right"/>
            </w:pPr>
            <w:r>
              <w:t xml:space="preserve">392700</w:t>
            </w:r>
          </w:p>
        </w:tc>
        <w:tc>
          <w:tcPr/>
          <w:p>
            <w:pPr>
              <w:pStyle w:val="Compact"/>
              <w:jc w:val="right"/>
            </w:pPr>
            <w:r>
              <w:t xml:space="preserve">-2274.1 </w:t>
            </w:r>
            <w:r>
              <w:rPr>
                <w:rFonts w:hint="eastAsia"/>
              </w:rPr>
              <w:t xml:space="preserve">万桶</w:t>
            </w:r>
          </w:p>
        </w:tc>
        <w:tc>
          <w:tcPr/>
          <w:p>
            <w:pPr>
              <w:pStyle w:val="Compact"/>
              <w:jc w:val="right"/>
            </w:pPr>
            <w:r>
              <w:t xml:space="preserve">-36.10 </w:t>
            </w:r>
            <w:r>
              <w:rPr>
                <w:rFonts w:hint="eastAsia"/>
              </w:rPr>
              <w:t xml:space="preserve">万桶/日</w:t>
            </w:r>
          </w:p>
        </w:tc>
      </w:tr>
      <w:tr>
        <w:tc>
          <w:tcPr/>
          <w:p>
            <w:pPr>
              <w:pStyle w:val="Compact"/>
              <w:jc w:val="left"/>
            </w:pPr>
            <w:r>
              <w:rPr>
                <w:rFonts w:hint="eastAsia"/>
              </w:rPr>
              <w:t xml:space="preserve">美国商业库存</w:t>
            </w:r>
          </w:p>
        </w:tc>
        <w:tc>
          <w:tcPr/>
          <w:p>
            <w:pPr>
              <w:pStyle w:val="Compact"/>
              <w:jc w:val="right"/>
            </w:pPr>
            <w:r>
              <w:t xml:space="preserve">439279</w:t>
            </w:r>
          </w:p>
        </w:tc>
        <w:tc>
          <w:tcPr/>
          <w:p>
            <w:pPr>
              <w:pStyle w:val="Compact"/>
              <w:jc w:val="right"/>
            </w:pPr>
            <w:r>
              <w:t xml:space="preserve">457182</w:t>
            </w:r>
          </w:p>
        </w:tc>
        <w:tc>
          <w:tcPr/>
          <w:p>
            <w:pPr>
              <w:pStyle w:val="Compact"/>
              <w:jc w:val="right"/>
            </w:pPr>
            <w:r>
              <w:t xml:space="preserve">1790.3 </w:t>
            </w:r>
            <w:r>
              <w:rPr>
                <w:rFonts w:hint="eastAsia"/>
              </w:rPr>
              <w:t xml:space="preserve">万桶</w:t>
            </w:r>
          </w:p>
        </w:tc>
        <w:tc>
          <w:tcPr/>
          <w:p>
            <w:pPr>
              <w:pStyle w:val="Compact"/>
              <w:jc w:val="right"/>
            </w:pPr>
            <w:r>
              <w:t xml:space="preserve">28.42 </w:t>
            </w:r>
            <w:r>
              <w:rPr>
                <w:rFonts w:hint="eastAsia"/>
              </w:rPr>
              <w:t xml:space="preserve">万桶/日</w:t>
            </w:r>
          </w:p>
        </w:tc>
      </w:tr>
      <w:tr>
        <w:tc>
          <w:tcPr/>
          <w:p>
            <w:pPr>
              <w:pStyle w:val="Compact"/>
              <w:jc w:val="left"/>
            </w:pPr>
            <w:r>
              <w:rPr>
                <w:rFonts w:hint="eastAsia"/>
              </w:rPr>
              <w:t xml:space="preserve">美国原油产量</w:t>
            </w:r>
          </w:p>
        </w:tc>
        <w:tc>
          <w:tcPr/>
          <w:p>
            <w:pPr>
              <w:pStyle w:val="Compact"/>
              <w:jc w:val="right"/>
            </w:pPr>
            <w:r>
              <w:t xml:space="preserve">13696</w:t>
            </w:r>
          </w:p>
        </w:tc>
        <w:tc>
          <w:tcPr/>
          <w:p>
            <w:pPr>
              <w:pStyle w:val="Compact"/>
              <w:jc w:val="right"/>
            </w:pPr>
            <w:r>
              <w:t xml:space="preserve">13573</w:t>
            </w:r>
          </w:p>
        </w:tc>
        <w:tc>
          <w:tcPr/>
          <w:p>
            <w:pPr>
              <w:pStyle w:val="Compact"/>
              <w:jc w:val="right"/>
            </w:pPr>
            <w:r>
              <w:t xml:space="preserve">-12.3 </w:t>
            </w:r>
            <w:r>
              <w:rPr>
                <w:rFonts w:hint="eastAsia"/>
              </w:rPr>
              <w:t xml:space="preserve">万桶/日</w:t>
            </w:r>
          </w:p>
        </w:tc>
        <w:tc>
          <w:tcPr/>
          <w:p>
            <w:pPr>
              <w:pStyle w:val="Compact"/>
              <w:jc w:val="right"/>
            </w:pPr>
            <w:r>
              <w:t xml:space="preserve">-0.20 </w:t>
            </w:r>
            <w:r>
              <w:rPr>
                <w:rFonts w:hint="eastAsia"/>
              </w:rPr>
              <w:t xml:space="preserve">万桶/日</w:t>
            </w:r>
          </w:p>
        </w:tc>
      </w:tr>
    </w:tbl>
    <w:p>
      <w:pPr>
        <w:pStyle w:val="BodyText"/>
      </w:pPr>
      <w:r>
        <w:rPr>
          <w:rFonts w:hint="eastAsia"/>
        </w:rPr>
        <w:t xml:space="preserve">该外部数据带来三个约束。第一，美国</w:t>
      </w:r>
      <w:r>
        <w:t xml:space="preserve"> SPR </w:t>
      </w:r>
      <w:r>
        <w:rPr>
          <w:rFonts w:hint="eastAsia"/>
        </w:rPr>
        <w:t xml:space="preserve">释放强度明显低于赛题给定的国际协调释放上限，因此模型中的</w:t>
      </w:r>
      <w:r>
        <w:t xml:space="preserve"> SPR </w:t>
      </w:r>
      <w:r>
        <w:rPr>
          <w:rFonts w:hint="eastAsia"/>
        </w:rPr>
        <w:t xml:space="preserve">参数应解释为全球或多国协调缓冲能力，而非美国单独释放量。第二，美国商业库存并未在冲突窗口内快速耗尽，说明库存缓冲不能被写成机械消耗项。第三，美国原油产量短期变化较小，支持</w:t>
      </w:r>
      <w:r>
        <w:rPr>
          <w:rFonts w:hint="eastAsia"/>
        </w:rPr>
        <w:t xml:space="preserve">“非海湾供给恢复较慢，难以单独抵消封锁缺口”</w:t>
      </w:r>
      <w:r>
        <w:rPr>
          <w:rFonts w:hint="eastAsia"/>
        </w:rPr>
        <w:t xml:space="preserve">的长期设定。</w:t>
      </w:r>
    </w:p>
    <w:p>
      <w:pPr>
        <w:pStyle w:val="BodyText"/>
      </w:pPr>
      <w:r>
        <w:rPr>
          <w:rFonts w:hint="eastAsia"/>
        </w:rPr>
        <w:t xml:space="preserve">为补强全球口径约束，本文进一步接入</w:t>
      </w:r>
      <w:r>
        <w:t xml:space="preserve"> JODI Oil World Database。JODI </w:t>
      </w:r>
      <w:r>
        <w:rPr>
          <w:rFonts w:hint="eastAsia"/>
        </w:rPr>
        <w:t xml:space="preserve">数据由国际能源论坛协调，汇集多国官方上报的月度石油数据。本文下载</w:t>
      </w:r>
      <w:r>
        <w:t xml:space="preserve"> 2025 </w:t>
      </w:r>
      <w:r>
        <w:rPr>
          <w:rFonts w:hint="eastAsia"/>
        </w:rPr>
        <w:t xml:space="preserve">年完整年度</w:t>
      </w:r>
      <w:r>
        <w:t xml:space="preserve"> CSV </w:t>
      </w:r>
      <w:r>
        <w:rPr>
          <w:rFonts w:hint="eastAsia"/>
        </w:rPr>
        <w:t xml:space="preserve">和</w:t>
      </w:r>
      <w:r>
        <w:t xml:space="preserve"> 2026 </w:t>
      </w:r>
      <w:r>
        <w:rPr>
          <w:rFonts w:hint="eastAsia"/>
        </w:rPr>
        <w:t xml:space="preserve">年当前年度</w:t>
      </w:r>
      <w:r>
        <w:t xml:space="preserve"> </w:t>
      </w:r>
      <w:r>
        <w:rPr>
          <w:rFonts w:hint="eastAsia"/>
        </w:rPr>
        <w:t xml:space="preserve">CSV，抽取一次石油和二次石油中的产量、库存、进出口、油品需求与炼厂产出。由于</w:t>
      </w:r>
      <w:r>
        <w:t xml:space="preserve"> JODI </w:t>
      </w:r>
      <w:r>
        <w:rPr>
          <w:rFonts w:hint="eastAsia"/>
        </w:rPr>
        <w:t xml:space="preserve">存在国家覆盖差异和发布滞后，本文不把它写成完整全球总量，而称为</w:t>
      </w:r>
      <w:r>
        <w:rPr>
          <w:rFonts w:hint="eastAsia"/>
        </w:rPr>
        <w:t xml:space="preserve">“多国上报口径”</w:t>
      </w:r>
      <w:r>
        <w:rPr>
          <w:rFonts w:hint="eastAsia"/>
        </w:rPr>
        <w:t xml:space="preserve">；所有变化量均采用</w:t>
      </w:r>
      <w:r>
        <w:t xml:space="preserve"> 2026 </w:t>
      </w:r>
      <w:r>
        <w:rPr>
          <w:rFonts w:hint="eastAsia"/>
        </w:rPr>
        <w:t xml:space="preserve">年</w:t>
      </w:r>
      <w:r>
        <w:t xml:space="preserve"> 2 </w:t>
      </w:r>
      <w:r>
        <w:rPr>
          <w:rFonts w:hint="eastAsia"/>
        </w:rPr>
        <w:t xml:space="preserve">月已上报国家/地区作为同口径样本，再回看这些国家/地区在</w:t>
      </w:r>
      <w:r>
        <w:t xml:space="preserve"> 2025 </w:t>
      </w:r>
      <w:r>
        <w:rPr>
          <w:rFonts w:hint="eastAsia"/>
        </w:rPr>
        <w:t xml:space="preserve">年</w:t>
      </w:r>
      <w:r>
        <w:t xml:space="preserve"> 2 </w:t>
      </w:r>
      <w:r>
        <w:rPr>
          <w:rFonts w:hint="eastAsia"/>
        </w:rPr>
        <w:t xml:space="preserve">月和</w:t>
      </w:r>
      <w:r>
        <w:t xml:space="preserve"> 2025 </w:t>
      </w:r>
      <w:r>
        <w:rPr>
          <w:rFonts w:hint="eastAsia"/>
        </w:rPr>
        <w:t xml:space="preserve">年</w:t>
      </w:r>
      <w:r>
        <w:t xml:space="preserve"> 12 </w:t>
      </w:r>
      <w:r>
        <w:rPr>
          <w:rFonts w:hint="eastAsia"/>
        </w:rPr>
        <w:t xml:space="preserve">月的数值。</w:t>
      </w:r>
    </w:p>
    <w:p>
      <w:pPr>
        <w:pStyle w:val="TableCaption"/>
      </w:pPr>
      <w:r>
        <w:t xml:space="preserve">JODI </w:t>
      </w:r>
      <w:r>
        <w:rPr>
          <w:rFonts w:hint="eastAsia"/>
        </w:rPr>
        <w:t xml:space="preserve">多国口径外生约束摘要</w:t>
      </w:r>
    </w:p>
    <w:tbl>
      <w:tblPr>
        <w:tblStyle w:val="Table"/>
        <w:tblW w:type="auto" w:w="0"/>
        <w:tblLook w:firstRow="1" w:lastRow="0" w:firstColumn="0" w:lastColumn="0" w:noHBand="0" w:noVBand="0" w:val="0020"/>
        <w:tblCaption w:val="JODI 多国口径外生约束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月份</w:t>
            </w:r>
          </w:p>
        </w:tc>
        <w:tc>
          <w:tcPr/>
          <w:p>
            <w:pPr>
              <w:pStyle w:val="Compact"/>
              <w:jc w:val="right"/>
            </w:pPr>
            <w:r>
              <w:rPr>
                <w:rFonts w:hint="eastAsia"/>
              </w:rPr>
              <w:t xml:space="preserve">数值</w:t>
            </w:r>
          </w:p>
        </w:tc>
        <w:tc>
          <w:tcPr/>
          <w:p>
            <w:pPr>
              <w:pStyle w:val="Compact"/>
              <w:jc w:val="right"/>
            </w:pPr>
            <w:r>
              <w:rPr>
                <w:rFonts w:hint="eastAsia"/>
              </w:rPr>
              <w:t xml:space="preserve">单位</w:t>
            </w:r>
          </w:p>
        </w:tc>
        <w:tc>
          <w:tcPr/>
          <w:p>
            <w:pPr>
              <w:pStyle w:val="Compact"/>
              <w:jc w:val="right"/>
            </w:pPr>
            <w:r>
              <w:rPr>
                <w:rFonts w:hint="eastAsia"/>
              </w:rPr>
              <w:t xml:space="preserve">同口径较上年末变化</w:t>
            </w:r>
          </w:p>
        </w:tc>
      </w:tr>
      <w:tr>
        <w:tc>
          <w:tcPr/>
          <w:p>
            <w:pPr>
              <w:pStyle w:val="Compact"/>
              <w:jc w:val="left"/>
            </w:pPr>
            <w:r>
              <w:rPr>
                <w:rFonts w:hint="eastAsia"/>
              </w:rPr>
              <w:t xml:space="preserve">原油及凝析油产量</w:t>
            </w:r>
          </w:p>
        </w:tc>
        <w:tc>
          <w:tcPr/>
          <w:p>
            <w:pPr>
              <w:pStyle w:val="Compact"/>
              <w:jc w:val="right"/>
            </w:pPr>
            <w:r>
              <w:t xml:space="preserve">2026-02</w:t>
            </w:r>
          </w:p>
        </w:tc>
        <w:tc>
          <w:tcPr/>
          <w:p>
            <w:pPr>
              <w:pStyle w:val="Compact"/>
              <w:jc w:val="right"/>
            </w:pPr>
            <w:r>
              <w:t xml:space="preserve">51456.97</w:t>
            </w:r>
          </w:p>
        </w:tc>
        <w:tc>
          <w:tcPr/>
          <w:p>
            <w:pPr>
              <w:pStyle w:val="Compact"/>
              <w:jc w:val="right"/>
            </w:pPr>
            <w:r>
              <w:t xml:space="preserve">KBD</w:t>
            </w:r>
          </w:p>
        </w:tc>
        <w:tc>
          <w:tcPr/>
          <w:p>
            <w:pPr>
              <w:pStyle w:val="Compact"/>
              <w:jc w:val="right"/>
            </w:pPr>
            <w:r>
              <w:t xml:space="preserve">108.39</w:t>
            </w:r>
          </w:p>
        </w:tc>
      </w:tr>
      <w:tr>
        <w:tc>
          <w:tcPr/>
          <w:p>
            <w:pPr>
              <w:pStyle w:val="Compact"/>
              <w:jc w:val="left"/>
            </w:pPr>
            <w:r>
              <w:rPr>
                <w:rFonts w:hint="eastAsia"/>
              </w:rPr>
              <w:t xml:space="preserve">原油及凝析油期末库存</w:t>
            </w:r>
          </w:p>
        </w:tc>
        <w:tc>
          <w:tcPr/>
          <w:p>
            <w:pPr>
              <w:pStyle w:val="Compact"/>
              <w:jc w:val="right"/>
            </w:pPr>
            <w:r>
              <w:t xml:space="preserve">2026-02</w:t>
            </w:r>
          </w:p>
        </w:tc>
        <w:tc>
          <w:tcPr/>
          <w:p>
            <w:pPr>
              <w:pStyle w:val="Compact"/>
              <w:jc w:val="right"/>
            </w:pPr>
            <w:r>
              <w:t xml:space="preserve">2203133.02</w:t>
            </w:r>
          </w:p>
        </w:tc>
        <w:tc>
          <w:tcPr/>
          <w:p>
            <w:pPr>
              <w:pStyle w:val="Compact"/>
              <w:jc w:val="right"/>
            </w:pPr>
            <w:r>
              <w:t xml:space="preserve">KBBL</w:t>
            </w:r>
          </w:p>
        </w:tc>
        <w:tc>
          <w:tcPr/>
          <w:p>
            <w:pPr>
              <w:pStyle w:val="Compact"/>
              <w:jc w:val="right"/>
            </w:pPr>
            <w:r>
              <w:t xml:space="preserve">20073.83</w:t>
            </w:r>
          </w:p>
        </w:tc>
      </w:tr>
      <w:tr>
        <w:tc>
          <w:tcPr/>
          <w:p>
            <w:pPr>
              <w:pStyle w:val="Compact"/>
              <w:jc w:val="left"/>
            </w:pPr>
            <w:r>
              <w:rPr>
                <w:rFonts w:hint="eastAsia"/>
              </w:rPr>
              <w:t xml:space="preserve">原油及凝析油进口</w:t>
            </w:r>
          </w:p>
        </w:tc>
        <w:tc>
          <w:tcPr/>
          <w:p>
            <w:pPr>
              <w:pStyle w:val="Compact"/>
              <w:jc w:val="right"/>
            </w:pPr>
            <w:r>
              <w:t xml:space="preserve">2026-02</w:t>
            </w:r>
          </w:p>
        </w:tc>
        <w:tc>
          <w:tcPr/>
          <w:p>
            <w:pPr>
              <w:pStyle w:val="Compact"/>
              <w:jc w:val="right"/>
            </w:pPr>
            <w:r>
              <w:t xml:space="preserve">26746.71</w:t>
            </w:r>
          </w:p>
        </w:tc>
        <w:tc>
          <w:tcPr/>
          <w:p>
            <w:pPr>
              <w:pStyle w:val="Compact"/>
              <w:jc w:val="right"/>
            </w:pPr>
            <w:r>
              <w:t xml:space="preserve">KBD</w:t>
            </w:r>
          </w:p>
        </w:tc>
        <w:tc>
          <w:tcPr/>
          <w:p>
            <w:pPr>
              <w:pStyle w:val="Compact"/>
              <w:jc w:val="right"/>
            </w:pPr>
            <w:r>
              <w:t xml:space="preserve">-963.69</w:t>
            </w:r>
          </w:p>
        </w:tc>
      </w:tr>
      <w:tr>
        <w:tc>
          <w:tcPr/>
          <w:p>
            <w:pPr>
              <w:pStyle w:val="Compact"/>
              <w:jc w:val="left"/>
            </w:pPr>
            <w:r>
              <w:rPr>
                <w:rFonts w:hint="eastAsia"/>
              </w:rPr>
              <w:t xml:space="preserve">原油及凝析油出口</w:t>
            </w:r>
          </w:p>
        </w:tc>
        <w:tc>
          <w:tcPr/>
          <w:p>
            <w:pPr>
              <w:pStyle w:val="Compact"/>
              <w:jc w:val="right"/>
            </w:pPr>
            <w:r>
              <w:t xml:space="preserve">2026-02</w:t>
            </w:r>
          </w:p>
        </w:tc>
        <w:tc>
          <w:tcPr/>
          <w:p>
            <w:pPr>
              <w:pStyle w:val="Compact"/>
              <w:jc w:val="right"/>
            </w:pPr>
            <w:r>
              <w:t xml:space="preserve">22887.30</w:t>
            </w:r>
          </w:p>
        </w:tc>
        <w:tc>
          <w:tcPr/>
          <w:p>
            <w:pPr>
              <w:pStyle w:val="Compact"/>
              <w:jc w:val="right"/>
            </w:pPr>
            <w:r>
              <w:t xml:space="preserve">KBD</w:t>
            </w:r>
          </w:p>
        </w:tc>
        <w:tc>
          <w:tcPr/>
          <w:p>
            <w:pPr>
              <w:pStyle w:val="Compact"/>
              <w:jc w:val="right"/>
            </w:pPr>
            <w:r>
              <w:t xml:space="preserve">-465.39</w:t>
            </w:r>
          </w:p>
        </w:tc>
      </w:tr>
      <w:tr>
        <w:tc>
          <w:tcPr/>
          <w:p>
            <w:pPr>
              <w:pStyle w:val="Compact"/>
              <w:jc w:val="left"/>
            </w:pPr>
            <w:r>
              <w:rPr>
                <w:rFonts w:hint="eastAsia"/>
              </w:rPr>
              <w:t xml:space="preserve">油品总需求</w:t>
            </w:r>
          </w:p>
        </w:tc>
        <w:tc>
          <w:tcPr/>
          <w:p>
            <w:pPr>
              <w:pStyle w:val="Compact"/>
              <w:jc w:val="right"/>
            </w:pPr>
            <w:r>
              <w:t xml:space="preserve">2026-02</w:t>
            </w:r>
          </w:p>
        </w:tc>
        <w:tc>
          <w:tcPr/>
          <w:p>
            <w:pPr>
              <w:pStyle w:val="Compact"/>
              <w:jc w:val="right"/>
            </w:pPr>
            <w:r>
              <w:t xml:space="preserve">52784.43</w:t>
            </w:r>
          </w:p>
        </w:tc>
        <w:tc>
          <w:tcPr/>
          <w:p>
            <w:pPr>
              <w:pStyle w:val="Compact"/>
              <w:jc w:val="right"/>
            </w:pPr>
            <w:r>
              <w:t xml:space="preserve">KBD</w:t>
            </w:r>
          </w:p>
        </w:tc>
        <w:tc>
          <w:tcPr/>
          <w:p>
            <w:pPr>
              <w:pStyle w:val="Compact"/>
              <w:jc w:val="right"/>
            </w:pPr>
            <w:r>
              <w:t xml:space="preserve">423.81</w:t>
            </w:r>
          </w:p>
        </w:tc>
      </w:tr>
      <w:tr>
        <w:tc>
          <w:tcPr/>
          <w:p>
            <w:pPr>
              <w:pStyle w:val="Compact"/>
              <w:jc w:val="left"/>
            </w:pPr>
            <w:r>
              <w:rPr>
                <w:rFonts w:hint="eastAsia"/>
              </w:rPr>
              <w:t xml:space="preserve">油品炼厂总产出</w:t>
            </w:r>
          </w:p>
        </w:tc>
        <w:tc>
          <w:tcPr/>
          <w:p>
            <w:pPr>
              <w:pStyle w:val="Compact"/>
              <w:jc w:val="right"/>
            </w:pPr>
            <w:r>
              <w:t xml:space="preserve">2026-02</w:t>
            </w:r>
          </w:p>
        </w:tc>
        <w:tc>
          <w:tcPr/>
          <w:p>
            <w:pPr>
              <w:pStyle w:val="Compact"/>
              <w:jc w:val="right"/>
            </w:pPr>
            <w:r>
              <w:t xml:space="preserve">54428.66</w:t>
            </w:r>
          </w:p>
        </w:tc>
        <w:tc>
          <w:tcPr/>
          <w:p>
            <w:pPr>
              <w:pStyle w:val="Compact"/>
              <w:jc w:val="right"/>
            </w:pPr>
            <w:r>
              <w:t xml:space="preserve">KBD</w:t>
            </w:r>
          </w:p>
        </w:tc>
        <w:tc>
          <w:tcPr/>
          <w:p>
            <w:pPr>
              <w:pStyle w:val="Compact"/>
              <w:jc w:val="right"/>
            </w:pPr>
            <w:r>
              <w:t xml:space="preserve">4316.20</w:t>
            </w:r>
          </w:p>
        </w:tc>
      </w:tr>
      <w:tr>
        <w:tc>
          <w:tcPr/>
          <w:p>
            <w:pPr>
              <w:pStyle w:val="Compact"/>
              <w:jc w:val="left"/>
            </w:pPr>
            <w:r>
              <w:rPr>
                <w:rFonts w:hint="eastAsia"/>
              </w:rPr>
              <w:t xml:space="preserve">油品期末库存</w:t>
            </w:r>
          </w:p>
        </w:tc>
        <w:tc>
          <w:tcPr/>
          <w:p>
            <w:pPr>
              <w:pStyle w:val="Compact"/>
              <w:jc w:val="right"/>
            </w:pPr>
            <w:r>
              <w:t xml:space="preserve">2026-02</w:t>
            </w:r>
          </w:p>
        </w:tc>
        <w:tc>
          <w:tcPr/>
          <w:p>
            <w:pPr>
              <w:pStyle w:val="Compact"/>
              <w:jc w:val="right"/>
            </w:pPr>
            <w:r>
              <w:t xml:space="preserve">1837991.05</w:t>
            </w:r>
          </w:p>
        </w:tc>
        <w:tc>
          <w:tcPr/>
          <w:p>
            <w:pPr>
              <w:pStyle w:val="Compact"/>
              <w:jc w:val="right"/>
            </w:pPr>
            <w:r>
              <w:t xml:space="preserve">KBBL</w:t>
            </w:r>
          </w:p>
        </w:tc>
        <w:tc>
          <w:tcPr/>
          <w:p>
            <w:pPr>
              <w:pStyle w:val="Compact"/>
              <w:jc w:val="right"/>
            </w:pPr>
            <w:r>
              <w:t xml:space="preserve">49713.86</w:t>
            </w:r>
          </w:p>
        </w:tc>
      </w:tr>
    </w:tbl>
    <w:p>
      <w:pPr>
        <w:pStyle w:val="BodyText"/>
      </w:pPr>
      <w:r>
        <w:t xml:space="preserve">JODI </w:t>
      </w:r>
      <w:r>
        <w:rPr>
          <w:rFonts w:hint="eastAsia"/>
        </w:rPr>
        <w:t xml:space="preserve">数据对长期模型提供了更强的外部边界：第一，非海湾供给恢复和需求调整应理解为多国系统的缓慢响应，而不是某个国家单独变量；第二，库存缓冲应同时区分原油库存和成品油库存，不能只用美国商业库存代表全球库存；第三，2026</w:t>
      </w:r>
      <w:r>
        <w:t xml:space="preserve"> </w:t>
      </w:r>
      <w:r>
        <w:rPr>
          <w:rFonts w:hint="eastAsia"/>
        </w:rPr>
        <w:t xml:space="preserve">年</w:t>
      </w:r>
      <w:r>
        <w:t xml:space="preserve"> 2 </w:t>
      </w:r>
      <w:r>
        <w:rPr>
          <w:rFonts w:hint="eastAsia"/>
        </w:rPr>
        <w:t xml:space="preserve">月可得数据只到冲突发生前，因此它适合作为长期外推的先验约束，不适合作为</w:t>
      </w:r>
      <w:r>
        <w:t xml:space="preserve"> 3–5 </w:t>
      </w:r>
      <w:r>
        <w:rPr>
          <w:rFonts w:hint="eastAsia"/>
        </w:rPr>
        <w:t xml:space="preserve">月短期拟合的同步解释变量。</w:t>
      </w:r>
    </w:p>
    <w:p>
      <w:pPr>
        <w:pStyle w:val="BodyText"/>
      </w:pPr>
      <w:r>
        <w:rPr>
          <w:rFonts w:hint="eastAsia"/>
        </w:rPr>
        <w:t xml:space="preserve">在此基础上，本文进一步整理</w:t>
      </w:r>
      <w:r>
        <w:t xml:space="preserve"> OPEC Monthly Oil Market Report </w:t>
      </w:r>
      <w:r>
        <w:rPr>
          <w:rFonts w:hint="eastAsia"/>
        </w:rPr>
        <w:t xml:space="preserve">中的全球供需平衡表。与</w:t>
      </w:r>
      <w:r>
        <w:t xml:space="preserve"> EIA、JODI </w:t>
      </w:r>
      <w:r>
        <w:rPr>
          <w:rFonts w:hint="eastAsia"/>
        </w:rPr>
        <w:t xml:space="preserve">不同，OPEC</w:t>
      </w:r>
      <w:r>
        <w:t xml:space="preserve"> </w:t>
      </w:r>
      <w:r>
        <w:rPr>
          <w:rFonts w:hint="eastAsia"/>
        </w:rPr>
        <w:t xml:space="preserve">表给出的是全球正常情景下的年度和季度供需基线，适合约束</w:t>
      </w:r>
      <w:r>
        <w:t xml:space="preserve"> 60–180 </w:t>
      </w:r>
      <w:r>
        <w:rPr>
          <w:rFonts w:hint="eastAsia"/>
        </w:rPr>
        <w:t xml:space="preserve">天长期外推中的需求背景、非</w:t>
      </w:r>
      <w:r>
        <w:t xml:space="preserve"> DoC </w:t>
      </w:r>
      <w:r>
        <w:rPr>
          <w:rFonts w:hint="eastAsia"/>
        </w:rPr>
        <w:t xml:space="preserve">供给恢复和</w:t>
      </w:r>
      <w:r>
        <w:t xml:space="preserve"> DoC </w:t>
      </w:r>
      <w:r>
        <w:rPr>
          <w:rFonts w:hint="eastAsia"/>
        </w:rPr>
        <w:t xml:space="preserve">原油需求差额尾部压力。</w:t>
      </w:r>
    </w:p>
    <w:p>
      <w:pPr>
        <w:pStyle w:val="TableCaption"/>
      </w:pPr>
      <w:r>
        <w:t xml:space="preserve">OPEC </w:t>
      </w:r>
      <w:r>
        <w:rPr>
          <w:rFonts w:hint="eastAsia"/>
        </w:rPr>
        <w:t xml:space="preserve">全球供需平衡表关键约束</w:t>
      </w:r>
    </w:p>
    <w:tbl>
      <w:tblPr>
        <w:tblStyle w:val="Table"/>
        <w:tblW w:type="auto" w:w="0"/>
        <w:tblLook w:firstRow="1" w:lastRow="0" w:firstColumn="0" w:lastColumn="0" w:noHBand="0" w:noVBand="0" w:val="0020"/>
        <w:tblCaption w:val="OPEC 全球供需平衡表关键约束"/>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right"/>
            </w:pPr>
            <w:r>
              <w:rPr>
                <w:rFonts w:hint="eastAsia"/>
              </w:rPr>
              <w:t xml:space="preserve">单位</w:t>
            </w:r>
          </w:p>
        </w:tc>
        <w:tc>
          <w:tcPr/>
          <w:p>
            <w:pPr>
              <w:pStyle w:val="Compact"/>
              <w:jc w:val="left"/>
            </w:pPr>
            <w:r>
              <w:rPr>
                <w:rFonts w:hint="eastAsia"/>
              </w:rPr>
              <w:t xml:space="preserve">模型含义</w:t>
            </w:r>
          </w:p>
        </w:tc>
      </w:tr>
      <w:tr>
        <w:tc>
          <w:tcPr/>
          <w:p>
            <w:pPr>
              <w:pStyle w:val="Compact"/>
              <w:jc w:val="left"/>
            </w:pPr>
            <w:r>
              <w:t xml:space="preserve">2026 </w:t>
            </w:r>
            <w:r>
              <w:rPr>
                <w:rFonts w:hint="eastAsia"/>
              </w:rPr>
              <w:t xml:space="preserve">年世界石油需求增量</w:t>
            </w:r>
          </w:p>
        </w:tc>
        <w:tc>
          <w:tcPr/>
          <w:p>
            <w:pPr>
              <w:pStyle w:val="Compact"/>
              <w:jc w:val="right"/>
            </w:pPr>
            <w:r>
              <w:t xml:space="preserve">1.40</w:t>
            </w:r>
          </w:p>
        </w:tc>
        <w:tc>
          <w:tcPr/>
          <w:p>
            <w:pPr>
              <w:pStyle w:val="Compact"/>
              <w:jc w:val="right"/>
            </w:pPr>
            <w:r>
              <w:t xml:space="preserve">mb/d</w:t>
            </w:r>
          </w:p>
        </w:tc>
        <w:tc>
          <w:tcPr/>
          <w:p>
            <w:pPr>
              <w:pStyle w:val="Compact"/>
              <w:jc w:val="left"/>
            </w:pPr>
            <w:r>
              <w:rPr>
                <w:rFonts w:hint="eastAsia"/>
              </w:rPr>
              <w:t xml:space="preserve">长期需求背景仍增长，需求收缩不能设得过强</w:t>
            </w:r>
          </w:p>
        </w:tc>
      </w:tr>
      <w:tr>
        <w:tc>
          <w:tcPr/>
          <w:p>
            <w:pPr>
              <w:pStyle w:val="Compact"/>
              <w:jc w:val="left"/>
            </w:pPr>
            <w:r>
              <w:t xml:space="preserve">2026 </w:t>
            </w:r>
            <w:r>
              <w:rPr>
                <w:rFonts w:hint="eastAsia"/>
              </w:rPr>
              <w:t xml:space="preserve">年非</w:t>
            </w:r>
            <w:r>
              <w:t xml:space="preserve"> DoC </w:t>
            </w:r>
            <w:r>
              <w:rPr>
                <w:rFonts w:hint="eastAsia"/>
              </w:rPr>
              <w:t xml:space="preserve">液体供给增量</w:t>
            </w:r>
          </w:p>
        </w:tc>
        <w:tc>
          <w:tcPr/>
          <w:p>
            <w:pPr>
              <w:pStyle w:val="Compact"/>
              <w:jc w:val="right"/>
            </w:pPr>
            <w:r>
              <w:t xml:space="preserve">0.60</w:t>
            </w:r>
          </w:p>
        </w:tc>
        <w:tc>
          <w:tcPr/>
          <w:p>
            <w:pPr>
              <w:pStyle w:val="Compact"/>
              <w:jc w:val="right"/>
            </w:pPr>
            <w:r>
              <w:t xml:space="preserve">mb/d</w:t>
            </w:r>
          </w:p>
        </w:tc>
        <w:tc>
          <w:tcPr/>
          <w:p>
            <w:pPr>
              <w:pStyle w:val="Compact"/>
              <w:jc w:val="left"/>
            </w:pPr>
            <w:r>
              <w:rPr>
                <w:rFonts w:hint="eastAsia"/>
              </w:rPr>
              <w:t xml:space="preserve">外部供给有恢复能力，但远小于封锁冲击量级</w:t>
            </w:r>
          </w:p>
        </w:tc>
      </w:tr>
      <w:tr>
        <w:tc>
          <w:tcPr/>
          <w:p>
            <w:pPr>
              <w:pStyle w:val="Compact"/>
              <w:jc w:val="left"/>
            </w:pPr>
            <w:r>
              <w:t xml:space="preserve">2026 </w:t>
            </w:r>
            <w:r>
              <w:rPr>
                <w:rFonts w:hint="eastAsia"/>
              </w:rPr>
              <w:t xml:space="preserve">年</w:t>
            </w:r>
            <w:r>
              <w:t xml:space="preserve"> DoC </w:t>
            </w:r>
            <w:r>
              <w:rPr>
                <w:rFonts w:hint="eastAsia"/>
              </w:rPr>
              <w:t xml:space="preserve">原油需求差额增量</w:t>
            </w:r>
          </w:p>
        </w:tc>
        <w:tc>
          <w:tcPr/>
          <w:p>
            <w:pPr>
              <w:pStyle w:val="Compact"/>
              <w:jc w:val="right"/>
            </w:pPr>
            <w:r>
              <w:t xml:space="preserve">0.60</w:t>
            </w:r>
          </w:p>
        </w:tc>
        <w:tc>
          <w:tcPr/>
          <w:p>
            <w:pPr>
              <w:pStyle w:val="Compact"/>
              <w:jc w:val="right"/>
            </w:pPr>
            <w:r>
              <w:t xml:space="preserve">mb/d</w:t>
            </w:r>
          </w:p>
        </w:tc>
        <w:tc>
          <w:tcPr/>
          <w:p>
            <w:pPr>
              <w:pStyle w:val="Compact"/>
              <w:jc w:val="left"/>
            </w:pPr>
            <w:r>
              <w:rPr>
                <w:rFonts w:hint="eastAsia"/>
              </w:rPr>
              <w:t xml:space="preserve">对</w:t>
            </w:r>
            <w:r>
              <w:t xml:space="preserve"> DoC </w:t>
            </w:r>
            <w:r>
              <w:rPr>
                <w:rFonts w:hint="eastAsia"/>
              </w:rPr>
              <w:t xml:space="preserve">原油的压力仍上升，支持保留尾部风险</w:t>
            </w:r>
          </w:p>
        </w:tc>
      </w:tr>
      <w:tr>
        <w:tc>
          <w:tcPr/>
          <w:p>
            <w:pPr>
              <w:pStyle w:val="Compact"/>
              <w:jc w:val="left"/>
            </w:pPr>
            <w:r>
              <w:t xml:space="preserve">2026 </w:t>
            </w:r>
            <w:r>
              <w:rPr>
                <w:rFonts w:hint="eastAsia"/>
              </w:rPr>
              <w:t xml:space="preserve">年</w:t>
            </w:r>
            <w:r>
              <w:t xml:space="preserve"> DoC </w:t>
            </w:r>
            <w:r>
              <w:rPr>
                <w:rFonts w:hint="eastAsia"/>
              </w:rPr>
              <w:t xml:space="preserve">原油需求差额峰值</w:t>
            </w:r>
          </w:p>
        </w:tc>
        <w:tc>
          <w:tcPr/>
          <w:p>
            <w:pPr>
              <w:pStyle w:val="Compact"/>
              <w:jc w:val="right"/>
            </w:pPr>
            <w:r>
              <w:t xml:space="preserve">43.70</w:t>
            </w:r>
          </w:p>
        </w:tc>
        <w:tc>
          <w:tcPr/>
          <w:p>
            <w:pPr>
              <w:pStyle w:val="Compact"/>
              <w:jc w:val="right"/>
            </w:pPr>
            <w:r>
              <w:t xml:space="preserve">mb/d</w:t>
            </w:r>
          </w:p>
        </w:tc>
        <w:tc>
          <w:tcPr/>
          <w:p>
            <w:pPr>
              <w:pStyle w:val="Compact"/>
              <w:jc w:val="left"/>
            </w:pPr>
            <w:r>
              <w:rPr>
                <w:rFonts w:hint="eastAsia"/>
              </w:rPr>
              <w:t xml:space="preserve">下半年需求差额更高，长期模型需保留季节性压力</w:t>
            </w:r>
          </w:p>
        </w:tc>
      </w:tr>
      <w:tr>
        <w:tc>
          <w:tcPr/>
          <w:p>
            <w:pPr>
              <w:pStyle w:val="Compact"/>
              <w:jc w:val="left"/>
            </w:pPr>
            <w:r>
              <w:rPr>
                <w:rFonts w:hint="eastAsia"/>
              </w:rPr>
              <w:t xml:space="preserve">峰值高于年均</w:t>
            </w:r>
          </w:p>
        </w:tc>
        <w:tc>
          <w:tcPr/>
          <w:p>
            <w:pPr>
              <w:pStyle w:val="Compact"/>
              <w:jc w:val="right"/>
            </w:pPr>
            <w:r>
              <w:t xml:space="preserve">0.70</w:t>
            </w:r>
          </w:p>
        </w:tc>
        <w:tc>
          <w:tcPr/>
          <w:p>
            <w:pPr>
              <w:pStyle w:val="Compact"/>
              <w:jc w:val="right"/>
            </w:pPr>
            <w:r>
              <w:t xml:space="preserve">mb/d</w:t>
            </w:r>
          </w:p>
        </w:tc>
        <w:tc>
          <w:tcPr/>
          <w:p>
            <w:pPr>
              <w:pStyle w:val="Compact"/>
              <w:jc w:val="left"/>
            </w:pPr>
            <w:r>
              <w:rPr>
                <w:rFonts w:hint="eastAsia"/>
              </w:rPr>
              <w:t xml:space="preserve">用于温和抬升尾部风险权重</w:t>
            </w:r>
          </w:p>
        </w:tc>
      </w:tr>
    </w:tbl>
    <w:p>
      <w:pPr>
        <w:pStyle w:val="BodyText"/>
      </w:pPr>
      <w:r>
        <w:t xml:space="preserve">OPEC </w:t>
      </w:r>
      <w:r>
        <w:rPr>
          <w:rFonts w:hint="eastAsia"/>
        </w:rPr>
        <w:t xml:space="preserve">表并不替代赛题冲击参数。它只说明：在没有霍尔木兹极端封锁的正常基线下，2026</w:t>
      </w:r>
      <w:r>
        <w:t xml:space="preserve"> </w:t>
      </w:r>
      <w:r>
        <w:rPr>
          <w:rFonts w:hint="eastAsia"/>
        </w:rPr>
        <w:t xml:space="preserve">年全球需求仍有增长、非</w:t>
      </w:r>
      <w:r>
        <w:t xml:space="preserve"> DoC </w:t>
      </w:r>
      <w:r>
        <w:rPr>
          <w:rFonts w:hint="eastAsia"/>
        </w:rPr>
        <w:t xml:space="preserve">供给恢复有限且下半年</w:t>
      </w:r>
      <w:r>
        <w:t xml:space="preserve"> DoC </w:t>
      </w:r>
      <w:r>
        <w:rPr>
          <w:rFonts w:hint="eastAsia"/>
        </w:rPr>
        <w:t xml:space="preserve">原油需求差额更高。因此，长期模型不能把价格回落解释成</w:t>
      </w:r>
      <w:r>
        <w:rPr>
          <w:rFonts w:hint="eastAsia"/>
        </w:rPr>
        <w:t xml:space="preserve">“全球需求自然塌陷”</w:t>
      </w:r>
      <w:r>
        <w:rPr>
          <w:rFonts w:hint="eastAsia"/>
        </w:rPr>
        <w:t xml:space="preserve">，而应解释为政策缓冲、供给恢复、需求弹性和风险溢价衰减共同作用后的条件路径。</w:t>
      </w:r>
    </w:p>
    <w:p>
      <w:pPr>
        <w:pStyle w:val="BodyText"/>
      </w:pPr>
      <w:r>
        <w:rPr>
          <w:rFonts w:hint="eastAsia"/>
        </w:rPr>
        <w:t xml:space="preserve">本文还接入</w:t>
      </w:r>
      <w:r>
        <w:t xml:space="preserve"> Caldara-Iacoviello </w:t>
      </w:r>
      <w:r>
        <w:rPr>
          <w:rFonts w:hint="eastAsia"/>
        </w:rPr>
        <w:t xml:space="preserve">官方</w:t>
      </w:r>
      <w:r>
        <w:t xml:space="preserve"> GPR </w:t>
      </w:r>
      <w:r>
        <w:rPr>
          <w:rFonts w:hint="eastAsia"/>
        </w:rPr>
        <w:t xml:space="preserve">月度指数，作为地缘风险溢价的外部校验变量。由于</w:t>
      </w:r>
      <w:r>
        <w:t xml:space="preserve"> GPR </w:t>
      </w:r>
      <w:r>
        <w:rPr>
          <w:rFonts w:hint="eastAsia"/>
        </w:rPr>
        <w:t xml:space="preserve">由新闻文本构造，同月指数不直接进入短期拟合；详细滞后检验放在第</w:t>
      </w:r>
      <w:r>
        <w:t xml:space="preserve"> 9.5 </w:t>
      </w:r>
      <w:r>
        <w:rPr>
          <w:rFonts w:hint="eastAsia"/>
        </w:rPr>
        <w:t xml:space="preserve">节统一报告。与此同时，本文接入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隐含波动率。OVX</w:t>
      </w:r>
      <w:r>
        <w:t xml:space="preserve"> </w:t>
      </w:r>
      <w:r>
        <w:rPr>
          <w:rFonts w:hint="eastAsia"/>
        </w:rPr>
        <w:t xml:space="preserve">反映期权市场对未来约</w:t>
      </w:r>
      <w:r>
        <w:t xml:space="preserve"> 30 </w:t>
      </w:r>
      <w:r>
        <w:rPr>
          <w:rFonts w:hint="eastAsia"/>
        </w:rPr>
        <w:t xml:space="preserve">日油价波动的定价，冲突窗口均值为</w:t>
      </w:r>
      <w:r>
        <w:t xml:space="preserve"> </w:t>
      </w:r>
      <w:r>
        <w:rPr>
          <w:rFonts w:hint="eastAsia"/>
        </w:rPr>
        <w:t xml:space="preserve">87.07，最大值为</w:t>
      </w:r>
      <w:r>
        <w:t xml:space="preserve"> </w:t>
      </w:r>
      <w:r>
        <w:rPr>
          <w:rFonts w:hint="eastAsia"/>
        </w:rPr>
        <w:t xml:space="preserve">120.91，同长度历史窗口均值分位约</w:t>
      </w:r>
      <w:r>
        <w:t xml:space="preserve"> </w:t>
      </w:r>
      <w:r>
        <w:rPr>
          <w:rFonts w:hint="eastAsia"/>
        </w:rPr>
        <w:t xml:space="preserve">97.3%，因此适合进入长期风险权重和不确定性强度约束。</w:t>
      </w:r>
    </w:p>
    <w:p>
      <w:pPr>
        <w:pStyle w:val="CaptionedFigure"/>
      </w:pPr>
      <w:r>
        <w:drawing>
          <wp:inline>
            <wp:extent cx="4907280" cy="2453640"/>
            <wp:effectExtent b="0" l="0" r="0" t="0"/>
            <wp:docPr descr="" title="" id="19" name="Picture"/>
            <a:graphic>
              <a:graphicData uri="http://schemas.openxmlformats.org/drawingml/2006/picture">
                <pic:pic>
                  <pic:nvPicPr>
                    <pic:cNvPr descr="布伦特原油长期价格走势.png" id="20" name="Picture"/>
                    <pic:cNvPicPr>
                      <a:picLocks noChangeArrowheads="1" noChangeAspect="1"/>
                    </pic:cNvPicPr>
                  </pic:nvPicPr>
                  <pic:blipFill>
                    <a:blip r:embed="rId18"/>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布伦特原油期货主力合约收盘价长期走势。</w:t>
      </w:r>
    </w:p>
    <w:p>
      <w:pPr>
        <w:pStyle w:val="CaptionedFigure"/>
      </w:pPr>
      <w:r>
        <w:drawing>
          <wp:inline>
            <wp:extent cx="4907280" cy="2453640"/>
            <wp:effectExtent b="0" l="0" r="0" t="0"/>
            <wp:docPr descr="" title="" id="22" name="Picture"/>
            <a:graphic>
              <a:graphicData uri="http://schemas.openxmlformats.org/drawingml/2006/picture">
                <pic:pic>
                  <pic:nvPicPr>
                    <pic:cNvPr descr="冲突窗口价格走势.png" id="23" name="Picture"/>
                    <pic:cNvPicPr>
                      <a:picLocks noChangeArrowheads="1" noChangeAspect="1"/>
                    </pic:cNvPicPr>
                  </pic:nvPicPr>
                  <pic:blipFill>
                    <a:blip r:embed="rId21"/>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冲突窗口内附件真实价格路径。</w:t>
      </w:r>
    </w:p>
    <w:bookmarkEnd w:id="24"/>
    <w:bookmarkStart w:id="28"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26" name="Picture"/>
            <a:graphic>
              <a:graphicData uri="http://schemas.openxmlformats.org/drawingml/2006/picture">
                <pic:pic>
                  <pic:nvPicPr>
                    <pic:cNvPr descr="布伦特收益率与波动率.png" id="27" name="Picture"/>
                    <pic:cNvPicPr>
                      <a:picLocks noChangeArrowheads="1" noChangeAspect="1"/>
                    </pic:cNvPicPr>
                  </pic:nvPicPr>
                  <pic:blipFill>
                    <a:blip r:embed="rId25"/>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收益率与滚动波动率。冲突窗口波动放大，为事件机制建模提供依据。</w:t>
      </w:r>
    </w:p>
    <w:bookmarkEnd w:id="28"/>
    <w:bookmarkEnd w:id="29"/>
    <w:bookmarkStart w:id="33" w:name="模型假设与符号说明"/>
    <w:p>
      <w:pPr>
        <w:pStyle w:val="Heading1"/>
      </w:pPr>
      <w:r>
        <w:rPr>
          <w:rFonts w:hint="eastAsia"/>
        </w:rPr>
        <w:t xml:space="preserve">模型假设与符号说明</w:t>
      </w:r>
    </w:p>
    <w:bookmarkStart w:id="30"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t xml:space="preserve">60–180 </w:t>
      </w:r>
      <w:r>
        <w:rPr>
          <w:rFonts w:hint="eastAsia"/>
        </w:rPr>
        <w:t xml:space="preserve">天预测为条件情景外推，不代表真实未来观测，也不编造任何未来真实价格。</w:t>
      </w:r>
    </w:p>
    <w:bookmarkEnd w:id="30"/>
    <w:bookmarkStart w:id="31"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不确定性与制度风险强度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31"/>
    <w:bookmarkStart w:id="32" w:name="参数来源与识别边界"/>
    <w:p>
      <w:pPr>
        <w:pStyle w:val="Heading2"/>
      </w:pPr>
      <w:r>
        <w:rPr>
          <w:rFonts w:hint="eastAsia"/>
        </w:rPr>
        <w:t xml:space="preserve">参数来源与识别边界</w:t>
      </w:r>
    </w:p>
    <w:p>
      <w:pPr>
        <w:pStyle w:val="FirstParagraph"/>
      </w:pPr>
      <w:r>
        <w:rPr>
          <w:rFonts w:hint="eastAsia"/>
        </w:rPr>
        <w:t xml:space="preserve">为了避免把模型理解为单纯曲线拟合，本文将参数按来源分为六类。题面参数和附件统计量构成模型硬约束；官方外部数据只用于数量级校验；校准参数必须通过基准对比、消融实验和扰动检验；长期情景参数只用于</w:t>
      </w:r>
      <w:r>
        <w:t xml:space="preserve"> 60–180 </w:t>
      </w:r>
      <w:r>
        <w:rPr>
          <w:rFonts w:hint="eastAsia"/>
        </w:rPr>
        <w:t xml:space="preserve">天条件外推，不参与短期窗口的误差拟合；长期机制强度参数则必须显式命名，并进入敏感性分析。</w:t>
      </w:r>
    </w:p>
    <w:p>
      <w:pPr>
        <w:pStyle w:val="TableCaption"/>
      </w:pPr>
      <w:r>
        <w:rPr>
          <w:rFonts w:hint="eastAsia"/>
        </w:rPr>
        <w:t xml:space="preserve">参数来源分类与使用边界</w:t>
      </w:r>
    </w:p>
    <w:tbl>
      <w:tblPr>
        <w:tblStyle w:val="Table"/>
        <w:tblW w:type="auto" w:w="0"/>
        <w:tblLook w:firstRow="1" w:lastRow="0" w:firstColumn="0" w:lastColumn="0" w:noHBand="0" w:noVBand="0" w:val="0020"/>
        <w:tblCaption w:val="参数来源分类与使用边界"/>
      </w:tblPr>
      <w:tblGrid>
        <w:gridCol w:w="2640"/>
        <w:gridCol w:w="2640"/>
        <w:gridCol w:w="2640"/>
      </w:tblGrid>
      <w:tr>
        <w:trPr>
          <w:tblHeader w:val="on"/>
        </w:trPr>
        <w:tc>
          <w:tcPr/>
          <w:p>
            <w:pPr>
              <w:pStyle w:val="Compact"/>
              <w:jc w:val="left"/>
            </w:pPr>
            <w:r>
              <w:rPr>
                <w:rFonts w:hint="eastAsia"/>
              </w:rPr>
              <w:t xml:space="preserve">参数类别</w:t>
            </w:r>
          </w:p>
        </w:tc>
        <w:tc>
          <w:tcPr/>
          <w:p>
            <w:pPr>
              <w:pStyle w:val="Compact"/>
              <w:jc w:val="left"/>
            </w:pPr>
            <w:r>
              <w:rPr>
                <w:rFonts w:hint="eastAsia"/>
              </w:rPr>
              <w:t xml:space="preserve">代表变量</w:t>
            </w:r>
          </w:p>
        </w:tc>
        <w:tc>
          <w:tcPr/>
          <w:p>
            <w:pPr>
              <w:pStyle w:val="Compact"/>
              <w:jc w:val="left"/>
            </w:pPr>
            <w:r>
              <w:rPr>
                <w:rFonts w:hint="eastAsia"/>
              </w:rPr>
              <w:t xml:space="preserve">使用边界</w:t>
            </w:r>
          </w:p>
        </w:tc>
      </w:tr>
      <w:tr>
        <w:tc>
          <w:tcPr/>
          <w:p>
            <w:pPr>
              <w:pStyle w:val="Compact"/>
              <w:jc w:val="left"/>
            </w:pPr>
            <w:r>
              <w:rPr>
                <w:rFonts w:hint="eastAsia"/>
              </w:rPr>
              <w:t xml:space="preserve">题面给定参数</w:t>
            </w:r>
          </w:p>
        </w:tc>
        <w:tc>
          <w:tcPr/>
          <w:p>
            <w:pPr>
              <w:pStyle w:val="Compact"/>
              <w:jc w:val="left"/>
            </w:pPr>
            <w:r>
              <w:rPr>
                <w:rFonts w:hint="eastAsia"/>
              </w:rPr>
              <w:t xml:space="preserve">短期弹性</w:t>
            </w:r>
            <w:r>
              <w:t xml:space="preserve"> </w:t>
            </w:r>
            <m:oMath>
              <m:r>
                <m:t>ε</m:t>
              </m:r>
            </m:oMath>
            <w:r>
              <w:rPr>
                <w:rFonts w:hint="eastAsia"/>
              </w:rPr>
              <w:t xml:space="preserve">、供应中断范围、SPR</w:t>
            </w:r>
            <w:r>
              <w:t xml:space="preserve"> </w:t>
            </w:r>
            <w:r>
              <w:rPr>
                <w:rFonts w:hint="eastAsia"/>
              </w:rPr>
              <w:t xml:space="preserve">释放上限、恐慌持续时间</w:t>
            </w:r>
          </w:p>
        </w:tc>
        <w:tc>
          <w:tcPr/>
          <w:p>
            <w:pPr>
              <w:pStyle w:val="Compact"/>
              <w:jc w:val="left"/>
            </w:pPr>
            <w:r>
              <w:rPr>
                <w:rFonts w:hint="eastAsia"/>
              </w:rPr>
              <w:t xml:space="preserve">作为模型约束和传统供需基准依据，不在题面范围外任意调整</w:t>
            </w:r>
          </w:p>
        </w:tc>
      </w:tr>
      <w:tr>
        <w:tc>
          <w:tcPr/>
          <w:p>
            <w:pPr>
              <w:pStyle w:val="Compact"/>
              <w:jc w:val="left"/>
            </w:pPr>
            <w:r>
              <w:rPr>
                <w:rFonts w:hint="eastAsia"/>
              </w:rPr>
              <w:t xml:space="preserve">附件统计量</w:t>
            </w:r>
          </w:p>
        </w:tc>
        <w:tc>
          <w:tcPr/>
          <w:p>
            <w:pPr>
              <w:pStyle w:val="Compact"/>
              <w:jc w:val="left"/>
            </w:pPr>
            <w:r>
              <w:rPr>
                <w:rFonts w:hint="eastAsia"/>
              </w:rPr>
              <w:t xml:space="preserve">基准价格</w:t>
            </w:r>
            <w:r>
              <w:t xml:space="preserve"> </w:t>
            </w:r>
            <m:oMath>
              <m:sSub>
                <m:e>
                  <m:r>
                    <m:t>P</m:t>
                  </m:r>
                </m:e>
                <m:sub>
                  <m:r>
                    <m:t>0</m:t>
                  </m:r>
                </m:sub>
              </m:sSub>
            </m:oMath>
            <w:r>
              <w:rPr>
                <w:rFonts w:hint="eastAsia"/>
              </w:rPr>
              <w:t xml:space="preserve">、冲突窗口真实收盘价、收益率和波动率</w:t>
            </w:r>
          </w:p>
        </w:tc>
        <w:tc>
          <w:tcPr/>
          <w:p>
            <w:pPr>
              <w:pStyle w:val="Compact"/>
              <w:jc w:val="left"/>
            </w:pPr>
            <w:r>
              <w:rPr>
                <w:rFonts w:hint="eastAsia"/>
              </w:rPr>
              <w:t xml:space="preserve">作为拟合目标、误差评价和历史窗口比较依据</w:t>
            </w:r>
          </w:p>
        </w:tc>
      </w:tr>
      <w:tr>
        <w:tc>
          <w:tcPr/>
          <w:p>
            <w:pPr>
              <w:pStyle w:val="Compact"/>
              <w:jc w:val="left"/>
            </w:pPr>
            <w:r>
              <w:rPr>
                <w:rFonts w:hint="eastAsia"/>
              </w:rPr>
              <w:t xml:space="preserve">官方外部校验量</w:t>
            </w:r>
          </w:p>
        </w:tc>
        <w:tc>
          <w:tcPr/>
          <w:p>
            <w:pPr>
              <w:pStyle w:val="Compact"/>
              <w:jc w:val="left"/>
            </w:pPr>
            <w:r>
              <w:t xml:space="preserve">EIA </w:t>
            </w:r>
            <w:r>
              <w:rPr>
                <w:rFonts w:hint="eastAsia"/>
              </w:rPr>
              <w:t xml:space="preserve">周度</w:t>
            </w:r>
            <w:r>
              <w:t xml:space="preserve"> </w:t>
            </w:r>
            <w:r>
              <w:rPr>
                <w:rFonts w:hint="eastAsia"/>
              </w:rPr>
              <w:t xml:space="preserve">SPR、商业库存、原油产量，JODI</w:t>
            </w:r>
            <w:r>
              <w:t xml:space="preserve"> </w:t>
            </w:r>
            <w:r>
              <w:rPr>
                <w:rFonts w:hint="eastAsia"/>
              </w:rPr>
              <w:t xml:space="preserve">多国月度石油数据，OPEC</w:t>
            </w:r>
            <w:r>
              <w:t xml:space="preserve"> </w:t>
            </w:r>
            <w:r>
              <w:rPr>
                <w:rFonts w:hint="eastAsia"/>
              </w:rPr>
              <w:t xml:space="preserve">全球供需平衡表，Caldara-Iacoviello</w:t>
            </w:r>
            <w:r>
              <w:t xml:space="preserve"> GPR </w:t>
            </w:r>
            <w:r>
              <w:rPr>
                <w:rFonts w:hint="eastAsia"/>
              </w:rPr>
              <w:t xml:space="preserve">指数，Cboe/FRED</w:t>
            </w:r>
            <w:r>
              <w:t xml:space="preserve"> OVX </w:t>
            </w:r>
            <w:r>
              <w:rPr>
                <w:rFonts w:hint="eastAsia"/>
              </w:rPr>
              <w:t xml:space="preserve">隐含波动率</w:t>
            </w:r>
          </w:p>
        </w:tc>
        <w:tc>
          <w:tcPr/>
          <w:p>
            <w:pPr>
              <w:pStyle w:val="Compact"/>
              <w:jc w:val="left"/>
            </w:pPr>
            <w:r>
              <w:rPr>
                <w:rFonts w:hint="eastAsia"/>
              </w:rPr>
              <w:t xml:space="preserve">只用于校验长期约束、数量级和风险高位事实，不替代附件真实价格</w:t>
            </w:r>
          </w:p>
        </w:tc>
      </w:tr>
      <w:tr>
        <w:tc>
          <w:tcPr/>
          <w:p>
            <w:pPr>
              <w:pStyle w:val="Compact"/>
              <w:jc w:val="left"/>
            </w:pPr>
            <w:r>
              <w:rPr>
                <w:rFonts w:hint="eastAsia"/>
              </w:rPr>
              <w:t xml:space="preserve">机制校准参数</w:t>
            </w:r>
          </w:p>
        </w:tc>
        <w:tc>
          <w:tcPr/>
          <w:p>
            <w:pPr>
              <w:pStyle w:val="Compact"/>
              <w:jc w:val="left"/>
            </w:pPr>
            <w:r>
              <w:rPr>
                <w:rFonts w:hint="eastAsia"/>
              </w:rPr>
              <w:t xml:space="preserve">价格传导系数</w:t>
            </w:r>
            <w:r>
              <w:t xml:space="preserve"> </w:t>
            </w:r>
            <m:oMath>
              <m:r>
                <m:t>ϕ</m:t>
              </m:r>
            </m:oMath>
            <w:r>
              <w:rPr>
                <w:rFonts w:hint="eastAsia"/>
              </w:rPr>
              <w:t xml:space="preserve">、风险权重</w:t>
            </w:r>
            <w:r>
              <w:t xml:space="preserve"> </w:t>
            </w:r>
            <m:oMath>
              <m:r>
                <m:t>β</m:t>
              </m:r>
            </m:oMath>
            <w:r>
              <w:rPr>
                <w:rFonts w:hint="eastAsia"/>
              </w:rPr>
              <w:t xml:space="preserve">、缓冲确认强度、预期修复强度、调整速度</w:t>
            </w:r>
            <w:r>
              <w:t xml:space="preserve"> </w:t>
            </w:r>
            <m:oMath>
              <m:r>
                <m:t>v</m:t>
              </m:r>
            </m:oMath>
          </w:p>
        </w:tc>
        <w:tc>
          <w:tcPr/>
          <w:p>
            <w:pPr>
              <w:pStyle w:val="Compact"/>
              <w:jc w:val="left"/>
            </w:pPr>
            <w:r>
              <w:rPr>
                <w:rFonts w:hint="eastAsia"/>
              </w:rPr>
              <w:t xml:space="preserve">在固定机制结构内校准，并接受消融、扰动和结构稳定性检验</w:t>
            </w:r>
          </w:p>
        </w:tc>
      </w:tr>
      <w:tr>
        <w:tc>
          <w:tcPr/>
          <w:p>
            <w:pPr>
              <w:pStyle w:val="Compact"/>
              <w:jc w:val="left"/>
            </w:pPr>
            <w:r>
              <w:rPr>
                <w:rFonts w:hint="eastAsia"/>
              </w:rPr>
              <w:t xml:space="preserve">长期情景参数</w:t>
            </w:r>
          </w:p>
        </w:tc>
        <w:tc>
          <w:tcPr/>
          <w:p>
            <w:pPr>
              <w:pStyle w:val="Compact"/>
              <w:jc w:val="left"/>
            </w:pPr>
            <w:r>
              <w:t xml:space="preserve">OPEC+ </w:t>
            </w:r>
            <w:r>
              <w:rPr>
                <w:rFonts w:hint="eastAsia"/>
              </w:rPr>
              <w:t xml:space="preserve">响应、非</w:t>
            </w:r>
            <w:r>
              <w:t xml:space="preserve"> OPEC </w:t>
            </w:r>
            <w:r>
              <w:rPr>
                <w:rFonts w:hint="eastAsia"/>
              </w:rPr>
              <w:t xml:space="preserve">供给恢复、长期弹性、制度风险强度</w:t>
            </w:r>
          </w:p>
        </w:tc>
        <w:tc>
          <w:tcPr/>
          <w:p>
            <w:pPr>
              <w:pStyle w:val="Compact"/>
              <w:jc w:val="left"/>
            </w:pPr>
            <w:r>
              <w:rPr>
                <w:rFonts w:hint="eastAsia"/>
              </w:rPr>
              <w:t xml:space="preserve">只用于条件中心路径和尾部风险外推，不称为真实未来拟合</w:t>
            </w:r>
          </w:p>
        </w:tc>
      </w:tr>
      <w:tr>
        <w:tc>
          <w:tcPr/>
          <w:p>
            <w:pPr>
              <w:pStyle w:val="Compact"/>
              <w:jc w:val="left"/>
            </w:pPr>
            <w:r>
              <w:rPr>
                <w:rFonts w:hint="eastAsia"/>
              </w:rPr>
              <w:t xml:space="preserve">长期机制强度参数</w:t>
            </w:r>
          </w:p>
        </w:tc>
        <w:tc>
          <w:tcPr/>
          <w:p>
            <w:pPr>
              <w:pStyle w:val="Compact"/>
              <w:jc w:val="left"/>
            </w:pPr>
            <w:r>
              <w:rPr>
                <w:rFonts w:hint="eastAsia"/>
              </w:rPr>
              <w:t xml:space="preserve">冲击不确定性占比、制度风险占比、信心恢复后风险底座、过剩供给回归强度、封锁风险衰减速度</w:t>
            </w:r>
          </w:p>
        </w:tc>
        <w:tc>
          <w:tcPr/>
          <w:p>
            <w:pPr>
              <w:pStyle w:val="Compact"/>
              <w:jc w:val="left"/>
            </w:pPr>
            <w:r>
              <w:rPr>
                <w:rFonts w:hint="eastAsia"/>
              </w:rPr>
              <w:t xml:space="preserve">用于刻画长期机制形状，不作为官方物理常数，并在敏感性分析中单独扰动检验</w:t>
            </w:r>
          </w:p>
        </w:tc>
      </w:tr>
    </w:tbl>
    <w:p>
      <w:pPr>
        <w:pStyle w:val="BodyText"/>
      </w:pPr>
      <w:r>
        <w:rPr>
          <w:rFonts w:hint="eastAsia"/>
        </w:rPr>
        <w:t xml:space="preserve">其中最容易被误读的是价格传导系数</w:t>
      </w:r>
      <w:r>
        <w:t xml:space="preserve"> </w:t>
      </w:r>
      <m:oMath>
        <m:r>
          <m:t>ϕ</m:t>
        </m:r>
      </m:oMath>
      <w:r>
        <w:rPr>
          <w:rFonts w:hint="eastAsia"/>
        </w:rPr>
        <w:t xml:space="preserve">。本文没有用</w:t>
      </w:r>
      <w:r>
        <w:t xml:space="preserve"> </w:t>
      </w:r>
      <m:oMath>
        <m:r>
          <m:t>ϕ</m:t>
        </m:r>
      </m:oMath>
      <w:r>
        <w:t xml:space="preserve"> </w:t>
      </w:r>
      <w:r>
        <w:rPr>
          <w:rFonts w:hint="eastAsia"/>
        </w:rPr>
        <w:t xml:space="preserve">替换题面短期弹性</w:t>
      </w:r>
      <w:r>
        <w:t xml:space="preserve"> </w:t>
      </w:r>
      <m:oMath>
        <m:r>
          <m:t>ε</m:t>
        </m:r>
        <m:r>
          <m:rPr>
            <m:sty m:val="p"/>
          </m:rPr>
          <m:t>=</m:t>
        </m:r>
        <m:r>
          <m:rPr>
            <m:sty m:val="p"/>
          </m:rPr>
          <m:t>−</m:t>
        </m:r>
        <m:r>
          <m:t>0.05</m:t>
        </m:r>
      </m:oMath>
      <w:r>
        <w:rPr>
          <w:rFonts w:hint="eastAsia"/>
        </w:rPr>
        <w:t xml:space="preserve">：低弹性仍用于线性需求反事实基准，解释为什么静态模型会给出</w:t>
      </w:r>
      <w:r>
        <w:t xml:space="preserve"> 278–337 </w:t>
      </w:r>
      <w:r>
        <w:rPr>
          <w:rFonts w:hint="eastAsia"/>
        </w:rPr>
        <w:t xml:space="preserve">美元/桶的高价压力；常弹性需求口径只作为机械上界参照。</w:t>
      </w:r>
      <m:oMath>
        <m:r>
          <m:t>ϕ</m:t>
        </m:r>
      </m:oMath>
      <w:r>
        <w:t xml:space="preserve"> </w:t>
      </w:r>
      <w:r>
        <w:rPr>
          <w:rFonts w:hint="eastAsia"/>
        </w:rPr>
        <w:t xml:space="preserve">只表示在</w:t>
      </w:r>
      <w:r>
        <w:t xml:space="preserve"> </w:t>
      </w:r>
      <w:r>
        <w:rPr>
          <w:rFonts w:hint="eastAsia"/>
        </w:rPr>
        <w:t xml:space="preserve">SPR、库存、绕道运输、需求收缩和预期修复共同存在时，剩余物理缺口进入布伦特期货目标价格的传导比例。二者分别对应</w:t>
      </w:r>
      <w:r>
        <w:rPr>
          <w:rFonts w:hint="eastAsia"/>
        </w:rPr>
        <w:t xml:space="preserve">“无缓冲静态供需压力”</w:t>
      </w:r>
      <w:r>
        <w:rPr>
          <w:rFonts w:hint="eastAsia"/>
        </w:rPr>
        <w:t xml:space="preserve">和</w:t>
      </w:r>
      <w:r>
        <w:rPr>
          <w:rFonts w:hint="eastAsia"/>
        </w:rPr>
        <w:t xml:space="preserve">“有缓冲期货定价传导”</w:t>
      </w:r>
      <w:r>
        <w:rPr>
          <w:rFonts w:hint="eastAsia"/>
        </w:rPr>
        <w:t xml:space="preserve">，经济含义不同。</w:t>
      </w:r>
    </w:p>
    <w:p>
      <w:pPr>
        <w:pStyle w:val="BodyText"/>
      </w:pPr>
      <w:r>
        <w:rPr>
          <w:rFonts w:hint="eastAsia"/>
        </w:rPr>
        <w:t xml:space="preserve">更具体地说，若令</w:t>
      </w:r>
      <w:r>
        <w:t xml:space="preserve"> </w:t>
      </w:r>
      <m:oMath>
        <m:r>
          <m:t>ϕ</m:t>
        </m:r>
        <m:r>
          <m:rPr>
            <m:sty m:val="p"/>
          </m:rPr>
          <m:t>=</m:t>
        </m:r>
        <m:r>
          <m:t>1</m:t>
        </m:r>
      </m:oMath>
      <w:r>
        <w:rPr>
          <w:rFonts w:hint="eastAsia"/>
        </w:rPr>
        <w:t xml:space="preserve">，则模型等价于假设剩余物理缺口会按题面低弹性完全、即时地映射为期货目标价格；但现实原油期货市场同时定价库存、预期、投机头寸、政策缓冲可信度和未来需求调整。Kilian（2009）、Hamilton（2009）以及</w:t>
      </w:r>
      <w:r>
        <w:t xml:space="preserve"> Kilian </w:t>
      </w:r>
      <w:r>
        <w:rPr>
          <w:rFonts w:hint="eastAsia"/>
        </w:rPr>
        <w:t xml:space="preserve">与</w:t>
      </w:r>
      <w:r>
        <w:t xml:space="preserve"> </w:t>
      </w:r>
      <w:r>
        <w:rPr>
          <w:rFonts w:hint="eastAsia"/>
        </w:rPr>
        <w:t xml:space="preserve">Murphy（2014）均指出，油价冲击不能只由当期物理供给缺口解释，预期需求、库存和投机交易会改变现货与期货价格的传导路径。因此本文把</w:t>
      </w:r>
      <w:r>
        <w:t xml:space="preserve"> </w:t>
      </w:r>
      <m:oMath>
        <m:r>
          <m:t>ϕ</m:t>
        </m:r>
      </m:oMath>
      <w:r>
        <w:t xml:space="preserve"> </w:t>
      </w:r>
      <w:r>
        <w:rPr>
          <w:rFonts w:hint="eastAsia"/>
        </w:rPr>
        <w:t xml:space="preserve">明确归类为行为校准参数，并在结构稳定性检验中单独报告：当</w:t>
      </w:r>
      <w:r>
        <w:t xml:space="preserve"> </w:t>
      </w:r>
      <m:oMath>
        <m:r>
          <m:t>ϕ</m:t>
        </m:r>
        <m:r>
          <m:rPr>
            <m:sty m:val="p"/>
          </m:rPr>
          <m:t>=</m:t>
        </m:r>
        <m:r>
          <m:t>1</m:t>
        </m:r>
      </m:oMath>
      <w:r>
        <w:t xml:space="preserve"> </w:t>
      </w:r>
      <w:r>
        <w:rPr>
          <w:rFonts w:hint="eastAsia"/>
        </w:rPr>
        <w:t xml:space="preserve">时，短期</w:t>
      </w:r>
      <w:r>
        <w:t xml:space="preserve"> RMSE </w:t>
      </w:r>
      <w:r>
        <w:rPr>
          <w:rFonts w:hint="eastAsia"/>
        </w:rPr>
        <w:t xml:space="preserve">升至</w:t>
      </w:r>
      <w:r>
        <w:t xml:space="preserve"> 26.55 </w:t>
      </w:r>
      <w:r>
        <w:rPr>
          <w:rFonts w:hint="eastAsia"/>
        </w:rPr>
        <w:t xml:space="preserve">美元/桶，模拟峰值升至</w:t>
      </w:r>
      <w:r>
        <w:t xml:space="preserve"> 166.84 </w:t>
      </w:r>
      <w:r>
        <w:rPr>
          <w:rFonts w:hint="eastAsia"/>
        </w:rPr>
        <w:t xml:space="preserve">美元/桶，说明完全机械传导不符合附件观测；而在</w:t>
      </w:r>
      <w:r>
        <w:t xml:space="preserve"> </w:t>
      </w:r>
      <m:oMath>
        <m:r>
          <m:t>0.5</m:t>
        </m:r>
        <m:r>
          <m:t>ϕ</m:t>
        </m:r>
      </m:oMath>
      <w:r>
        <w:t xml:space="preserve">–</w:t>
      </w:r>
      <m:oMath>
        <m:r>
          <m:t>2.0</m:t>
        </m:r>
        <m:r>
          <m:t>ϕ</m:t>
        </m:r>
      </m:oMath>
      <w:r>
        <w:t xml:space="preserve"> </w:t>
      </w:r>
      <w:r>
        <w:rPr>
          <w:rFonts w:hint="eastAsia"/>
        </w:rPr>
        <w:t xml:space="preserve">扰动内，RMSE</w:t>
      </w:r>
      <w:r>
        <w:t xml:space="preserve"> </w:t>
      </w:r>
      <w:r>
        <w:rPr>
          <w:rFonts w:hint="eastAsia"/>
        </w:rPr>
        <w:t xml:space="preserve">仍处于</w:t>
      </w:r>
      <w:r>
        <w:t xml:space="preserve"> 3.50–3.64 </w:t>
      </w:r>
      <w:r>
        <w:rPr>
          <w:rFonts w:hint="eastAsia"/>
        </w:rPr>
        <w:t xml:space="preserve">美元/桶区间，说明价格平台并非唯一参数点偶然形成。</w:t>
      </w:r>
    </w:p>
    <w:p>
      <w:pPr>
        <w:pStyle w:val="BodyText"/>
      </w:pPr>
      <w:r>
        <w:rPr>
          <w:rFonts w:hint="eastAsia"/>
        </w:rPr>
        <w:t xml:space="preserve">长期外推中的若干机制系数也需要单独说明。例如冲击不确定性占比、制度风险占比、过剩供给回归强度和封锁风险衰减速度并非</w:t>
      </w:r>
      <w:r>
        <w:t xml:space="preserve"> EIA、JODI </w:t>
      </w:r>
      <w:r>
        <w:rPr>
          <w:rFonts w:hint="eastAsia"/>
        </w:rPr>
        <w:t xml:space="preserve">或</w:t>
      </w:r>
      <w:r>
        <w:t xml:space="preserve"> IEA </w:t>
      </w:r>
      <w:r>
        <w:rPr>
          <w:rFonts w:hint="eastAsia"/>
        </w:rPr>
        <w:t xml:space="preserve">直接发布的物理量，而是把短期校准后的风险定价机制延伸到</w:t>
      </w:r>
      <w:r>
        <w:t xml:space="preserve"> 60–180 </w:t>
      </w:r>
      <w:r>
        <w:rPr>
          <w:rFonts w:hint="eastAsia"/>
        </w:rPr>
        <w:t xml:space="preserve">天时使用的形状参数。本文不把它们写成确定事实，而是把它们显式列入敏感性分析：若这些系数在合理范围内扰动后结论仍保持中性回落、悲观尾部上行的结构，则说明长期判断主要来自机制组合，而不是某一个隐藏常数。</w:t>
      </w:r>
    </w:p>
    <w:bookmarkEnd w:id="32"/>
    <w:bookmarkEnd w:id="33"/>
    <w:bookmarkStart w:id="39" w:name="传统供需基准模型"/>
    <w:p>
      <w:pPr>
        <w:pStyle w:val="Heading1"/>
      </w:pPr>
      <w:r>
        <w:rPr>
          <w:rFonts w:hint="eastAsia"/>
        </w:rPr>
        <w:t xml:space="preserve">传统供需基准模型</w:t>
      </w:r>
    </w:p>
    <w:bookmarkStart w:id="34"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的理论价格压力。它不是最终预测模型，而是反事实参照：如果市场只按低短期弹性吸收供应中断，那么静态供需框架会给出多高的价格压力。</w:t>
      </w:r>
    </w:p>
    <w:p>
      <w:pPr>
        <w:pStyle w:val="BodyText"/>
      </w:pPr>
      <w:r>
        <w:rPr>
          <w:rFonts w:hint="eastAsia"/>
        </w:rPr>
        <w:t xml:space="preserve">本文主口径采用线性需求曲线假设。设局部反需求函数为</w:t>
      </w:r>
      <w:r>
        <w:t xml:space="preserve"> </w:t>
      </w:r>
      <m:oMath>
        <m:r>
          <m:t>P</m:t>
        </m:r>
        <m:r>
          <m:rPr>
            <m:sty m:val="p"/>
          </m:rPr>
          <m:t>=</m:t>
        </m:r>
        <m:r>
          <m:t>a</m:t>
        </m:r>
        <m:r>
          <m:rPr>
            <m:sty m:val="p"/>
          </m:rPr>
          <m:t>−</m:t>
        </m:r>
        <m:r>
          <m:t>b</m:t>
        </m:r>
        <m:r>
          <m:t>Q</m:t>
        </m:r>
      </m:oMath>
      <w:r>
        <w:rPr>
          <w:rFonts w:hint="eastAsia"/>
        </w:rPr>
        <w:t xml:space="preserve">，并在战前均衡点</w:t>
      </w:r>
      <w:r>
        <w:t xml:space="preserve"> </w:t>
      </w:r>
      <m:oMath>
        <m:sSub>
          <m:e>
            <m:r>
              <m:t>P</m:t>
            </m:r>
          </m:e>
          <m:sub>
            <m:r>
              <m:t>0</m:t>
            </m:r>
          </m:sub>
        </m:sSub>
        <m:r>
          <m:rPr>
            <m:sty m:val="p"/>
          </m:rPr>
          <m:t>,</m:t>
        </m:r>
        <m:sSub>
          <m:e>
            <m:r>
              <m:t>D</m:t>
            </m:r>
          </m:e>
          <m:sub>
            <m:r>
              <m:t>0</m:t>
            </m:r>
          </m:sub>
        </m:sSub>
      </m:oMath>
      <w:r>
        <w:t xml:space="preserve"> </w:t>
      </w:r>
      <w:r>
        <w:rPr>
          <w:rFonts w:hint="eastAsia"/>
        </w:rPr>
        <w:t xml:space="preserve">处使用题面给出的短期点弹性</w:t>
      </w:r>
      <w:r>
        <w:t xml:space="preserve"> </w:t>
      </w:r>
      <m:oMath>
        <m:r>
          <m:t>ε</m:t>
        </m:r>
      </m:oMath>
      <w:r>
        <w:t xml:space="preserve"> </w:t>
      </w:r>
      <w:r>
        <w:rPr>
          <w:rFonts w:hint="eastAsia"/>
        </w:rPr>
        <w:t xml:space="preserve">标定斜率。当供应中断量为</w:t>
      </w:r>
      <w:r>
        <w:t xml:space="preserve"> </w:t>
      </w:r>
      <m:oMath>
        <m:r>
          <m:t>I</m:t>
        </m:r>
      </m:oMath>
      <w:r>
        <w:t xml:space="preserve"> </w:t>
      </w:r>
      <w:r>
        <w:rPr>
          <w:rFonts w:hint="eastAsia"/>
        </w:rPr>
        <w:t xml:space="preserve">时，线性需求反事实价格为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需要说明的是，上式不是常弹性需求函数的一阶</w:t>
      </w:r>
      <w:r>
        <w:t xml:space="preserve"> Taylor </w:t>
      </w:r>
      <w:r>
        <w:rPr>
          <w:rFonts w:hint="eastAsia"/>
        </w:rPr>
        <w:t xml:space="preserve">近似，而是线性需求反事实基准的主口径。选择线性需求，是因为它隐含消费者边际支付意愿随消费量下降；若采用常弹性需求</w:t>
      </w:r>
      <w:r>
        <w:t xml:space="preserve"> </w:t>
      </w:r>
      <m:oMath>
        <m:r>
          <m:t>Q</m:t>
        </m:r>
        <m:r>
          <m:rPr>
            <m:sty m:val="p"/>
          </m:rPr>
          <m:t>=</m:t>
        </m:r>
        <m:r>
          <m:t>A</m:t>
        </m:r>
        <m:sSup>
          <m:e>
            <m:r>
              <m:t>P</m:t>
            </m:r>
          </m:e>
          <m:sup>
            <m:r>
              <m:t>ε</m:t>
            </m:r>
          </m:sup>
        </m:sSup>
      </m:oMath>
      <w:r>
        <w:rPr>
          <w:rFonts w:hint="eastAsia"/>
        </w:rPr>
        <w:t xml:space="preserve">，在</w:t>
      </w:r>
      <w:r>
        <w:t xml:space="preserve"> </w:t>
      </w:r>
      <m:oMath>
        <m:r>
          <m:t>ε</m:t>
        </m:r>
        <m:r>
          <m:rPr>
            <m:sty m:val="p"/>
          </m:rPr>
          <m:t>=</m:t>
        </m:r>
        <m:r>
          <m:rPr>
            <m:sty m:val="p"/>
          </m:rPr>
          <m:t>−</m:t>
        </m:r>
        <m:r>
          <m:t>0.05</m:t>
        </m:r>
      </m:oMath>
      <w:r>
        <w:t xml:space="preserve"> </w:t>
      </w:r>
      <w:r>
        <w:rPr>
          <w:rFonts w:hint="eastAsia"/>
        </w:rPr>
        <w:t xml:space="preserve">且供应缺口较大时会给出极高的机械上界：</w:t>
      </w:r>
    </w:p>
    <w:p>
      <w:pPr>
        <w:pStyle w:val="BodyText"/>
      </w:pPr>
      <m:oMathPara>
        <m:oMathParaPr>
          <m:jc m:val="center"/>
        </m:oMathParaPr>
        <m:oMath>
          <m:sSub>
            <m:e>
              <m:r>
                <m:t>P</m:t>
              </m:r>
            </m:e>
            <m:sub>
              <m:r>
                <m:rPr>
                  <m:sty m:val="p"/>
                </m:rPr>
                <m:t>c</m:t>
              </m:r>
              <m:r>
                <m:rPr>
                  <m:sty m:val="p"/>
                </m:rPr>
                <m:t>e</m:t>
              </m:r>
            </m:sub>
          </m:sSub>
          <m:r>
            <m:rPr>
              <m:sty m:val="p"/>
            </m:rPr>
            <m:t>=</m:t>
          </m:r>
          <m:sSub>
            <m:e>
              <m:r>
                <m:t>P</m:t>
              </m:r>
            </m:e>
            <m:sub>
              <m:r>
                <m:t>0</m:t>
              </m:r>
            </m:sub>
          </m:sSub>
          <m:sSup>
            <m:e>
              <m:d>
                <m:dPr>
                  <m:begChr m:val="("/>
                  <m:sepChr m:val=""/>
                  <m:endChr m:val=")"/>
                  <m:grow/>
                </m:dPr>
                <m:e>
                  <m:r>
                    <m:t>1</m:t>
                  </m:r>
                  <m:r>
                    <m:rPr>
                      <m:sty m:val="p"/>
                    </m:rPr>
                    <m:t>−</m:t>
                  </m:r>
                  <m:f>
                    <m:fPr>
                      <m:type m:val="bar"/>
                    </m:fPr>
                    <m:num>
                      <m:r>
                        <m:t>I</m:t>
                      </m:r>
                    </m:num>
                    <m:den>
                      <m:sSub>
                        <m:e>
                          <m:r>
                            <m:t>D</m:t>
                          </m:r>
                        </m:e>
                        <m:sub>
                          <m:r>
                            <m:t>0</m:t>
                          </m:r>
                        </m:sub>
                      </m:sSub>
                    </m:den>
                  </m:f>
                </m:e>
              </m:d>
            </m:e>
            <m:sup>
              <m:r>
                <m:t>1</m:t>
              </m:r>
              <m:r>
                <m:rPr>
                  <m:sty m:val="p"/>
                </m:rPr>
                <m:t>/</m:t>
              </m:r>
              <m:r>
                <m:t>ε</m:t>
              </m:r>
            </m:sup>
          </m:sSup>
          <m:r>
            <m:rPr>
              <m:sty m:val="p"/>
            </m:rPr>
            <m:t>.</m:t>
          </m:r>
        </m:oMath>
      </m:oMathPara>
    </w:p>
    <w:p>
      <w:pPr>
        <w:pStyle w:val="FirstParagraph"/>
      </w:pPr>
      <w:r>
        <w:rPr>
          <w:rFonts w:hint="eastAsia"/>
        </w:rPr>
        <w:t xml:space="preserve">本文同时计算</w:t>
      </w:r>
      <w:r>
        <w:t xml:space="preserve"> </w:t>
      </w:r>
      <m:oMath>
        <m:sSub>
          <m:e>
            <m:r>
              <m:t>P</m:t>
            </m:r>
          </m:e>
          <m:sub>
            <m:r>
              <m:rPr>
                <m:sty m:val="p"/>
              </m:rPr>
              <m:t>c</m:t>
            </m:r>
            <m:r>
              <m:rPr>
                <m:sty m:val="p"/>
              </m:rPr>
              <m:t>e</m:t>
            </m:r>
          </m:sub>
        </m:sSub>
      </m:oMath>
      <w:r>
        <w:t xml:space="preserve"> </w:t>
      </w:r>
      <w:r>
        <w:rPr>
          <w:rFonts w:hint="eastAsia"/>
        </w:rPr>
        <w:t xml:space="preserve">作为稳健性参照，但不将其作为主图结论。两个口径的共同作用，是证明传统低弹性供需框架会显著高估现实价格，而不是精确预测冲突窗口逐日油价。</w:t>
      </w:r>
    </w:p>
    <w:p>
      <w:pPr>
        <w:pStyle w:val="BodyText"/>
      </w:pPr>
      <w:r>
        <w:rPr>
          <w:rFonts w:hint="eastAsia"/>
        </w:rPr>
        <w:t xml:space="preserve">这一反事实基准需要被严格限定在</w:t>
      </w:r>
      <w:r>
        <w:rPr>
          <w:rFonts w:hint="eastAsia"/>
        </w:rPr>
        <w:t xml:space="preserve">“静态、局部、常参数”</w:t>
      </w:r>
      <w:r>
        <w:rPr>
          <w:rFonts w:hint="eastAsia"/>
        </w:rPr>
        <w:t xml:space="preserve">的解释范围内。真实原油需求曲线不会在高价区间无限线性外推：当价格接近某一需求窒息价格时，消费、炼厂开工、政策干预和替代运输都会发生非线性调整。因此，278–337</w:t>
      </w:r>
      <w:r>
        <w:t xml:space="preserve"> </w:t>
      </w:r>
      <w:r>
        <w:rPr>
          <w:rFonts w:hint="eastAsia"/>
        </w:rPr>
        <w:t xml:space="preserve">美元/桶以及常弹性口径下更高的数值，只用于度量题面低短期弹性与初期物理缺口可能造成的最大边际压力，并不表示现实市场价格会真实到达该区间。</w:t>
      </w:r>
    </w:p>
    <w:bookmarkEnd w:id="34"/>
    <w:bookmarkStart w:id="38" w:name="基准模型结果"/>
    <w:p>
      <w:pPr>
        <w:pStyle w:val="Heading2"/>
      </w:pPr>
      <w:r>
        <w:rPr>
          <w:rFonts w:hint="eastAsia"/>
        </w:rPr>
        <w:t xml:space="preserve">基准模型结果</w:t>
      </w:r>
    </w:p>
    <w:p>
      <w:pPr>
        <w:pStyle w:val="TableCaption"/>
      </w:pPr>
      <w:r>
        <w:rPr>
          <w:rFonts w:hint="eastAsia"/>
        </w:rPr>
        <w:t xml:space="preserve">传统供需反事实基准模型结果</w:t>
      </w:r>
    </w:p>
    <w:tbl>
      <w:tblPr>
        <w:tblStyle w:val="Table"/>
        <w:tblW w:type="auto" w:w="0"/>
        <w:tblLook w:firstRow="1" w:lastRow="0" w:firstColumn="0" w:lastColumn="0" w:noHBand="0" w:noVBand="0" w:val="0020"/>
        <w:tblCaption w:val="传统供需反事实基准模型结果"/>
      </w:tblPr>
      <w:tblGrid>
        <w:gridCol w:w="1584"/>
        <w:gridCol w:w="1584"/>
        <w:gridCol w:w="1584"/>
        <w:gridCol w:w="1584"/>
        <w:gridCol w:w="1584"/>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线性需求价格</w:t>
            </w:r>
          </w:p>
        </w:tc>
        <w:tc>
          <w:tcPr/>
          <w:p>
            <w:pPr>
              <w:pStyle w:val="Compact"/>
              <w:jc w:val="right"/>
            </w:pPr>
            <w:r>
              <w:rPr>
                <w:rFonts w:hint="eastAsia"/>
              </w:rPr>
              <w:t xml:space="preserve">常弹性上界</w:t>
            </w:r>
          </w:p>
        </w:tc>
        <w:tc>
          <w:tcPr/>
          <w:p>
            <w:pPr>
              <w:pStyle w:val="Compact"/>
              <w:jc w:val="right"/>
            </w:pPr>
            <w:r>
              <w:rPr>
                <w:rFonts w:hint="eastAsia"/>
              </w:rPr>
              <w:t xml:space="preserve">线性倍数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1494.86</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2393.23</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3875.19</w:t>
            </w:r>
          </w:p>
        </w:tc>
        <w:tc>
          <w:tcPr/>
          <w:p>
            <w:pPr>
              <w:pStyle w:val="Compact"/>
              <w:jc w:val="right"/>
            </w:pPr>
            <w:r>
              <w:t xml:space="preserve">2.95</w:t>
            </w:r>
          </w:p>
        </w:tc>
      </w:tr>
    </w:tbl>
    <w:p>
      <w:pPr>
        <w:pStyle w:val="CaptionedFigure"/>
      </w:pPr>
      <w:r>
        <w:drawing>
          <wp:inline>
            <wp:extent cx="4693920" cy="2560320"/>
            <wp:effectExtent b="0" l="0" r="0" t="0"/>
            <wp:docPr descr="" title="" id="36" name="Picture"/>
            <a:graphic>
              <a:graphicData uri="http://schemas.openxmlformats.org/drawingml/2006/picture">
                <pic:pic>
                  <pic:nvPicPr>
                    <pic:cNvPr descr="传统供需基准与真实价格对比.png" id="37" name="Picture"/>
                    <pic:cNvPicPr>
                      <a:picLocks noChangeArrowheads="1" noChangeAspect="1"/>
                    </pic:cNvPicPr>
                  </pic:nvPicPr>
                  <pic:blipFill>
                    <a:blip r:embed="rId35"/>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传统供需基准模型与附件真实价格对比。低弹性静态模型明显高估现实价格。</w:t>
      </w:r>
    </w:p>
    <w:p>
      <w:pPr>
        <w:pStyle w:val="BodyText"/>
      </w:pPr>
      <w:r>
        <w:rPr>
          <w:rFonts w:hint="eastAsia"/>
        </w:rPr>
        <w:t xml:space="preserve">结果显示，线性需求反事实基准给出的</w:t>
      </w:r>
      <w:r>
        <w:t xml:space="preserve"> 278–337 </w:t>
      </w:r>
      <w:r>
        <w:rPr>
          <w:rFonts w:hint="eastAsia"/>
        </w:rPr>
        <w:t xml:space="preserve">美元/桶显著高于附件冲突窗口最高收盘价</w:t>
      </w:r>
      <w:r>
        <w:t xml:space="preserve"> 114.06 </w:t>
      </w:r>
      <w:r>
        <w:rPr>
          <w:rFonts w:hint="eastAsia"/>
        </w:rPr>
        <w:t xml:space="preserve">美元/桶；常弹性机械上界更高，达到</w:t>
      </w:r>
      <w:r>
        <w:t xml:space="preserve"> 1495–3875 </w:t>
      </w:r>
      <w:r>
        <w:rPr>
          <w:rFonts w:hint="eastAsia"/>
        </w:rPr>
        <w:t xml:space="preserve">美元/桶。两个口径的意义不在于给出可交易的真实价格预测，而在于说明：若忽略库存、SPR、绕道运输、需求非线性调整和市场预期修复，静态低弹性供需模型会系统性高估现实价格。后续综合机制递推模型正是在这一边界上引入动态缓冲与价格形成机制。</w:t>
      </w:r>
    </w:p>
    <w:bookmarkEnd w:id="38"/>
    <w:bookmarkEnd w:id="39"/>
    <w:bookmarkStart w:id="45" w:name="综合机制递推模型"/>
    <w:p>
      <w:pPr>
        <w:pStyle w:val="Heading1"/>
      </w:pPr>
      <w:r>
        <w:rPr>
          <w:rFonts w:hint="eastAsia"/>
        </w:rPr>
        <w:t xml:space="preserve">综合机制递推模型</w:t>
      </w:r>
    </w:p>
    <w:p>
      <w:pPr>
        <w:pStyle w:val="FirstParagraph"/>
      </w:pPr>
      <w:r>
        <w:rPr>
          <w:rFonts w:hint="eastAsia"/>
        </w:rPr>
        <w:t xml:space="preserve">综合机制递推模型是本文最终主模型。它不是把所有可能因素无差别加入拟合，而是在赛题要求因素的基础上，保留已经通过消融实验和敏感性分析证明有效的价格形成因素。模型目标是在附件冲突窗口内解释真实价格路径，并为后续</w:t>
      </w:r>
      <w:r>
        <w:t xml:space="preserve"> 60–180 </w:t>
      </w:r>
      <w:r>
        <w:rPr>
          <w:rFonts w:hint="eastAsia"/>
        </w:rPr>
        <w:t xml:space="preserve">天情景外推提供统一机制基础。</w:t>
      </w:r>
    </w:p>
    <w:p>
      <w:pPr>
        <w:pStyle w:val="CaptionedFigure"/>
      </w:pPr>
      <w:r>
        <w:drawing>
          <wp:inline>
            <wp:extent cx="5120640" cy="5212079"/>
            <wp:effectExtent b="0" l="0" r="0" t="0"/>
            <wp:docPr descr="" title="" id="41" name="Picture"/>
            <a:graphic>
              <a:graphicData uri="http://schemas.openxmlformats.org/drawingml/2006/picture">
                <pic:pic>
                  <pic:nvPicPr>
                    <pic:cNvPr descr="综合机制递推模型结构图.png" id="42" name="Picture"/>
                    <pic:cNvPicPr>
                      <a:picLocks noChangeArrowheads="1" noChangeAspect="1"/>
                    </pic:cNvPicPr>
                  </pic:nvPicPr>
                  <pic:blipFill>
                    <a:blip r:embed="rId40"/>
                    <a:stretch>
                      <a:fillRect/>
                    </a:stretch>
                  </pic:blipFill>
                  <pic:spPr bwMode="auto">
                    <a:xfrm>
                      <a:off x="0" y="0"/>
                      <a:ext cx="5120640" cy="5212079"/>
                    </a:xfrm>
                    <a:prstGeom prst="rect">
                      <a:avLst/>
                    </a:prstGeom>
                    <a:noFill/>
                    <a:ln w="9525">
                      <a:noFill/>
                      <a:headEnd/>
                      <a:tailEnd/>
                    </a:ln>
                  </pic:spPr>
                </pic:pic>
              </a:graphicData>
            </a:graphic>
          </wp:inline>
        </w:drawing>
      </w:r>
    </w:p>
    <w:p>
      <w:pPr>
        <w:pStyle w:val="ImageCaption"/>
      </w:pPr>
      <w:r>
        <w:rPr>
          <w:rFonts w:hint="eastAsia"/>
        </w:rPr>
        <w:t xml:space="preserve">综合机制递推模型结构。物理供需层决定剩余缺口，市场价格形成层完成风险再定价，长期情景层刻画条件区间和尾部风险。</w:t>
      </w:r>
    </w:p>
    <w:bookmarkStart w:id="43"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sSub>
            <m:e>
              <m:r>
                <m:t>D</m:t>
              </m:r>
            </m:e>
            <m:sub>
              <m:r>
                <m:t>t</m:t>
              </m:r>
            </m:sub>
          </m:sSub>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C</m:t>
            </m:r>
          </m:e>
          <m:sub>
            <m:r>
              <m:t>t</m:t>
            </m:r>
          </m:sub>
        </m:sSub>
      </m:oMath>
      <w:r>
        <w:t xml:space="preserve"> </w:t>
      </w:r>
      <w:r>
        <w:rPr>
          <w:rFonts w:hint="eastAsia"/>
        </w:rPr>
        <w:t xml:space="preserve">表示高价下需求收缩量。第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bookmarkEnd w:id="43"/>
    <w:bookmarkStart w:id="44"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w:r>
        <w:rPr>
          <w:rFonts w:hint="eastAsia"/>
        </w:rPr>
        <w:t xml:space="preserve">该层的函数形式来自三个建模约束。第一，Kilian（2009）、Hamilton（2009）和</w:t>
      </w:r>
      <w:r>
        <w:t xml:space="preserve"> Kilian </w:t>
      </w:r>
      <w:r>
        <w:rPr>
          <w:rFonts w:hint="eastAsia"/>
        </w:rPr>
        <w:t xml:space="preserve">与</w:t>
      </w:r>
      <w:r>
        <w:t xml:space="preserve"> </w:t>
      </w:r>
      <w:r>
        <w:rPr>
          <w:rFonts w:hint="eastAsia"/>
        </w:rPr>
        <w:t xml:space="preserve">Murphy（2014）的研究表明，油价冲击应区分物理供给、预防性需求、库存和预期再定价；因此，本文将剩余物理缺口和风险溢价分开建模。第二，题面给出恐慌情绪放大持续</w:t>
      </w:r>
      <w:r>
        <w:t xml:space="preserve"> 1–2 </w:t>
      </w:r>
      <w:r>
        <w:rPr>
          <w:rFonts w:hint="eastAsia"/>
        </w:rPr>
        <w:t xml:space="preserve">周，故风险溢价的建立项采用</w:t>
      </w:r>
      <w:r>
        <w:t xml:space="preserve"> </w:t>
      </w:r>
      <m:oMath>
        <m:r>
          <m:t>1</m:t>
        </m:r>
        <m:r>
          <m:rPr>
            <m:sty m:val="p"/>
          </m:rPr>
          <m:t>−</m:t>
        </m:r>
        <m:sSup>
          <m:e>
            <m:r>
              <m:t>e</m:t>
            </m:r>
          </m:e>
          <m:sup>
            <m:r>
              <m:rPr>
                <m:sty m:val="p"/>
              </m:rPr>
              <m:t>−</m:t>
            </m:r>
            <m:r>
              <m:t>t</m:t>
            </m:r>
            <m:r>
              <m:rPr>
                <m:sty m:val="p"/>
              </m:rPr>
              <m:t>/</m:t>
            </m:r>
            <m:r>
              <m:t>7</m:t>
            </m:r>
          </m:sup>
        </m:sSup>
      </m:oMath>
      <w:r>
        <w:t xml:space="preserve"> </w:t>
      </w:r>
      <w:r>
        <w:rPr>
          <w:rFonts w:hint="eastAsia"/>
        </w:rPr>
        <w:t xml:space="preserve">表示约一周尺度的信息吸收，而指数衰减项表示市场在观察到</w:t>
      </w:r>
      <w:r>
        <w:t xml:space="preserve"> </w:t>
      </w:r>
      <w:r>
        <w:rPr>
          <w:rFonts w:hint="eastAsia"/>
        </w:rPr>
        <w:t xml:space="preserve">SPR、库存和绕道修复后逐步消化制度风险。第三，政策缓冲并非瞬时被市场完全相信，缓冲确认折价和预期修复折价分别刻画政策可信度形成与运输修复预期对目标价格的向下修正。由此可知，式中指数项不是为拟合曲线任意添加，而是对</w:t>
      </w:r>
      <w:r>
        <w:rPr>
          <w:rFonts w:hint="eastAsia"/>
        </w:rPr>
        <w:t xml:space="preserve">“冲击建立–风险消化–缓冲确认”</w:t>
      </w:r>
      <w:r>
        <w:rPr>
          <w:rFonts w:hint="eastAsia"/>
        </w:rPr>
        <w:t xml:space="preserve">三类时间过程的简化表示。</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sSub>
                    <m:e>
                      <m:r>
                        <m:t>κ</m:t>
                      </m:r>
                    </m:e>
                    <m:sub>
                      <m:r>
                        <m:t>B</m:t>
                      </m:r>
                    </m:sub>
                  </m:sSub>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为物理缺口向期货目标价格传导的价格形成系数，不替代题面需求弹性；</w:t>
      </w:r>
      <m:oMath>
        <m:sSub>
          <m:e>
            <m:r>
              <m:t>κ</m:t>
            </m:r>
          </m:e>
          <m:sub>
            <m:r>
              <m:t>B</m:t>
            </m:r>
          </m:sub>
        </m:sSub>
        <m:r>
          <m:rPr>
            <m:sty m:val="p"/>
          </m:rPr>
          <m:t>=</m:t>
        </m:r>
        <m:r>
          <m:t>0.004</m:t>
        </m:r>
      </m:oMath>
      <w:r>
        <w:t xml:space="preserve"> </w:t>
      </w:r>
      <w:r>
        <w:rPr>
          <w:rFonts w:hint="eastAsia"/>
        </w:rPr>
        <w:t xml:space="preserve">为封锁风险溢价的日度衰减速度，表示市场逐步吸收封锁制度风险的速度；</w:t>
      </w:r>
      <m:oMath>
        <m:sSub>
          <m:e>
            <m:r>
              <m:t>H</m:t>
            </m:r>
          </m:e>
          <m:sub>
            <m:r>
              <m:t>t</m:t>
            </m:r>
          </m:sub>
        </m:sSub>
      </m:oMath>
      <w:r>
        <w:t xml:space="preserve"> </w:t>
      </w:r>
      <w:r>
        <w:rPr>
          <w:rFonts w:hint="eastAsia"/>
        </w:rPr>
        <w:t xml:space="preserve">为缓冲确认折价，</w:t>
      </w:r>
      <m:oMath>
        <m:sSub>
          <m:e>
            <m:r>
              <m:t>L</m:t>
            </m:r>
          </m:e>
          <m:sub>
            <m:r>
              <m:t>t</m:t>
            </m:r>
          </m:sub>
        </m:sSub>
      </m:oMath>
      <w:r>
        <w:t xml:space="preserve"> </w:t>
      </w:r>
      <w:r>
        <w:rPr>
          <w:rFonts w:hint="eastAsia"/>
        </w:rPr>
        <w:t xml:space="preserve">为预期修复折价。这里的</w:t>
      </w:r>
      <w:r>
        <w:t xml:space="preserve"> </w:t>
      </w:r>
      <m:oMath>
        <m:sSub>
          <m:e>
            <m:r>
              <m:t>ε</m:t>
            </m:r>
          </m:e>
          <m:sub>
            <m:r>
              <m:t>t</m:t>
            </m:r>
          </m:sub>
        </m:sSub>
      </m:oMath>
      <w:r>
        <w:t xml:space="preserve"> </w:t>
      </w:r>
      <w:r>
        <w:rPr>
          <w:rFonts w:hint="eastAsia"/>
        </w:rPr>
        <w:t xml:space="preserve">仍承担题面低弹性约束，</w:t>
      </w:r>
      <m:oMath>
        <m:r>
          <m:t>ϕ</m:t>
        </m:r>
      </m:oMath>
      <w:r>
        <w:t xml:space="preserve"> </w:t>
      </w:r>
      <w:r>
        <w:rPr>
          <w:rFonts w:hint="eastAsia"/>
        </w:rPr>
        <w:t xml:space="preserve">只刻画期货市场对剩余缺口的折价传导强度。模型递推式为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r>
            <m:t> </m:t>
          </m:r>
          <m:sSub>
            <m:e>
              <m:r>
                <m:t>γ</m:t>
              </m:r>
            </m:e>
            <m:sub>
              <m:r>
                <m:t>F</m:t>
              </m:r>
            </m:sub>
          </m:sSub>
          <m:r>
            <m:rPr>
              <m:sty m:val="p"/>
            </m:rPr>
            <m:t>=</m:t>
          </m:r>
          <m:r>
            <m:t>2.5</m:t>
          </m:r>
          <m:r>
            <m:rPr>
              <m:sty m:val="p"/>
            </m:rPr>
            <m:t>.</m:t>
          </m:r>
        </m:oMath>
      </m:oMathPara>
    </w:p>
    <w:p>
      <w:pPr>
        <w:pStyle w:val="FirstParagraph"/>
      </w:pPr>
      <w:r>
        <w:rPr>
          <w:rFonts w:hint="eastAsia"/>
        </w:rPr>
        <w:t xml:space="preserve">该结构保留了题面中的离散递推思想，同时允许期货市场对风险和预期做非线性再定价。恐慌动量项</w:t>
      </w:r>
      <w:r>
        <w:t xml:space="preserve"> </w:t>
      </w:r>
      <m:oMath>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oMath>
      <w:r>
        <w:t xml:space="preserve"> </w:t>
      </w:r>
      <w:r>
        <w:rPr>
          <w:rFonts w:hint="eastAsia"/>
        </w:rPr>
        <w:t xml:space="preserve">只刻画恐慌强度快速变化时的一次性日度调整，不替代恐慌溢价本身；若恐慌强度稳定，则该项为零。需要强调，本文不把市场价格形成层视为任意补丁：风险溢价、缓冲确认折价和预期修复折价只有在具有经济含义、方向可解释、消融后误差明显恶化且扰动后结论保持稳定时才保留在主模型中。</w:t>
      </w:r>
    </w:p>
    <w:p>
      <w:pPr>
        <w:pStyle w:val="BodyText"/>
      </w:pPr>
      <w:r>
        <w:rPr>
          <w:rFonts w:hint="eastAsia"/>
        </w:rPr>
        <w:t xml:space="preserve">从微观直觉看，式中的物理缺口项对应炼厂和贸易商面对短缺时愿意支付的边际溢价；风险项对应持有库存、安排绕道运输和承担航运保险风险所要求的补偿；折价项对应政策缓冲被观察到后，市场降低预防性持有需求和投机性风险溢价。本文没有直接建立完整的微观效用最大化模型，而是采用与能源冲击文献一致的结构化简形式，并通过基准对比、机制消融和扰动检验约束其自由度。</w:t>
      </w:r>
    </w:p>
    <w:bookmarkEnd w:id="44"/>
    <w:bookmarkEnd w:id="45"/>
    <w:bookmarkStart w:id="105" w:name="参数校准与模型检验"/>
    <w:p>
      <w:pPr>
        <w:pStyle w:val="Heading1"/>
      </w:pPr>
      <w:r>
        <w:rPr>
          <w:rFonts w:hint="eastAsia"/>
        </w:rPr>
        <w:t xml:space="preserve">参数校准与模型检验</w:t>
      </w:r>
    </w:p>
    <w:bookmarkStart w:id="46" w:name="多目标校准"/>
    <w:p>
      <w:pPr>
        <w:pStyle w:val="Heading2"/>
      </w:pPr>
      <w:r>
        <w:rPr>
          <w:rFonts w:hint="eastAsia"/>
        </w:rPr>
        <w:t xml:space="preserve">多目标校准</w:t>
      </w:r>
    </w:p>
    <w:p>
      <w:pPr>
        <w:pStyle w:val="FirstParagraph"/>
      </w:pPr>
      <w:r>
        <w:rPr>
          <w:rFonts w:hint="eastAsia"/>
        </w:rPr>
        <w:t xml:space="preserve">为了避免模型只追求总体</w:t>
      </w:r>
      <w:r>
        <w:t xml:space="preserve"> RMSE </w:t>
      </w:r>
      <w:r>
        <w:rPr>
          <w:rFonts w:hint="eastAsia"/>
        </w:rPr>
        <w:t xml:space="preserve">而牺牲峰值、末日价格和局部阶段解释能力，本文采用多目标校准函数：</w:t>
      </w:r>
    </w:p>
    <w:p>
      <w:pPr>
        <w:pStyle w:val="BodyText"/>
      </w:pPr>
      <m:oMathPara>
        <m:oMathParaPr>
          <m:jc m:val="center"/>
        </m:oMathParaPr>
        <m:oMath>
          <m:eqArr>
            <m:e>
              <m:r>
                <m:rPr>
                  <m:scr m:val="script"/>
                  <m:sty m:val="p"/>
                </m:rPr>
                <m:t>L</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校准过程包括</w:t>
      </w:r>
      <w:r>
        <w:t xml:space="preserve"> 36000 </w:t>
      </w:r>
      <w:r>
        <w:rPr>
          <w:rFonts w:hint="eastAsia"/>
        </w:rPr>
        <w:t xml:space="preserve">组固定种子随机搜索、差分进化连续精修、800</w:t>
      </w:r>
      <w:r>
        <w:t xml:space="preserve"> </w:t>
      </w:r>
      <w:r>
        <w:rPr>
          <w:rFonts w:hint="eastAsia"/>
        </w:rPr>
        <w:t xml:space="preserve">组局部稳健性复核以及</w:t>
      </w:r>
      <w:r>
        <w:t xml:space="preserve"> 60000 </w:t>
      </w:r>
      <w:r>
        <w:rPr>
          <w:rFonts w:hint="eastAsia"/>
        </w:rPr>
        <w:t xml:space="preserve">组拟合质量精修。所有精修均在既有模型结构内完成，不新增额外机制项。</w:t>
      </w:r>
    </w:p>
    <w:p>
      <w:pPr>
        <w:pStyle w:val="TableCaption"/>
      </w:pPr>
      <w:r>
        <w:rPr>
          <w:rFonts w:hint="eastAsia"/>
        </w:rPr>
        <w:t xml:space="preserve">综合最优短期动态模型参数</w:t>
      </w:r>
    </w:p>
    <w:tbl>
      <w:tblPr>
        <w:tblStyle w:val="Table"/>
        <w:tblW w:type="auto" w:w="0"/>
        <w:tblLook w:firstRow="1" w:lastRow="0" w:firstColumn="0" w:lastColumn="0" w:noHBand="0" w:noVBand="0" w:val="0020"/>
        <w:tblCaption w:val="综合最优短期动态模型参数"/>
      </w:tblPr>
      <w:tblGrid>
        <w:gridCol w:w="1980"/>
        <w:gridCol w:w="1980"/>
        <w:gridCol w:w="1980"/>
        <w:gridCol w:w="1980"/>
      </w:tblGrid>
      <w:tr>
        <w:trPr>
          <w:tblHeader w:val="on"/>
        </w:trPr>
        <w:tc>
          <w:tcPr/>
          <w:p>
            <w:pPr>
              <w:pStyle w:val="Compact"/>
              <w:jc w:val="left"/>
            </w:pPr>
            <w:r>
              <w:rPr>
                <w:rFonts w:hint="eastAsia"/>
              </w:rPr>
              <w:t xml:space="preserve">参数</w:t>
            </w:r>
          </w:p>
        </w:tc>
        <w:tc>
          <w:tcPr/>
          <w:p>
            <w:pPr>
              <w:pStyle w:val="Compact"/>
              <w:jc w:val="right"/>
            </w:pPr>
            <w:r>
              <w:rPr>
                <w:rFonts w:hint="eastAsia"/>
              </w:rPr>
              <w:t xml:space="preserve">数值</w:t>
            </w:r>
          </w:p>
        </w:tc>
        <w:tc>
          <w:tcPr/>
          <w:p>
            <w:pPr>
              <w:pStyle w:val="Compact"/>
              <w:jc w:val="left"/>
            </w:pPr>
            <w:r>
              <w:rPr>
                <w:rFonts w:hint="eastAsia"/>
              </w:rPr>
              <w:t xml:space="preserve">参数</w:t>
            </w:r>
          </w:p>
        </w:tc>
        <w:tc>
          <w:tcPr/>
          <w:p>
            <w:pPr>
              <w:pStyle w:val="Compact"/>
              <w:jc w:val="right"/>
            </w:pPr>
            <w:r>
              <w:rPr>
                <w:rFonts w:hint="eastAsia"/>
              </w:rPr>
              <w:t xml:space="preserve">数值</w:t>
            </w:r>
          </w:p>
        </w:tc>
      </w:tr>
      <w:tr>
        <w:tc>
          <w:tcPr/>
          <w:p>
            <w:pPr>
              <w:pStyle w:val="Compact"/>
              <w:jc w:val="left"/>
            </w:pPr>
            <w:r>
              <w:rPr>
                <w:rFonts w:hint="eastAsia"/>
              </w:rPr>
              <w:t xml:space="preserve">供应中断量</w:t>
            </w:r>
          </w:p>
        </w:tc>
        <w:tc>
          <w:tcPr/>
          <w:p>
            <w:pPr>
              <w:pStyle w:val="Compact"/>
              <w:jc w:val="right"/>
            </w:pPr>
            <w:r>
              <w:t xml:space="preserve">1493</w:t>
            </w:r>
          </w:p>
        </w:tc>
        <w:tc>
          <w:tcPr/>
          <w:p>
            <w:pPr>
              <w:pStyle w:val="Compact"/>
              <w:jc w:val="left"/>
            </w:pPr>
            <w:r>
              <w:t xml:space="preserve">SPR </w:t>
            </w:r>
            <w:r>
              <w:rPr>
                <w:rFonts w:hint="eastAsia"/>
              </w:rPr>
              <w:t xml:space="preserve">释放上限</w:t>
            </w:r>
          </w:p>
        </w:tc>
        <w:tc>
          <w:tcPr/>
          <w:p>
            <w:pPr>
              <w:pStyle w:val="Compact"/>
              <w:jc w:val="right"/>
            </w:pPr>
            <w:r>
              <w:t xml:space="preserve">670</w:t>
            </w:r>
          </w:p>
        </w:tc>
      </w:tr>
      <w:tr>
        <w:tc>
          <w:tcPr/>
          <w:p>
            <w:pPr>
              <w:pStyle w:val="Compact"/>
              <w:jc w:val="left"/>
            </w:pPr>
            <w:r>
              <w:t xml:space="preserve">SPR </w:t>
            </w:r>
            <w:r>
              <w:rPr>
                <w:rFonts w:hint="eastAsia"/>
              </w:rPr>
              <w:t xml:space="preserve">启动延迟</w:t>
            </w:r>
          </w:p>
        </w:tc>
        <w:tc>
          <w:tcPr/>
          <w:p>
            <w:pPr>
              <w:pStyle w:val="Compact"/>
              <w:jc w:val="right"/>
            </w:pPr>
            <w:r>
              <w:t xml:space="preserve">3</w:t>
            </w:r>
          </w:p>
        </w:tc>
        <w:tc>
          <w:tcPr/>
          <w:p>
            <w:pPr>
              <w:pStyle w:val="Compact"/>
              <w:jc w:val="left"/>
            </w:pPr>
            <w:r>
              <w:rPr>
                <w:rFonts w:hint="eastAsia"/>
              </w:rPr>
              <w:t xml:space="preserve">绕道启动日</w:t>
            </w:r>
          </w:p>
        </w:tc>
        <w:tc>
          <w:tcPr/>
          <w:p>
            <w:pPr>
              <w:pStyle w:val="Compact"/>
              <w:jc w:val="right"/>
            </w:pPr>
            <w:r>
              <w:t xml:space="preserve">8</w:t>
            </w:r>
          </w:p>
        </w:tc>
      </w:tr>
      <w:tr>
        <w:tc>
          <w:tcPr/>
          <w:p>
            <w:pPr>
              <w:pStyle w:val="Compact"/>
              <w:jc w:val="left"/>
            </w:pPr>
            <w:r>
              <w:rPr>
                <w:rFonts w:hint="eastAsia"/>
              </w:rPr>
              <w:t xml:space="preserve">绕道能力上限</w:t>
            </w:r>
          </w:p>
        </w:tc>
        <w:tc>
          <w:tcPr/>
          <w:p>
            <w:pPr>
              <w:pStyle w:val="Compact"/>
              <w:jc w:val="right"/>
            </w:pPr>
            <w:r>
              <w:t xml:space="preserve">237</w:t>
            </w:r>
          </w:p>
        </w:tc>
        <w:tc>
          <w:tcPr/>
          <w:p>
            <w:pPr>
              <w:pStyle w:val="Compact"/>
              <w:jc w:val="left"/>
            </w:pPr>
            <w:r>
              <w:rPr>
                <w:rFonts w:hint="eastAsia"/>
              </w:rPr>
              <w:t xml:space="preserve">长期需求弹性</w:t>
            </w:r>
          </w:p>
        </w:tc>
        <w:tc>
          <w:tcPr/>
          <w:p>
            <w:pPr>
              <w:pStyle w:val="Compact"/>
              <w:jc w:val="right"/>
            </w:pPr>
            <w:r>
              <w:t xml:space="preserve">-0.25</w:t>
            </w:r>
          </w:p>
        </w:tc>
      </w:tr>
      <w:tr>
        <w:tc>
          <w:tcPr/>
          <w:p>
            <w:pPr>
              <w:pStyle w:val="Compact"/>
              <w:jc w:val="left"/>
            </w:pPr>
            <w:r>
              <w:rPr>
                <w:rFonts w:hint="eastAsia"/>
              </w:rPr>
              <w:t xml:space="preserve">恐慌初始强度</w:t>
            </w:r>
          </w:p>
        </w:tc>
        <w:tc>
          <w:tcPr/>
          <w:p>
            <w:pPr>
              <w:pStyle w:val="Compact"/>
              <w:jc w:val="right"/>
            </w:pPr>
            <w:r>
              <w:t xml:space="preserve">0.12</w:t>
            </w:r>
          </w:p>
        </w:tc>
        <w:tc>
          <w:tcPr/>
          <w:p>
            <w:pPr>
              <w:pStyle w:val="Compact"/>
              <w:jc w:val="left"/>
            </w:pPr>
            <w:r>
              <w:rPr>
                <w:rFonts w:hint="eastAsia"/>
              </w:rPr>
              <w:t xml:space="preserve">恐慌衰减速度</w:t>
            </w:r>
          </w:p>
        </w:tc>
        <w:tc>
          <w:tcPr/>
          <w:p>
            <w:pPr>
              <w:pStyle w:val="Compact"/>
              <w:jc w:val="right"/>
            </w:pPr>
            <w:r>
              <w:t xml:space="preserve">0.11</w:t>
            </w:r>
          </w:p>
        </w:tc>
      </w:tr>
      <w:tr>
        <w:tc>
          <w:tcPr/>
          <w:p>
            <w:pPr>
              <w:pStyle w:val="Compact"/>
              <w:jc w:val="left"/>
            </w:pPr>
            <w:r>
              <w:rPr>
                <w:rFonts w:hint="eastAsia"/>
              </w:rPr>
              <w:t xml:space="preserve">库存日缓冲上限</w:t>
            </w:r>
          </w:p>
        </w:tc>
        <w:tc>
          <w:tcPr/>
          <w:p>
            <w:pPr>
              <w:pStyle w:val="Compact"/>
              <w:jc w:val="right"/>
            </w:pPr>
            <w:r>
              <w:t xml:space="preserve">250</w:t>
            </w:r>
          </w:p>
        </w:tc>
        <w:tc>
          <w:tcPr/>
          <w:p>
            <w:pPr>
              <w:pStyle w:val="Compact"/>
              <w:jc w:val="left"/>
            </w:pPr>
            <w:r>
              <w:rPr>
                <w:rFonts w:hint="eastAsia"/>
              </w:rPr>
              <w:t xml:space="preserve">价格传导系数</w:t>
            </w:r>
            <w:r>
              <w:t xml:space="preserve"> </w:t>
            </w:r>
            <m:oMath>
              <m:r>
                <m:t>ϕ</m:t>
              </m:r>
            </m:oMath>
          </w:p>
        </w:tc>
        <w:tc>
          <w:tcPr/>
          <w:p>
            <w:pPr>
              <w:pStyle w:val="Compact"/>
              <w:jc w:val="right"/>
            </w:pPr>
            <w:r>
              <w:t xml:space="preserve">0.028</w:t>
            </w:r>
          </w:p>
        </w:tc>
      </w:tr>
      <w:tr>
        <w:tc>
          <w:tcPr/>
          <w:p>
            <w:pPr>
              <w:pStyle w:val="Compact"/>
              <w:jc w:val="left"/>
            </w:pPr>
            <w:r>
              <w:rPr>
                <w:rFonts w:hint="eastAsia"/>
              </w:rPr>
              <w:t xml:space="preserve">调整速度</w:t>
            </w:r>
            <w:r>
              <w:t xml:space="preserve"> </w:t>
            </w:r>
            <m:oMath>
              <m:r>
                <m:t>v</m:t>
              </m:r>
            </m:oMath>
          </w:p>
        </w:tc>
        <w:tc>
          <w:tcPr/>
          <w:p>
            <w:pPr>
              <w:pStyle w:val="Compact"/>
              <w:jc w:val="right"/>
            </w:pPr>
            <w:r>
              <w:t xml:space="preserve">0.344</w:t>
            </w:r>
          </w:p>
        </w:tc>
        <w:tc>
          <w:tcPr/>
          <w:p>
            <w:pPr>
              <w:pStyle w:val="Compact"/>
              <w:jc w:val="left"/>
            </w:pPr>
            <w:r>
              <w:rPr>
                <w:rFonts w:hint="eastAsia"/>
              </w:rPr>
              <w:t xml:space="preserve">风险权重</w:t>
            </w:r>
            <w:r>
              <w:t xml:space="preserve"> </w:t>
            </w:r>
            <m:oMath>
              <m:r>
                <m:t>β</m:t>
              </m:r>
            </m:oMath>
          </w:p>
        </w:tc>
        <w:tc>
          <w:tcPr/>
          <w:p>
            <w:pPr>
              <w:pStyle w:val="Compact"/>
              <w:jc w:val="right"/>
            </w:pPr>
            <w:r>
              <w:t xml:space="preserve">2.462</w:t>
            </w:r>
          </w:p>
        </w:tc>
      </w:tr>
      <w:tr>
        <w:tc>
          <w:tcPr/>
          <w:p>
            <w:pPr>
              <w:pStyle w:val="Compact"/>
              <w:jc w:val="left"/>
            </w:pPr>
            <w:r>
              <w:rPr>
                <w:rFonts w:hint="eastAsia"/>
              </w:rPr>
              <w:t xml:space="preserve">不确定性/制度风险强度</w:t>
            </w:r>
          </w:p>
        </w:tc>
        <w:tc>
          <w:tcPr/>
          <w:p>
            <w:pPr>
              <w:pStyle w:val="Compact"/>
              <w:jc w:val="right"/>
            </w:pPr>
            <w:r>
              <w:t xml:space="preserve">0.247</w:t>
            </w:r>
          </w:p>
        </w:tc>
        <w:tc>
          <w:tcPr/>
          <w:p>
            <w:pPr>
              <w:pStyle w:val="Compact"/>
              <w:jc w:val="left"/>
            </w:pPr>
            <w:r>
              <w:rPr>
                <w:rFonts w:hint="eastAsia"/>
              </w:rPr>
              <w:t xml:space="preserve">库存响应系数</w:t>
            </w:r>
          </w:p>
        </w:tc>
        <w:tc>
          <w:tcPr/>
          <w:p>
            <w:pPr>
              <w:pStyle w:val="Compact"/>
              <w:jc w:val="right"/>
            </w:pPr>
            <w:r>
              <w:t xml:space="preserve">0.666</w:t>
            </w:r>
          </w:p>
        </w:tc>
      </w:tr>
      <w:tr>
        <w:tc>
          <w:tcPr/>
          <w:p>
            <w:pPr>
              <w:pStyle w:val="Compact"/>
              <w:jc w:val="left"/>
            </w:pPr>
            <w:r>
              <w:rPr>
                <w:rFonts w:hint="eastAsia"/>
              </w:rPr>
              <w:t xml:space="preserve">缓冲确认强度</w:t>
            </w:r>
          </w:p>
        </w:tc>
        <w:tc>
          <w:tcPr/>
          <w:p>
            <w:pPr>
              <w:pStyle w:val="Compact"/>
              <w:jc w:val="right"/>
            </w:pPr>
            <w:r>
              <w:t xml:space="preserve">0.220</w:t>
            </w:r>
          </w:p>
        </w:tc>
        <w:tc>
          <w:tcPr/>
          <w:p>
            <w:pPr>
              <w:pStyle w:val="Compact"/>
              <w:jc w:val="left"/>
            </w:pPr>
            <w:r>
              <w:rPr>
                <w:rFonts w:hint="eastAsia"/>
              </w:rPr>
              <w:t xml:space="preserve">预期修复强度</w:t>
            </w:r>
          </w:p>
        </w:tc>
        <w:tc>
          <w:tcPr/>
          <w:p>
            <w:pPr>
              <w:pStyle w:val="Compact"/>
              <w:jc w:val="right"/>
            </w:pPr>
            <w:r>
              <w:t xml:space="preserve">0.240</w:t>
            </w:r>
          </w:p>
        </w:tc>
      </w:tr>
    </w:tbl>
    <w:p>
      <w:pPr>
        <w:pStyle w:val="BodyText"/>
      </w:pPr>
      <w:r>
        <w:rPr>
          <w:rFonts w:hint="eastAsia"/>
        </w:rPr>
        <w:t xml:space="preserve">表中参数可分为两类理解：供应中断量、SPR</w:t>
      </w:r>
      <w:r>
        <w:t xml:space="preserve"> </w:t>
      </w:r>
      <w:r>
        <w:rPr>
          <w:rFonts w:hint="eastAsia"/>
        </w:rPr>
        <w:t xml:space="preserve">上限、绕道能力、库存缓冲和需求弹性受题面范围约束；风险权重、价格调整速度、缓冲确认和预期修复强度属于行为价格形成参数，必须依赖数据校准和鲁棒性检验。本文后续所有模型评价均围绕这一区分展开，避免把校准参数包装成外生事实。</w:t>
      </w:r>
    </w:p>
    <w:p>
      <w:pPr>
        <w:pStyle w:val="BodyText"/>
      </w:pPr>
      <w:r>
        <w:rPr>
          <w:rFonts w:hint="eastAsia"/>
        </w:rPr>
        <w:t xml:space="preserve">其中，供应中断量</w:t>
      </w:r>
      <w:r>
        <w:t xml:space="preserve"> 1493 </w:t>
      </w:r>
      <w:r>
        <w:rPr>
          <w:rFonts w:hint="eastAsia"/>
        </w:rPr>
        <w:t xml:space="preserve">万桶/日不是官方观测到的实际中断量，而是在赛题给定中断范围内由短期冲突窗口校准得到的中心情景值。本文只将其作为模型参数使用，并在长期乐观、中性、悲观情景以及蒙特卡洛抽样中覆盖</w:t>
      </w:r>
      <w:r>
        <w:t xml:space="preserve"> 1400–1800 </w:t>
      </w:r>
      <w:r>
        <w:rPr>
          <w:rFonts w:hint="eastAsia"/>
        </w:rPr>
        <w:t xml:space="preserve">万桶/日的扰动区间，避免把单一校准点误写成外生事实。</w:t>
      </w:r>
    </w:p>
    <w:bookmarkEnd w:id="46"/>
    <w:bookmarkStart w:id="53" w:name="拟合结果"/>
    <w:p>
      <w:pPr>
        <w:pStyle w:val="Heading2"/>
      </w:pPr>
      <w:r>
        <w:rPr>
          <w:rFonts w:hint="eastAsia"/>
        </w:rPr>
        <w:t xml:space="preserve">拟合结果</w:t>
      </w:r>
    </w:p>
    <w:p>
      <w:pPr>
        <w:pStyle w:val="FirstParagraph"/>
      </w:pPr>
      <w:r>
        <w:rPr>
          <w:rFonts w:hint="eastAsia"/>
        </w:rPr>
        <w:t xml:space="preserve">综合最优模型在冲突窗口内取得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美元/桶。模拟峰值为</w:t>
      </w:r>
      <w:r>
        <w:t xml:space="preserve"> 110.42 </w:t>
      </w:r>
      <w:r>
        <w:rPr>
          <w:rFonts w:hint="eastAsia"/>
        </w:rPr>
        <w:t xml:space="preserve">美元/桶，实际最高收盘价为</w:t>
      </w:r>
      <w:r>
        <w:t xml:space="preserve"> 114.06 </w:t>
      </w:r>
      <w:r>
        <w:rPr>
          <w:rFonts w:hint="eastAsia"/>
        </w:rPr>
        <w:t xml:space="preserve">美元/桶，峰值低估</w:t>
      </w:r>
      <w:r>
        <w:t xml:space="preserve"> 3.64 </w:t>
      </w:r>
      <w:r>
        <w:rPr>
          <w:rFonts w:hint="eastAsia"/>
        </w:rPr>
        <w:t xml:space="preserve">美元/桶；末日模拟价格为</w:t>
      </w:r>
      <w:r>
        <w:t xml:space="preserve"> 110.42 </w:t>
      </w:r>
      <w:r>
        <w:rPr>
          <w:rFonts w:hint="eastAsia"/>
        </w:rPr>
        <w:t xml:space="preserve">美元/桶，实际末日价格为</w:t>
      </w:r>
      <w:r>
        <w:t xml:space="preserve"> 110.31 </w:t>
      </w:r>
      <w:r>
        <w:rPr>
          <w:rFonts w:hint="eastAsia"/>
        </w:rPr>
        <w:t xml:space="preserve">美元/桶，末日误差仅为</w:t>
      </w:r>
      <w:r>
        <w:t xml:space="preserve"> 0.11 </w:t>
      </w:r>
      <w:r>
        <w:rPr>
          <w:rFonts w:hint="eastAsia"/>
        </w:rPr>
        <w:t xml:space="preserve">美元/桶。</w:t>
      </w:r>
    </w:p>
    <w:p>
      <w:pPr>
        <w:pStyle w:val="CaptionedFigure"/>
      </w:pPr>
      <w:r>
        <w:drawing>
          <wp:inline>
            <wp:extent cx="4907280" cy="2587474"/>
            <wp:effectExtent b="0" l="0" r="0" t="0"/>
            <wp:docPr descr="" title="" id="48" name="Picture"/>
            <a:graphic>
              <a:graphicData uri="http://schemas.openxmlformats.org/drawingml/2006/picture">
                <pic:pic>
                  <pic:nvPicPr>
                    <pic:cNvPr descr="短期模型拟合效果.png" id="49" name="Picture"/>
                    <pic:cNvPicPr>
                      <a:picLocks noChangeArrowheads="1" noChangeAspect="1"/>
                    </pic:cNvPicPr>
                  </pic:nvPicPr>
                  <pic:blipFill>
                    <a:blip r:embed="rId47"/>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短期动态模型拟合效果。模型较好刻画了前期冲击、中期平台和后期再定价。</w:t>
      </w:r>
    </w:p>
    <w:p>
      <w:pPr>
        <w:pStyle w:val="TableCaption"/>
      </w:pPr>
      <w:r>
        <w:rPr>
          <w:rFonts w:hint="eastAsia"/>
        </w:rPr>
        <w:t xml:space="preserve">短期动态模型分段误差</w:t>
      </w:r>
    </w:p>
    <w:tbl>
      <w:tblPr>
        <w:tblStyle w:val="Table"/>
        <w:tblW w:type="auto" w:w="0"/>
        <w:tblLook w:firstRow="1" w:lastRow="0" w:firstColumn="0" w:lastColumn="0" w:noHBand="0" w:noVBand="0" w:val="0020"/>
        <w:tblCaption w:val="短期动态模型分段误差"/>
      </w:tblPr>
      <w:tblGrid>
        <w:gridCol w:w="1584"/>
        <w:gridCol w:w="1584"/>
        <w:gridCol w:w="1584"/>
        <w:gridCol w:w="1584"/>
        <w:gridCol w:w="1584"/>
      </w:tblGrid>
      <w:tr>
        <w:trPr>
          <w:tblHeader w:val="on"/>
        </w:trPr>
        <w:tc>
          <w:tcPr/>
          <w:p>
            <w:pPr>
              <w:pStyle w:val="Compact"/>
              <w:jc w:val="left"/>
            </w:pPr>
            <w:r>
              <w:rPr>
                <w:rFonts w:hint="eastAsia"/>
              </w:rPr>
              <w:t xml:space="preserve">分段</w:t>
            </w:r>
          </w:p>
        </w:tc>
        <w:tc>
          <w:tcPr/>
          <w:p>
            <w:pPr>
              <w:pStyle w:val="Compact"/>
              <w:jc w:val="right"/>
            </w:pPr>
            <w:r>
              <w:rPr>
                <w:rFonts w:hint="eastAsia"/>
              </w:rPr>
              <w:t xml:space="preserve">样本数</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最大绝对误差</w:t>
            </w:r>
          </w:p>
        </w:tc>
      </w:tr>
      <w:tr>
        <w:tc>
          <w:tcPr/>
          <w:p>
            <w:pPr>
              <w:pStyle w:val="Compact"/>
              <w:jc w:val="left"/>
            </w:pPr>
            <w:r>
              <w:rPr>
                <w:rFonts w:hint="eastAsia"/>
              </w:rPr>
              <w:t xml:space="preserve">全窗口</w:t>
            </w:r>
          </w:p>
        </w:tc>
        <w:tc>
          <w:tcPr/>
          <w:p>
            <w:pPr>
              <w:pStyle w:val="Compact"/>
              <w:jc w:val="right"/>
            </w:pPr>
            <w:r>
              <w:t xml:space="preserve">46</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7.43</w:t>
            </w:r>
          </w:p>
        </w:tc>
      </w:tr>
      <w:tr>
        <w:tc>
          <w:tcPr/>
          <w:p>
            <w:pPr>
              <w:pStyle w:val="Compact"/>
              <w:jc w:val="left"/>
            </w:pPr>
            <w:r>
              <w:rPr>
                <w:rFonts w:hint="eastAsia"/>
              </w:rPr>
              <w:t xml:space="preserve">前期冲击</w:t>
            </w:r>
          </w:p>
        </w:tc>
        <w:tc>
          <w:tcPr/>
          <w:p>
            <w:pPr>
              <w:pStyle w:val="Compact"/>
              <w:jc w:val="right"/>
            </w:pPr>
            <w:r>
              <w:t xml:space="preserve">11</w:t>
            </w:r>
          </w:p>
        </w:tc>
        <w:tc>
          <w:tcPr/>
          <w:p>
            <w:pPr>
              <w:pStyle w:val="Compact"/>
              <w:jc w:val="right"/>
            </w:pPr>
            <w:r>
              <w:t xml:space="preserve">3.14</w:t>
            </w:r>
          </w:p>
        </w:tc>
        <w:tc>
          <w:tcPr/>
          <w:p>
            <w:pPr>
              <w:pStyle w:val="Compact"/>
              <w:jc w:val="right"/>
            </w:pPr>
            <w:r>
              <w:t xml:space="preserve">2.72</w:t>
            </w:r>
          </w:p>
        </w:tc>
        <w:tc>
          <w:tcPr/>
          <w:p>
            <w:pPr>
              <w:pStyle w:val="Compact"/>
              <w:jc w:val="right"/>
            </w:pPr>
            <w:r>
              <w:t xml:space="preserve">5.91</w:t>
            </w:r>
          </w:p>
        </w:tc>
      </w:tr>
      <w:tr>
        <w:tc>
          <w:tcPr/>
          <w:p>
            <w:pPr>
              <w:pStyle w:val="Compact"/>
              <w:jc w:val="left"/>
            </w:pPr>
            <w:r>
              <w:rPr>
                <w:rFonts w:hint="eastAsia"/>
              </w:rPr>
              <w:t xml:space="preserve">中期平台</w:t>
            </w:r>
          </w:p>
        </w:tc>
        <w:tc>
          <w:tcPr/>
          <w:p>
            <w:pPr>
              <w:pStyle w:val="Compact"/>
              <w:jc w:val="right"/>
            </w:pPr>
            <w:r>
              <w:t xml:space="preserve">14</w:t>
            </w:r>
          </w:p>
        </w:tc>
        <w:tc>
          <w:tcPr/>
          <w:p>
            <w:pPr>
              <w:pStyle w:val="Compact"/>
              <w:jc w:val="right"/>
            </w:pPr>
            <w:r>
              <w:t xml:space="preserve">4.39</w:t>
            </w:r>
          </w:p>
        </w:tc>
        <w:tc>
          <w:tcPr/>
          <w:p>
            <w:pPr>
              <w:pStyle w:val="Compact"/>
              <w:jc w:val="right"/>
            </w:pPr>
            <w:r>
              <w:t xml:space="preserve">3.72</w:t>
            </w:r>
          </w:p>
        </w:tc>
        <w:tc>
          <w:tcPr/>
          <w:p>
            <w:pPr>
              <w:pStyle w:val="Compact"/>
              <w:jc w:val="right"/>
            </w:pPr>
            <w:r>
              <w:t xml:space="preserve">7.43</w:t>
            </w:r>
          </w:p>
        </w:tc>
      </w:tr>
      <w:tr>
        <w:tc>
          <w:tcPr/>
          <w:p>
            <w:pPr>
              <w:pStyle w:val="Compact"/>
              <w:jc w:val="left"/>
            </w:pPr>
            <w:r>
              <w:rPr>
                <w:rFonts w:hint="eastAsia"/>
              </w:rPr>
              <w:t xml:space="preserve">后期再定价</w:t>
            </w:r>
          </w:p>
        </w:tc>
        <w:tc>
          <w:tcPr/>
          <w:p>
            <w:pPr>
              <w:pStyle w:val="Compact"/>
              <w:jc w:val="right"/>
            </w:pPr>
            <w:r>
              <w:t xml:space="preserve">21</w:t>
            </w:r>
          </w:p>
        </w:tc>
        <w:tc>
          <w:tcPr/>
          <w:p>
            <w:pPr>
              <w:pStyle w:val="Compact"/>
              <w:jc w:val="right"/>
            </w:pPr>
            <w:r>
              <w:t xml:space="preserve">2.81</w:t>
            </w:r>
          </w:p>
        </w:tc>
        <w:tc>
          <w:tcPr/>
          <w:p>
            <w:pPr>
              <w:pStyle w:val="Compact"/>
              <w:jc w:val="right"/>
            </w:pPr>
            <w:r>
              <w:t xml:space="preserve">2.35</w:t>
            </w:r>
          </w:p>
        </w:tc>
        <w:tc>
          <w:tcPr/>
          <w:p>
            <w:pPr>
              <w:pStyle w:val="Compact"/>
              <w:jc w:val="right"/>
            </w:pPr>
            <w:r>
              <w:t xml:space="preserve">5.24</w:t>
            </w:r>
          </w:p>
        </w:tc>
      </w:tr>
      <w:tr>
        <w:tc>
          <w:tcPr/>
          <w:p>
            <w:pPr>
              <w:pStyle w:val="Compact"/>
              <w:jc w:val="left"/>
            </w:pPr>
            <w:r>
              <w:rPr>
                <w:rFonts w:hint="eastAsia"/>
              </w:rPr>
              <w:t xml:space="preserve">高价平台</w:t>
            </w:r>
          </w:p>
        </w:tc>
        <w:tc>
          <w:tcPr/>
          <w:p>
            <w:pPr>
              <w:pStyle w:val="Compact"/>
              <w:jc w:val="right"/>
            </w:pPr>
            <w:r>
              <w:t xml:space="preserve">4</w:t>
            </w:r>
          </w:p>
        </w:tc>
        <w:tc>
          <w:tcPr/>
          <w:p>
            <w:pPr>
              <w:pStyle w:val="Compact"/>
              <w:jc w:val="right"/>
            </w:pPr>
            <w:r>
              <w:t xml:space="preserve">2.83</w:t>
            </w:r>
          </w:p>
        </w:tc>
        <w:tc>
          <w:tcPr/>
          <w:p>
            <w:pPr>
              <w:pStyle w:val="Compact"/>
              <w:jc w:val="right"/>
            </w:pPr>
            <w:r>
              <w:t xml:space="preserve">2.34</w:t>
            </w:r>
          </w:p>
        </w:tc>
        <w:tc>
          <w:tcPr/>
          <w:p>
            <w:pPr>
              <w:pStyle w:val="Compact"/>
              <w:jc w:val="right"/>
            </w:pPr>
            <w:r>
              <w:t xml:space="preserve">3.91</w:t>
            </w:r>
          </w:p>
        </w:tc>
      </w:tr>
      <w:tr>
        <w:tc>
          <w:tcPr/>
          <w:p>
            <w:pPr>
              <w:pStyle w:val="Compact"/>
              <w:jc w:val="left"/>
            </w:pPr>
            <w:r>
              <w:rPr>
                <w:rFonts w:hint="eastAsia"/>
              </w:rPr>
              <w:t xml:space="preserve">低价回落</w:t>
            </w:r>
          </w:p>
        </w:tc>
        <w:tc>
          <w:tcPr/>
          <w:p>
            <w:pPr>
              <w:pStyle w:val="Compact"/>
              <w:jc w:val="right"/>
            </w:pPr>
            <w:r>
              <w:t xml:space="preserve">21</w:t>
            </w:r>
          </w:p>
        </w:tc>
        <w:tc>
          <w:tcPr/>
          <w:p>
            <w:pPr>
              <w:pStyle w:val="Compact"/>
              <w:jc w:val="right"/>
            </w:pPr>
            <w:r>
              <w:t xml:space="preserve">3.38</w:t>
            </w:r>
          </w:p>
        </w:tc>
        <w:tc>
          <w:tcPr/>
          <w:p>
            <w:pPr>
              <w:pStyle w:val="Compact"/>
              <w:jc w:val="right"/>
            </w:pPr>
            <w:r>
              <w:t xml:space="preserve">2.94</w:t>
            </w:r>
          </w:p>
        </w:tc>
        <w:tc>
          <w:tcPr/>
          <w:p>
            <w:pPr>
              <w:pStyle w:val="Compact"/>
              <w:jc w:val="right"/>
            </w:pPr>
            <w:r>
              <w:t xml:space="preserve">5.91</w:t>
            </w:r>
          </w:p>
        </w:tc>
      </w:tr>
    </w:tbl>
    <w:p>
      <w:pPr>
        <w:pStyle w:val="CaptionedFigure"/>
      </w:pPr>
      <w:r>
        <w:drawing>
          <wp:inline>
            <wp:extent cx="4907280" cy="2765921"/>
            <wp:effectExtent b="0" l="0" r="0" t="0"/>
            <wp:docPr descr="" title="" id="51" name="Picture"/>
            <a:graphic>
              <a:graphicData uri="http://schemas.openxmlformats.org/drawingml/2006/picture">
                <pic:pic>
                  <pic:nvPicPr>
                    <pic:cNvPr descr="短期模型机制贡献.png" id="52" name="Picture"/>
                    <pic:cNvPicPr>
                      <a:picLocks noChangeArrowheads="1" noChangeAspect="1"/>
                    </pic:cNvPicPr>
                  </pic:nvPicPr>
                  <pic:blipFill>
                    <a:blip r:embed="rId50"/>
                    <a:stretch>
                      <a:fillRect/>
                    </a:stretch>
                  </pic:blipFill>
                  <pic:spPr bwMode="auto">
                    <a:xfrm>
                      <a:off x="0" y="0"/>
                      <a:ext cx="4907280" cy="2765921"/>
                    </a:xfrm>
                    <a:prstGeom prst="rect">
                      <a:avLst/>
                    </a:prstGeom>
                    <a:noFill/>
                    <a:ln w="9525">
                      <a:noFill/>
                      <a:headEnd/>
                      <a:tailEnd/>
                    </a:ln>
                  </pic:spPr>
                </pic:pic>
              </a:graphicData>
            </a:graphic>
          </wp:inline>
        </w:drawing>
      </w:r>
    </w:p>
    <w:p>
      <w:pPr>
        <w:pStyle w:val="ImageCaption"/>
      </w:pPr>
      <w:r>
        <w:rPr>
          <w:rFonts w:hint="eastAsia"/>
        </w:rPr>
        <w:t xml:space="preserve">短期模型机制贡献分解。风险溢价推升价格，缓冲确认和预期修复压低价格。</w:t>
      </w:r>
    </w:p>
    <w:bookmarkEnd w:id="53"/>
    <w:bookmarkStart w:id="63" w:name="基准对比与鲁棒性检验"/>
    <w:p>
      <w:pPr>
        <w:pStyle w:val="Heading2"/>
      </w:pPr>
      <w:r>
        <w:rPr>
          <w:rFonts w:hint="eastAsia"/>
        </w:rPr>
        <w:t xml:space="preserve">基准对比与鲁棒性检验</w:t>
      </w:r>
    </w:p>
    <w:p>
      <w:pPr>
        <w:pStyle w:val="FirstParagraph"/>
      </w:pPr>
      <w:r>
        <w:rPr>
          <w:rFonts w:hint="eastAsia"/>
        </w:rPr>
        <w:t xml:space="preserve">金融时间序列中，上一日价格朴素基准是强基准。如果模型不能优于</w:t>
      </w:r>
      <w:r>
        <w:rPr>
          <w:rFonts w:hint="eastAsia"/>
        </w:rPr>
        <w:t xml:space="preserve">“今天等于昨天”</w:t>
      </w:r>
      <w:r>
        <w:rPr>
          <w:rFonts w:hint="eastAsia"/>
        </w:rPr>
        <w:t xml:space="preserve">，则复杂机制缺乏价值。本文设置朴素上一日基准、三日均值基准、漂移随机游走基准和滚动</w:t>
      </w:r>
      <w:r>
        <w:t xml:space="preserve"> ARIMA(1,1,0) </w:t>
      </w:r>
      <w:r>
        <w:rPr>
          <w:rFonts w:hint="eastAsia"/>
        </w:rPr>
        <w:t xml:space="preserve">基准，所有基准在预测第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w:t>
      </w:r>
    </w:p>
    <w:p>
      <w:pPr>
        <w:pStyle w:val="CaptionedFigure"/>
      </w:pPr>
      <w:r>
        <w:drawing>
          <wp:inline>
            <wp:extent cx="4907280" cy="4218758"/>
            <wp:effectExtent b="0" l="0" r="0" t="0"/>
            <wp:docPr descr="" title="" id="55" name="Picture"/>
            <a:graphic>
              <a:graphicData uri="http://schemas.openxmlformats.org/drawingml/2006/picture">
                <pic:pic>
                  <pic:nvPicPr>
                    <pic:cNvPr descr="评审质疑防御框架图.png" id="56" name="Picture"/>
                    <pic:cNvPicPr>
                      <a:picLocks noChangeArrowheads="1" noChangeAspect="1"/>
                    </pic:cNvPicPr>
                  </pic:nvPicPr>
                  <pic:blipFill>
                    <a:blip r:embed="rId54"/>
                    <a:stretch>
                      <a:fillRect/>
                    </a:stretch>
                  </pic:blipFill>
                  <pic:spPr bwMode="auto">
                    <a:xfrm>
                      <a:off x="0" y="0"/>
                      <a:ext cx="4907280" cy="4218758"/>
                    </a:xfrm>
                    <a:prstGeom prst="rect">
                      <a:avLst/>
                    </a:prstGeom>
                    <a:noFill/>
                    <a:ln w="9525">
                      <a:noFill/>
                      <a:headEnd/>
                      <a:tailEnd/>
                    </a:ln>
                  </pic:spPr>
                </pic:pic>
              </a:graphicData>
            </a:graphic>
          </wp:inline>
        </w:drawing>
      </w:r>
    </w:p>
    <w:p>
      <w:pPr>
        <w:pStyle w:val="ImageCaption"/>
      </w:pPr>
      <w:r>
        <w:rPr>
          <w:rFonts w:hint="eastAsia"/>
        </w:rPr>
        <w:t xml:space="preserve">模型鲁棒性检验框架。每类潜在风险都对应可复现的检验、图表或校验输出。</w:t>
      </w:r>
    </w:p>
    <w:p>
      <w:pPr>
        <w:pStyle w:val="TableCaption"/>
      </w:pPr>
      <w:r>
        <w:rPr>
          <w:rFonts w:hint="eastAsia"/>
        </w:rPr>
        <w:t xml:space="preserve">短期模型与朴素/时间序列基准对比</w:t>
      </w:r>
    </w:p>
    <w:tbl>
      <w:tblPr>
        <w:tblStyle w:val="Table"/>
        <w:tblW w:type="auto" w:w="0"/>
        <w:tblLook w:firstRow="1" w:lastRow="0" w:firstColumn="0" w:lastColumn="0" w:noHBand="0" w:noVBand="0" w:val="0020"/>
        <w:tblCaption w:val="短期模型与朴素/时间序列基准对比"/>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本文短期动态模型</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2.86%</w:t>
            </w:r>
          </w:p>
        </w:tc>
        <w:tc>
          <w:tcPr/>
          <w:p>
            <w:pPr>
              <w:pStyle w:val="Compact"/>
              <w:jc w:val="right"/>
            </w:pPr>
            <w:r>
              <w:t xml:space="preserve">64.4%</w:t>
            </w:r>
          </w:p>
        </w:tc>
      </w:tr>
      <w:tr>
        <w:tc>
          <w:tcPr/>
          <w:p>
            <w:pPr>
              <w:pStyle w:val="Compact"/>
              <w:jc w:val="left"/>
            </w:pPr>
            <w:r>
              <w:rPr>
                <w:rFonts w:hint="eastAsia"/>
              </w:rPr>
              <w:t xml:space="preserve">朴素上一日基准</w:t>
            </w:r>
          </w:p>
        </w:tc>
        <w:tc>
          <w:tcPr/>
          <w:p>
            <w:pPr>
              <w:pStyle w:val="Compact"/>
              <w:jc w:val="right"/>
            </w:pPr>
            <w:r>
              <w:t xml:space="preserve">4.47</w:t>
            </w:r>
          </w:p>
        </w:tc>
        <w:tc>
          <w:tcPr/>
          <w:p>
            <w:pPr>
              <w:pStyle w:val="Compact"/>
              <w:jc w:val="right"/>
            </w:pPr>
            <w:r>
              <w:t xml:space="preserve">3.57</w:t>
            </w:r>
          </w:p>
        </w:tc>
        <w:tc>
          <w:tcPr/>
          <w:p>
            <w:pPr>
              <w:pStyle w:val="Compact"/>
              <w:jc w:val="right"/>
            </w:pPr>
            <w:r>
              <w:t xml:space="preserve">3.54%</w:t>
            </w:r>
          </w:p>
        </w:tc>
        <w:tc>
          <w:tcPr/>
          <w:p>
            <w:pPr>
              <w:pStyle w:val="Compact"/>
              <w:jc w:val="right"/>
            </w:pPr>
            <w:r>
              <w:t xml:space="preserve">46.7%</w:t>
            </w:r>
          </w:p>
        </w:tc>
      </w:tr>
      <w:tr>
        <w:tc>
          <w:tcPr/>
          <w:p>
            <w:pPr>
              <w:pStyle w:val="Compact"/>
              <w:jc w:val="left"/>
            </w:pPr>
            <w:r>
              <w:rPr>
                <w:rFonts w:hint="eastAsia"/>
              </w:rPr>
              <w:t xml:space="preserve">三日均值基准</w:t>
            </w:r>
          </w:p>
        </w:tc>
        <w:tc>
          <w:tcPr/>
          <w:p>
            <w:pPr>
              <w:pStyle w:val="Compact"/>
              <w:jc w:val="right"/>
            </w:pPr>
            <w:r>
              <w:t xml:space="preserve">5.18</w:t>
            </w:r>
          </w:p>
        </w:tc>
        <w:tc>
          <w:tcPr/>
          <w:p>
            <w:pPr>
              <w:pStyle w:val="Compact"/>
              <w:jc w:val="right"/>
            </w:pPr>
            <w:r>
              <w:t xml:space="preserve">4.16</w:t>
            </w:r>
          </w:p>
        </w:tc>
        <w:tc>
          <w:tcPr/>
          <w:p>
            <w:pPr>
              <w:pStyle w:val="Compact"/>
              <w:jc w:val="right"/>
            </w:pPr>
            <w:r>
              <w:t xml:space="preserve">4.15%</w:t>
            </w:r>
          </w:p>
        </w:tc>
        <w:tc>
          <w:tcPr/>
          <w:p>
            <w:pPr>
              <w:pStyle w:val="Compact"/>
              <w:jc w:val="right"/>
            </w:pPr>
            <w:r>
              <w:t xml:space="preserve">44.4%</w:t>
            </w:r>
          </w:p>
        </w:tc>
      </w:tr>
      <w:tr>
        <w:tc>
          <w:tcPr/>
          <w:p>
            <w:pPr>
              <w:pStyle w:val="Compact"/>
              <w:jc w:val="left"/>
            </w:pPr>
            <w:r>
              <w:rPr>
                <w:rFonts w:hint="eastAsia"/>
              </w:rPr>
              <w:t xml:space="preserve">漂移随机游走基准</w:t>
            </w:r>
          </w:p>
        </w:tc>
        <w:tc>
          <w:tcPr/>
          <w:p>
            <w:pPr>
              <w:pStyle w:val="Compact"/>
              <w:jc w:val="right"/>
            </w:pPr>
            <w:r>
              <w:t xml:space="preserve">4.84</w:t>
            </w:r>
          </w:p>
        </w:tc>
        <w:tc>
          <w:tcPr/>
          <w:p>
            <w:pPr>
              <w:pStyle w:val="Compact"/>
              <w:jc w:val="right"/>
            </w:pPr>
            <w:r>
              <w:t xml:space="preserve">3.94</w:t>
            </w:r>
          </w:p>
        </w:tc>
        <w:tc>
          <w:tcPr/>
          <w:p>
            <w:pPr>
              <w:pStyle w:val="Compact"/>
              <w:jc w:val="right"/>
            </w:pPr>
            <w:r>
              <w:t xml:space="preserve">3.91%</w:t>
            </w:r>
          </w:p>
        </w:tc>
        <w:tc>
          <w:tcPr/>
          <w:p>
            <w:pPr>
              <w:pStyle w:val="Compact"/>
              <w:jc w:val="right"/>
            </w:pPr>
            <w:r>
              <w:t xml:space="preserve">46.7%</w:t>
            </w:r>
          </w:p>
        </w:tc>
      </w:tr>
      <w:tr>
        <w:tc>
          <w:tcPr/>
          <w:p>
            <w:pPr>
              <w:pStyle w:val="Compact"/>
              <w:jc w:val="left"/>
            </w:pPr>
            <w:r>
              <w:rPr>
                <w:rFonts w:hint="eastAsia"/>
              </w:rPr>
              <w:t xml:space="preserve">滚动</w:t>
            </w:r>
            <w:r>
              <w:t xml:space="preserve"> ARIMA(1,1,0) </w:t>
            </w:r>
            <w:r>
              <w:rPr>
                <w:rFonts w:hint="eastAsia"/>
              </w:rPr>
              <w:t xml:space="preserve">基准</w:t>
            </w:r>
          </w:p>
        </w:tc>
        <w:tc>
          <w:tcPr/>
          <w:p>
            <w:pPr>
              <w:pStyle w:val="Compact"/>
              <w:jc w:val="right"/>
            </w:pPr>
            <w:r>
              <w:t xml:space="preserve">4.53</w:t>
            </w:r>
          </w:p>
        </w:tc>
        <w:tc>
          <w:tcPr/>
          <w:p>
            <w:pPr>
              <w:pStyle w:val="Compact"/>
              <w:jc w:val="right"/>
            </w:pPr>
            <w:r>
              <w:t xml:space="preserve">3.67</w:t>
            </w:r>
          </w:p>
        </w:tc>
        <w:tc>
          <w:tcPr/>
          <w:p>
            <w:pPr>
              <w:pStyle w:val="Compact"/>
              <w:jc w:val="right"/>
            </w:pPr>
            <w:r>
              <w:t xml:space="preserve">3.63%</w:t>
            </w:r>
          </w:p>
        </w:tc>
        <w:tc>
          <w:tcPr/>
          <w:p>
            <w:pPr>
              <w:pStyle w:val="Compact"/>
              <w:jc w:val="right"/>
            </w:pPr>
            <w:r>
              <w:t xml:space="preserve">46.7%</w:t>
            </w:r>
          </w:p>
        </w:tc>
      </w:tr>
    </w:tbl>
    <w:p>
      <w:pPr>
        <w:pStyle w:val="CaptionedFigure"/>
      </w:pPr>
      <w:r>
        <w:drawing>
          <wp:inline>
            <wp:extent cx="4587240" cy="2533904"/>
            <wp:effectExtent b="0" l="0" r="0" t="0"/>
            <wp:docPr descr="" title="" id="58" name="Picture"/>
            <a:graphic>
              <a:graphicData uri="http://schemas.openxmlformats.org/drawingml/2006/picture">
                <pic:pic>
                  <pic:nvPicPr>
                    <pic:cNvPr descr="短期模型基准对比.png" id="59" name="Picture"/>
                    <pic:cNvPicPr>
                      <a:picLocks noChangeArrowheads="1" noChangeAspect="1"/>
                    </pic:cNvPicPr>
                  </pic:nvPicPr>
                  <pic:blipFill>
                    <a:blip r:embed="rId57"/>
                    <a:stretch>
                      <a:fillRect/>
                    </a:stretch>
                  </pic:blipFill>
                  <pic:spPr bwMode="auto">
                    <a:xfrm>
                      <a:off x="0" y="0"/>
                      <a:ext cx="4587240" cy="2533904"/>
                    </a:xfrm>
                    <a:prstGeom prst="rect">
                      <a:avLst/>
                    </a:prstGeom>
                    <a:noFill/>
                    <a:ln w="9525">
                      <a:noFill/>
                      <a:headEnd/>
                      <a:tailEnd/>
                    </a:ln>
                  </pic:spPr>
                </pic:pic>
              </a:graphicData>
            </a:graphic>
          </wp:inline>
        </w:drawing>
      </w:r>
    </w:p>
    <w:p>
      <w:pPr>
        <w:pStyle w:val="ImageCaption"/>
      </w:pPr>
      <w:r>
        <w:rPr>
          <w:rFonts w:hint="eastAsia"/>
        </w:rPr>
        <w:t xml:space="preserve">短期模型与朴素/时间序列基准</w:t>
      </w:r>
      <w:r>
        <w:t xml:space="preserve"> RMSE </w:t>
      </w:r>
      <w:r>
        <w:rPr>
          <w:rFonts w:hint="eastAsia"/>
        </w:rPr>
        <w:t xml:space="preserve">对比。本文模型相对朴素基准改善约</w:t>
      </w:r>
      <w:r>
        <w:t xml:space="preserve"> 23.0%。</w:t>
      </w:r>
    </w:p>
    <w:p>
      <w:pPr>
        <w:pStyle w:val="BodyText"/>
      </w:pPr>
      <w:r>
        <w:rPr>
          <w:rFonts w:hint="eastAsia"/>
        </w:rPr>
        <w:t xml:space="preserve">为排除</w:t>
      </w:r>
      <w:r>
        <w:rPr>
          <w:rFonts w:hint="eastAsia"/>
        </w:rPr>
        <w:t xml:space="preserve">“模型只是滞后复制真实曲线”</w:t>
      </w:r>
      <w:r>
        <w:rPr>
          <w:rFonts w:hint="eastAsia"/>
        </w:rPr>
        <w:t xml:space="preserve">的风险，本文将模型曲线整体向左、向右平移</w:t>
      </w:r>
      <w:r>
        <w:t xml:space="preserve"> 1–5 </w:t>
      </w:r>
      <w:r>
        <w:rPr>
          <w:rFonts w:hint="eastAsia"/>
        </w:rPr>
        <w:t xml:space="preserve">天后重新计算</w:t>
      </w:r>
      <w:r>
        <w:t xml:space="preserve"> </w:t>
      </w:r>
      <w:r>
        <w:rPr>
          <w:rFonts w:hint="eastAsia"/>
        </w:rPr>
        <w:t xml:space="preserve">RMSE。结果显示，原始位置</w:t>
      </w:r>
      <w:r>
        <w:t xml:space="preserve"> RMSE </w:t>
      </w:r>
      <w:r>
        <w:rPr>
          <w:rFonts w:hint="eastAsia"/>
        </w:rPr>
        <w:t xml:space="preserve">最低，为</w:t>
      </w:r>
      <w:r>
        <w:t xml:space="preserve"> </w:t>
      </w:r>
      <w:r>
        <w:rPr>
          <w:rFonts w:hint="eastAsia"/>
        </w:rPr>
        <w:t xml:space="preserve">3.44；向左平移</w:t>
      </w:r>
      <w:r>
        <w:t xml:space="preserve"> 1 </w:t>
      </w:r>
      <w:r>
        <w:rPr>
          <w:rFonts w:hint="eastAsia"/>
        </w:rPr>
        <w:t xml:space="preserve">天后</w:t>
      </w:r>
      <w:r>
        <w:t xml:space="preserve"> RMSE </w:t>
      </w:r>
      <w:r>
        <w:rPr>
          <w:rFonts w:hint="eastAsia"/>
        </w:rPr>
        <w:t xml:space="preserve">升至</w:t>
      </w:r>
      <w:r>
        <w:t xml:space="preserve"> </w:t>
      </w:r>
      <w:r>
        <w:rPr>
          <w:rFonts w:hint="eastAsia"/>
        </w:rPr>
        <w:t xml:space="preserve">3.87，向左平移</w:t>
      </w:r>
      <w:r>
        <w:t xml:space="preserve"> 2 </w:t>
      </w:r>
      <w:r>
        <w:rPr>
          <w:rFonts w:hint="eastAsia"/>
        </w:rPr>
        <w:t xml:space="preserve">天后升至</w:t>
      </w:r>
      <w:r>
        <w:t xml:space="preserve"> </w:t>
      </w:r>
      <w:r>
        <w:rPr>
          <w:rFonts w:hint="eastAsia"/>
        </w:rPr>
        <w:t xml:space="preserve">4.64，说明模型不存在明显滞后复制。</w:t>
      </w:r>
    </w:p>
    <w:p>
      <w:pPr>
        <w:pStyle w:val="CaptionedFigure"/>
      </w:pPr>
      <w:r>
        <w:drawing>
          <wp:inline>
            <wp:extent cx="4480560" cy="2594008"/>
            <wp:effectExtent b="0" l="0" r="0" t="0"/>
            <wp:docPr descr="" title="" id="61" name="Picture"/>
            <a:graphic>
              <a:graphicData uri="http://schemas.openxmlformats.org/drawingml/2006/picture">
                <pic:pic>
                  <pic:nvPicPr>
                    <pic:cNvPr descr="短期模型滞后平移检验.png" id="62" name="Picture"/>
                    <pic:cNvPicPr>
                      <a:picLocks noChangeArrowheads="1" noChangeAspect="1"/>
                    </pic:cNvPicPr>
                  </pic:nvPicPr>
                  <pic:blipFill>
                    <a:blip r:embed="rId60"/>
                    <a:stretch>
                      <a:fillRect/>
                    </a:stretch>
                  </pic:blipFill>
                  <pic:spPr bwMode="auto">
                    <a:xfrm>
                      <a:off x="0" y="0"/>
                      <a:ext cx="4480560" cy="2594008"/>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检验。原始位置误差最低。</w:t>
      </w:r>
    </w:p>
    <w:bookmarkEnd w:id="63"/>
    <w:bookmarkStart w:id="67" w:name="结构稳定性检验"/>
    <w:p>
      <w:pPr>
        <w:pStyle w:val="Heading2"/>
      </w:pPr>
      <w:r>
        <w:rPr>
          <w:rFonts w:hint="eastAsia"/>
        </w:rPr>
        <w:t xml:space="preserve">结构稳定性检验</w:t>
      </w:r>
    </w:p>
    <w:p>
      <w:pPr>
        <w:pStyle w:val="FirstParagraph"/>
      </w:pPr>
      <w:r>
        <w:rPr>
          <w:rFonts w:hint="eastAsia"/>
        </w:rPr>
        <w:t xml:space="preserve">由于冲突窗口只有</w:t>
      </w:r>
      <w:r>
        <w:t xml:space="preserve"> 46 </w:t>
      </w:r>
      <w:r>
        <w:rPr>
          <w:rFonts w:hint="eastAsia"/>
        </w:rPr>
        <w:t xml:space="preserve">个交易日，而校准参数较多，本文进一步进行参数扰动与结构边界检验。结果显示，在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参数扰动中，96.6%</w:t>
      </w:r>
      <w:r>
        <w:t xml:space="preserve"> </w:t>
      </w:r>
      <w:r>
        <w:rPr>
          <w:rFonts w:hint="eastAsia"/>
        </w:rPr>
        <w:t xml:space="preserve">的样本模拟峰值仍落在</w:t>
      </w:r>
      <w:r>
        <w:t xml:space="preserve"> 105–125 </w:t>
      </w:r>
      <w:r>
        <w:rPr>
          <w:rFonts w:hint="eastAsia"/>
        </w:rPr>
        <w:t xml:space="preserve">美元/桶区间；递推结构检查也确认模型未将</w:t>
      </w:r>
      <w:r>
        <w:t xml:space="preserve"> 120 </w:t>
      </w:r>
      <w:r>
        <w:rPr>
          <w:rFonts w:hint="eastAsia"/>
        </w:rPr>
        <w:t xml:space="preserve">美元作为外生价格上限。本文因此将模型定位为</w:t>
      </w:r>
      <w:r>
        <w:rPr>
          <w:rFonts w:hint="eastAsia"/>
        </w:rPr>
        <w:t xml:space="preserve">“事件机制递推模型”</w:t>
      </w:r>
      <w:r>
        <w:rPr>
          <w:rFonts w:hint="eastAsia"/>
        </w:rPr>
        <w:t xml:space="preserve">，而非通用日度交易预测器。</w:t>
      </w:r>
    </w:p>
    <w:p>
      <w:pPr>
        <w:pStyle w:val="CaptionedFigure"/>
      </w:pPr>
      <w:r>
        <w:drawing>
          <wp:inline>
            <wp:extent cx="4693920" cy="2048256"/>
            <wp:effectExtent b="0" l="0" r="0" t="0"/>
            <wp:docPr descr="" title="" id="65" name="Picture"/>
            <a:graphic>
              <a:graphicData uri="http://schemas.openxmlformats.org/drawingml/2006/picture">
                <pic:pic>
                  <pic:nvPicPr>
                    <pic:cNvPr descr="短期模型过拟合压力测试.png" id="66" name="Picture"/>
                    <pic:cNvPicPr>
                      <a:picLocks noChangeArrowheads="1" noChangeAspect="1"/>
                    </pic:cNvPicPr>
                  </pic:nvPicPr>
                  <pic:blipFill>
                    <a:blip r:embed="rId64"/>
                    <a:stretch>
                      <a:fillRect/>
                    </a:stretch>
                  </pic:blipFill>
                  <pic:spPr bwMode="auto">
                    <a:xfrm>
                      <a:off x="0" y="0"/>
                      <a:ext cx="4693920" cy="2048256"/>
                    </a:xfrm>
                    <a:prstGeom prst="rect">
                      <a:avLst/>
                    </a:prstGeom>
                    <a:noFill/>
                    <a:ln w="9525">
                      <a:noFill/>
                      <a:headEnd/>
                      <a:tailEnd/>
                    </a:ln>
                  </pic:spPr>
                </pic:pic>
              </a:graphicData>
            </a:graphic>
          </wp:inline>
        </w:drawing>
      </w:r>
    </w:p>
    <w:p>
      <w:pPr>
        <w:pStyle w:val="ImageCaption"/>
      </w:pPr>
      <w:r>
        <w:rPr>
          <w:rFonts w:hint="eastAsia"/>
        </w:rPr>
        <w:t xml:space="preserve">短期模型参数扰动检验。多数扰动样本仍保持在合理价格平台附近。</w:t>
      </w:r>
    </w:p>
    <w:bookmarkEnd w:id="67"/>
    <w:bookmarkStart w:id="71" w:name="分段误差与残差诊断"/>
    <w:p>
      <w:pPr>
        <w:pStyle w:val="Heading2"/>
      </w:pPr>
      <w:r>
        <w:rPr>
          <w:rFonts w:hint="eastAsia"/>
        </w:rPr>
        <w:t xml:space="preserve">分段误差与残差诊断</w:t>
      </w:r>
    </w:p>
    <w:p>
      <w:pPr>
        <w:pStyle w:val="FirstParagraph"/>
      </w:pPr>
      <w:r>
        <w:rPr>
          <w:rFonts w:hint="eastAsia"/>
        </w:rPr>
        <w:t xml:space="preserve">仅报告全窗口</w:t>
      </w:r>
      <w:r>
        <w:t xml:space="preserve"> RMSE </w:t>
      </w:r>
      <w:r>
        <w:rPr>
          <w:rFonts w:hint="eastAsia"/>
        </w:rPr>
        <w:t xml:space="preserve">容易掩盖局部失败。本文进一步检查逐日残差、滚动误差、实际值与模拟值一致性以及残差自相关。分段误差显示，中期平台是最难解释的部分，RMSE</w:t>
      </w:r>
      <w:r>
        <w:t xml:space="preserve"> </w:t>
      </w:r>
      <w:r>
        <w:rPr>
          <w:rFonts w:hint="eastAsia"/>
        </w:rPr>
        <w:t xml:space="preserve">为</w:t>
      </w:r>
      <w:r>
        <w:t xml:space="preserve"> 4.39 </w:t>
      </w:r>
      <w:r>
        <w:rPr>
          <w:rFonts w:hint="eastAsia"/>
        </w:rPr>
        <w:t xml:space="preserve">美元/桶；后期再定价阶段</w:t>
      </w:r>
      <w:r>
        <w:t xml:space="preserve"> RMSE </w:t>
      </w:r>
      <w:r>
        <w:rPr>
          <w:rFonts w:hint="eastAsia"/>
        </w:rPr>
        <w:t xml:space="preserve">降至</w:t>
      </w:r>
      <w:r>
        <w:t xml:space="preserve"> 2.81 </w:t>
      </w:r>
      <w:r>
        <w:rPr>
          <w:rFonts w:hint="eastAsia"/>
        </w:rPr>
        <w:t xml:space="preserve">美元/桶，说明缓冲确认折价和预期修复折价对解释后期回落有实际作用。</w:t>
      </w:r>
    </w:p>
    <w:p>
      <w:pPr>
        <w:pStyle w:val="CaptionedFigure"/>
      </w:pPr>
      <w:r>
        <w:drawing>
          <wp:inline>
            <wp:extent cx="4907280" cy="3655675"/>
            <wp:effectExtent b="0" l="0" r="0" t="0"/>
            <wp:docPr descr="" title="" id="69" name="Picture"/>
            <a:graphic>
              <a:graphicData uri="http://schemas.openxmlformats.org/drawingml/2006/picture">
                <pic:pic>
                  <pic:nvPicPr>
                    <pic:cNvPr descr="短期模型残差诊断增强.png" id="70" name="Picture"/>
                    <pic:cNvPicPr>
                      <a:picLocks noChangeArrowheads="1" noChangeAspect="1"/>
                    </pic:cNvPicPr>
                  </pic:nvPicPr>
                  <pic:blipFill>
                    <a:blip r:embed="rId68"/>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短期模型增强残差诊断。图中展示一致性、残差分布、滚动误差和残差自相关。</w:t>
      </w:r>
    </w:p>
    <w:p>
      <w:pPr>
        <w:pStyle w:val="BodyText"/>
      </w:pPr>
      <w:r>
        <w:rPr>
          <w:rFonts w:hint="eastAsia"/>
        </w:rPr>
        <w:t xml:space="preserve">增强诊断表明，模型没有通过牺牲某一局部阶段来换取总体</w:t>
      </w:r>
      <w:r>
        <w:t xml:space="preserve"> </w:t>
      </w:r>
      <w:r>
        <w:rPr>
          <w:rFonts w:hint="eastAsia"/>
        </w:rPr>
        <w:t xml:space="preserve">RMSE。实际值与模拟值的一致性图说明模型能够跟随冲突窗口的主要价格平台；残差分布没有出现单侧系统性偏移；滚动误差在中期平台阶段略高，符合市场对封锁持续时间和缓冲机制可持续性反复定价的事实。残差一阶自相关约为</w:t>
      </w:r>
      <w:r>
        <w:t xml:space="preserve"> </w:t>
      </w:r>
      <w:r>
        <w:rPr>
          <w:rFonts w:hint="eastAsia"/>
        </w:rPr>
        <w:t xml:space="preserve">0.254，说明仍存在一定连续偏差，但未形成明显强自相关。</w:t>
      </w:r>
    </w:p>
    <w:bookmarkEnd w:id="71"/>
    <w:bookmarkStart w:id="78" w:name="在线残差校正与机器学习辅助边界"/>
    <w:p>
      <w:pPr>
        <w:pStyle w:val="Heading2"/>
      </w:pPr>
      <w:r>
        <w:rPr>
          <w:rFonts w:hint="eastAsia"/>
        </w:rPr>
        <w:t xml:space="preserve">在线残差校正与机器学习辅助边界</w:t>
      </w:r>
    </w:p>
    <w:p>
      <w:pPr>
        <w:pStyle w:val="FirstParagraph"/>
      </w:pPr>
      <w:r>
        <w:rPr>
          <w:rFonts w:hint="eastAsia"/>
        </w:rPr>
        <w:t xml:space="preserve">考虑到短期模型残差仍存在轻微连续偏差，本文进一步引入一个轻量在线校正层。该层不替代综合机制递推主模型，只使用第</w:t>
      </w:r>
      <w:r>
        <w:t xml:space="preserve"> </w:t>
      </w:r>
      <m:oMath>
        <m:r>
          <m:t>t</m:t>
        </m:r>
        <m:r>
          <m:rPr>
            <m:sty m:val="p"/>
          </m:rPr>
          <m:t>−</m:t>
        </m:r>
        <m:r>
          <m:t>1</m:t>
        </m:r>
      </m:oMath>
      <w:r>
        <w:t xml:space="preserve"> </w:t>
      </w:r>
      <w:r>
        <w:rPr>
          <w:rFonts w:hint="eastAsia"/>
        </w:rPr>
        <w:t xml:space="preserve">日以前已经观测到的模型误差来估计第</w:t>
      </w:r>
      <w:r>
        <w:t xml:space="preserve"> </w:t>
      </w:r>
      <m:oMath>
        <m:r>
          <m:t>t</m:t>
        </m:r>
      </m:oMath>
      <w:r>
        <w:t xml:space="preserve"> </w:t>
      </w:r>
      <w:r>
        <w:rPr>
          <w:rFonts w:hint="eastAsia"/>
        </w:rPr>
        <w:t xml:space="preserve">日误差反馈：</w:t>
      </w:r>
    </w:p>
    <w:p>
      <w:pPr>
        <w:pStyle w:val="BodyText"/>
      </w:pPr>
      <m:oMathPara>
        <m:oMathParaPr>
          <m:jc m:val="center"/>
        </m:oMathParaPr>
        <m:oMath>
          <m:sSub>
            <m:e>
              <m:r>
                <m:t>e</m:t>
              </m:r>
            </m:e>
            <m:sub>
              <m:r>
                <m:t>t</m:t>
              </m:r>
            </m:sub>
          </m:sSub>
          <m:r>
            <m:rPr>
              <m:sty m:val="p"/>
            </m:rPr>
            <m:t>=</m:t>
          </m:r>
          <m:sSub>
            <m:e>
              <m:r>
                <m:t>ρ</m:t>
              </m:r>
            </m:e>
            <m:sub>
              <m:r>
                <m:t>t</m:t>
              </m:r>
            </m:sub>
          </m:sSub>
          <m:sSub>
            <m:e>
              <m:r>
                <m:t>e</m:t>
              </m:r>
            </m:e>
            <m:sub>
              <m:r>
                <m:t>t</m:t>
              </m:r>
              <m:r>
                <m:rPr>
                  <m:sty m:val="p"/>
                </m:rPr>
                <m:t>−</m:t>
              </m:r>
              <m:r>
                <m:t>1</m:t>
              </m:r>
            </m:sub>
          </m:sSub>
          <m:r>
            <m:rPr>
              <m:sty m:val="p"/>
            </m:rPr>
            <m:t>+</m:t>
          </m:r>
          <m:sSub>
            <m:e>
              <m:r>
                <m:t>η</m:t>
              </m:r>
            </m:e>
            <m:sub>
              <m:r>
                <m:t>t</m:t>
              </m:r>
            </m:sub>
          </m:sSub>
          <m:r>
            <m:rPr>
              <m:sty m:val="p"/>
            </m:rPr>
            <m:t>,</m:t>
          </m:r>
          <m:r>
            <m:t>  </m:t>
          </m:r>
          <m:sSubSup>
            <m:e>
              <m:acc>
                <m:accPr>
                  <m:chr m:val="̂"/>
                </m:accPr>
                <m:e>
                  <m:r>
                    <m:t>P</m:t>
                  </m:r>
                </m:e>
              </m:acc>
            </m:e>
            <m:sub>
              <m:r>
                <m:t>t</m:t>
              </m:r>
            </m:sub>
            <m:sup>
              <m:r>
                <m:t> </m:t>
              </m:r>
              <m:r>
                <m:t>c</m:t>
              </m:r>
            </m:sup>
          </m:sSubSup>
          <m:r>
            <m:rPr>
              <m:sty m:val="p"/>
            </m:rPr>
            <m:t>=</m:t>
          </m:r>
          <m:sSub>
            <m:e>
              <m:acc>
                <m:accPr>
                  <m:chr m:val="̂"/>
                </m:accPr>
                <m:e>
                  <m:r>
                    <m:t>P</m:t>
                  </m:r>
                </m:e>
              </m:acc>
            </m:e>
            <m:sub>
              <m:r>
                <m:t>t</m:t>
              </m:r>
            </m:sub>
          </m:sSub>
          <m:r>
            <m:rPr>
              <m:sty m:val="p"/>
            </m:rPr>
            <m:t>−</m:t>
          </m:r>
          <m:sSub>
            <m:e>
              <m:r>
                <m:t>ρ</m:t>
              </m:r>
            </m:e>
            <m:sub>
              <m:r>
                <m:t>t</m:t>
              </m:r>
            </m:sub>
          </m:sSub>
          <m:sSub>
            <m:e>
              <m:r>
                <m:t>e</m:t>
              </m:r>
            </m:e>
            <m:sub>
              <m:r>
                <m:t>t</m:t>
              </m:r>
              <m:r>
                <m:rPr>
                  <m:sty m:val="p"/>
                </m:rPr>
                <m:t>−</m:t>
              </m:r>
              <m:r>
                <m:t>1</m:t>
              </m:r>
            </m:sub>
          </m:sSub>
          <m:r>
            <m:rPr>
              <m:sty m:val="p"/>
            </m:rPr>
            <m:t>.</m:t>
          </m:r>
        </m:oMath>
      </m:oMathPara>
    </w:p>
    <w:p>
      <w:pPr>
        <w:pStyle w:val="FirstParagraph"/>
      </w:pPr>
      <w:r>
        <w:rPr>
          <w:rFonts w:hint="eastAsia"/>
        </w:rPr>
        <w:t xml:space="preserve">其中</w:t>
      </w:r>
      <w:r>
        <w:t xml:space="preserve"> </w:t>
      </w:r>
      <m:oMath>
        <m:sSub>
          <m:e>
            <m:r>
              <m:t>e</m:t>
            </m:r>
          </m:e>
          <m:sub>
            <m:r>
              <m:t>t</m:t>
            </m:r>
          </m:sub>
        </m:sSub>
        <m:r>
          <m:rPr>
            <m:sty m:val="p"/>
          </m:rPr>
          <m:t>=</m:t>
        </m:r>
        <m:sSub>
          <m:e>
            <m:acc>
              <m:accPr>
                <m:chr m:val="̂"/>
              </m:accPr>
              <m:e>
                <m:r>
                  <m:t>P</m:t>
                </m:r>
              </m:e>
            </m:acc>
          </m:e>
          <m:sub>
            <m:r>
              <m:t>t</m:t>
            </m:r>
          </m:sub>
        </m:sSub>
        <m:r>
          <m:rPr>
            <m:sty m:val="p"/>
          </m:rPr>
          <m:t>−</m:t>
        </m:r>
        <m:sSub>
          <m:e>
            <m:r>
              <m:t>P</m:t>
            </m:r>
          </m:e>
          <m:sub>
            <m:r>
              <m:t>t</m:t>
            </m:r>
          </m:sub>
        </m:sSub>
      </m:oMath>
      <w:r>
        <w:rPr>
          <w:rFonts w:hint="eastAsia"/>
        </w:rPr>
        <w:t xml:space="preserve">，</w:t>
      </w:r>
      <m:oMath>
        <m:sSub>
          <m:e>
            <m:r>
              <m:t>ρ</m:t>
            </m:r>
          </m:e>
          <m:sub>
            <m:r>
              <m:t>t</m:t>
            </m:r>
          </m:sub>
        </m:sSub>
      </m:oMath>
      <w:r>
        <w:t xml:space="preserve"> </w:t>
      </w:r>
      <w:r>
        <w:rPr>
          <w:rFonts w:hint="eastAsia"/>
        </w:rPr>
        <w:t xml:space="preserve">通过扩展窗口岭回归估计，并限制在</w:t>
      </w:r>
      <w:r>
        <w:t xml:space="preserve"> </w:t>
      </w:r>
      <m:oMath>
        <m:r>
          <m:rPr>
            <m:sty m:val="p"/>
          </m:rPr>
          <m:t>[</m:t>
        </m:r>
        <m:r>
          <m:t>0</m:t>
        </m:r>
        <m:r>
          <m:rPr>
            <m:sty m:val="p"/>
          </m:rPr>
          <m:t>,</m:t>
        </m:r>
        <m:r>
          <m:t>0.5</m:t>
        </m:r>
        <m:r>
          <m:rPr>
            <m:sty m:val="p"/>
          </m:rPr>
          <m:t>]</m:t>
        </m:r>
      </m:oMath>
      <w:r>
        <w:t xml:space="preserve"> </w:t>
      </w:r>
      <w:r>
        <w:rPr>
          <w:rFonts w:hint="eastAsia"/>
        </w:rPr>
        <w:t xml:space="preserve">内，防止校正层追逐噪声。第</w:t>
      </w:r>
      <w:r>
        <w:t xml:space="preserve"> </w:t>
      </w:r>
      <m:oMath>
        <m:r>
          <m:t>t</m:t>
        </m:r>
      </m:oMath>
      <w:r>
        <w:t xml:space="preserve"> </w:t>
      </w:r>
      <w:r>
        <w:rPr>
          <w:rFonts w:hint="eastAsia"/>
        </w:rPr>
        <w:t xml:space="preserve">日校正不能读取第</w:t>
      </w:r>
      <w:r>
        <w:t xml:space="preserve"> </w:t>
      </w:r>
      <m:oMath>
        <m:r>
          <m:t>t</m:t>
        </m:r>
      </m:oMath>
      <w:r>
        <w:t xml:space="preserve"> </w:t>
      </w:r>
      <w:r>
        <w:rPr>
          <w:rFonts w:hint="eastAsia"/>
        </w:rPr>
        <w:t xml:space="preserve">日真实价格，因此不是事后平滑曲线；它相当于把机器学习中的在线残差学习思想作为主模型的辅助滤波器。</w:t>
      </w:r>
    </w:p>
    <w:p>
      <w:pPr>
        <w:pStyle w:val="TableCaption"/>
      </w:pPr>
      <w:r>
        <w:rPr>
          <w:rFonts w:hint="eastAsia"/>
        </w:rPr>
        <w:t xml:space="preserve">短期在线残差校正效果</w:t>
      </w:r>
    </w:p>
    <w:tbl>
      <w:tblPr>
        <w:tblStyle w:val="Table"/>
        <w:tblW w:type="auto" w:w="0"/>
        <w:tblLook w:firstRow="1" w:lastRow="0" w:firstColumn="0" w:lastColumn="0" w:noHBand="0" w:noVBand="0" w:val="0020"/>
        <w:tblCaption w:val="短期在线残差校正效果"/>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机制递推主模型</w:t>
            </w:r>
          </w:p>
        </w:tc>
        <w:tc>
          <w:tcPr/>
          <w:p>
            <w:pPr>
              <w:pStyle w:val="Compact"/>
              <w:jc w:val="right"/>
            </w:pPr>
            <w:r>
              <w:t xml:space="preserve">3.440</w:t>
            </w:r>
          </w:p>
        </w:tc>
        <w:tc>
          <w:tcPr/>
          <w:p>
            <w:pPr>
              <w:pStyle w:val="Compact"/>
              <w:jc w:val="right"/>
            </w:pPr>
            <w:r>
              <w:t xml:space="preserve">2.855</w:t>
            </w:r>
          </w:p>
        </w:tc>
        <w:tc>
          <w:tcPr/>
          <w:p>
            <w:pPr>
              <w:pStyle w:val="Compact"/>
              <w:jc w:val="right"/>
            </w:pPr>
            <w:r>
              <w:t xml:space="preserve">2.858%</w:t>
            </w:r>
          </w:p>
        </w:tc>
        <w:tc>
          <w:tcPr/>
          <w:p>
            <w:pPr>
              <w:pStyle w:val="Compact"/>
              <w:jc w:val="right"/>
            </w:pPr>
            <w:r>
              <w:t xml:space="preserve">64.4%</w:t>
            </w:r>
          </w:p>
        </w:tc>
      </w:tr>
      <w:tr>
        <w:tc>
          <w:tcPr/>
          <w:p>
            <w:pPr>
              <w:pStyle w:val="Compact"/>
              <w:jc w:val="left"/>
            </w:pPr>
            <w:r>
              <w:rPr>
                <w:rFonts w:hint="eastAsia"/>
              </w:rPr>
              <w:t xml:space="preserve">在线残差校正模型</w:t>
            </w:r>
          </w:p>
        </w:tc>
        <w:tc>
          <w:tcPr/>
          <w:p>
            <w:pPr>
              <w:pStyle w:val="Compact"/>
              <w:jc w:val="right"/>
            </w:pPr>
            <w:r>
              <w:t xml:space="preserve">3.383</w:t>
            </w:r>
          </w:p>
        </w:tc>
        <w:tc>
          <w:tcPr/>
          <w:p>
            <w:pPr>
              <w:pStyle w:val="Compact"/>
              <w:jc w:val="right"/>
            </w:pPr>
            <w:r>
              <w:t xml:space="preserve">2.794</w:t>
            </w:r>
          </w:p>
        </w:tc>
        <w:tc>
          <w:tcPr/>
          <w:p>
            <w:pPr>
              <w:pStyle w:val="Compact"/>
              <w:jc w:val="right"/>
            </w:pPr>
            <w:r>
              <w:t xml:space="preserve">2.797%</w:t>
            </w:r>
          </w:p>
        </w:tc>
        <w:tc>
          <w:tcPr/>
          <w:p>
            <w:pPr>
              <w:pStyle w:val="Compact"/>
              <w:jc w:val="right"/>
            </w:pPr>
            <w:r>
              <w:t xml:space="preserve">57.8%</w:t>
            </w:r>
          </w:p>
        </w:tc>
      </w:tr>
      <w:tr>
        <w:tc>
          <w:tcPr/>
          <w:p>
            <w:pPr>
              <w:pStyle w:val="Compact"/>
              <w:jc w:val="left"/>
            </w:pPr>
            <w:r>
              <w:rPr>
                <w:rFonts w:hint="eastAsia"/>
              </w:rPr>
              <w:t xml:space="preserve">机制+Ridge收益率修正</w:t>
            </w:r>
          </w:p>
        </w:tc>
        <w:tc>
          <w:tcPr/>
          <w:p>
            <w:pPr>
              <w:pStyle w:val="Compact"/>
              <w:jc w:val="right"/>
            </w:pPr>
            <w:r>
              <w:t xml:space="preserve">3.355</w:t>
            </w:r>
          </w:p>
        </w:tc>
        <w:tc>
          <w:tcPr/>
          <w:p>
            <w:pPr>
              <w:pStyle w:val="Compact"/>
              <w:jc w:val="right"/>
            </w:pPr>
            <w:r>
              <w:t xml:space="preserve">2.812</w:t>
            </w:r>
          </w:p>
        </w:tc>
        <w:tc>
          <w:tcPr/>
          <w:p>
            <w:pPr>
              <w:pStyle w:val="Compact"/>
              <w:jc w:val="right"/>
            </w:pPr>
            <w:r>
              <w:t xml:space="preserve">2.827%</w:t>
            </w:r>
          </w:p>
        </w:tc>
        <w:tc>
          <w:tcPr/>
          <w:p>
            <w:pPr>
              <w:pStyle w:val="Compact"/>
              <w:jc w:val="right"/>
            </w:pPr>
            <w:r>
              <w:t xml:space="preserve">68.9%</w:t>
            </w:r>
          </w:p>
        </w:tc>
      </w:tr>
      <w:tr>
        <w:tc>
          <w:tcPr/>
          <w:p>
            <w:pPr>
              <w:pStyle w:val="Compact"/>
              <w:jc w:val="left"/>
            </w:pPr>
            <w:r>
              <w:rPr>
                <w:rFonts w:hint="eastAsia"/>
              </w:rPr>
              <w:t xml:space="preserve">历史Ridge收益率模型</w:t>
            </w:r>
          </w:p>
        </w:tc>
        <w:tc>
          <w:tcPr/>
          <w:p>
            <w:pPr>
              <w:pStyle w:val="Compact"/>
              <w:jc w:val="right"/>
            </w:pPr>
            <w:r>
              <w:t xml:space="preserve">4.557</w:t>
            </w:r>
          </w:p>
        </w:tc>
        <w:tc>
          <w:tcPr/>
          <w:p>
            <w:pPr>
              <w:pStyle w:val="Compact"/>
              <w:jc w:val="right"/>
            </w:pPr>
            <w:r>
              <w:t xml:space="preserve">3.733</w:t>
            </w:r>
          </w:p>
        </w:tc>
        <w:tc>
          <w:tcPr/>
          <w:p>
            <w:pPr>
              <w:pStyle w:val="Compact"/>
              <w:jc w:val="right"/>
            </w:pPr>
            <w:r>
              <w:t xml:space="preserve">3.729%</w:t>
            </w:r>
          </w:p>
        </w:tc>
        <w:tc>
          <w:tcPr/>
          <w:p>
            <w:pPr>
              <w:pStyle w:val="Compact"/>
              <w:jc w:val="right"/>
            </w:pPr>
            <w:r>
              <w:t xml:space="preserve">51.1%</w:t>
            </w:r>
          </w:p>
        </w:tc>
      </w:tr>
      <w:tr>
        <w:tc>
          <w:tcPr/>
          <w:p>
            <w:pPr>
              <w:pStyle w:val="Compact"/>
              <w:jc w:val="left"/>
            </w:pPr>
            <w:r>
              <w:rPr>
                <w:rFonts w:hint="eastAsia"/>
              </w:rPr>
              <w:t xml:space="preserve">朴素上一日基准</w:t>
            </w:r>
          </w:p>
        </w:tc>
        <w:tc>
          <w:tcPr/>
          <w:p>
            <w:pPr>
              <w:pStyle w:val="Compact"/>
              <w:jc w:val="right"/>
            </w:pPr>
            <w:r>
              <w:t xml:space="preserve">4.467</w:t>
            </w:r>
          </w:p>
        </w:tc>
        <w:tc>
          <w:tcPr/>
          <w:p>
            <w:pPr>
              <w:pStyle w:val="Compact"/>
              <w:jc w:val="right"/>
            </w:pPr>
            <w:r>
              <w:t xml:space="preserve">3.570</w:t>
            </w:r>
          </w:p>
        </w:tc>
        <w:tc>
          <w:tcPr/>
          <w:p>
            <w:pPr>
              <w:pStyle w:val="Compact"/>
              <w:jc w:val="right"/>
            </w:pPr>
            <w:r>
              <w:t xml:space="preserve">3.541%</w:t>
            </w:r>
          </w:p>
        </w:tc>
        <w:tc>
          <w:tcPr/>
          <w:p>
            <w:pPr>
              <w:pStyle w:val="Compact"/>
              <w:jc w:val="right"/>
            </w:pPr>
            <w:r>
              <w:t xml:space="preserve">46.7%</w:t>
            </w:r>
          </w:p>
        </w:tc>
      </w:tr>
    </w:tbl>
    <w:p>
      <w:pPr>
        <w:pStyle w:val="CaptionedFigure"/>
      </w:pPr>
      <w:r>
        <w:drawing>
          <wp:inline>
            <wp:extent cx="4907280" cy="3655675"/>
            <wp:effectExtent b="0" l="0" r="0" t="0"/>
            <wp:docPr descr="" title="" id="73" name="Picture"/>
            <a:graphic>
              <a:graphicData uri="http://schemas.openxmlformats.org/drawingml/2006/picture">
                <pic:pic>
                  <pic:nvPicPr>
                    <pic:cNvPr descr="短期模型在线残差校正效果.png" id="74" name="Picture"/>
                    <pic:cNvPicPr>
                      <a:picLocks noChangeArrowheads="1" noChangeAspect="1"/>
                    </pic:cNvPicPr>
                  </pic:nvPicPr>
                  <pic:blipFill>
                    <a:blip r:embed="rId72"/>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短期模型在线残差校正效果。校正层降低了价格水平误差，但方向解释仍以机制主模型为准。</w:t>
      </w:r>
    </w:p>
    <w:p>
      <w:pPr>
        <w:pStyle w:val="BodyText"/>
      </w:pPr>
      <w:r>
        <w:rPr>
          <w:rFonts w:hint="eastAsia"/>
        </w:rPr>
        <w:t xml:space="preserve">结果显示，在线校正可将</w:t>
      </w:r>
      <w:r>
        <w:t xml:space="preserve"> RMSE </w:t>
      </w:r>
      <w:r>
        <w:rPr>
          <w:rFonts w:hint="eastAsia"/>
        </w:rPr>
        <w:t xml:space="preserve">从</w:t>
      </w:r>
      <w:r>
        <w:t xml:space="preserve"> 3.440 </w:t>
      </w:r>
      <w:r>
        <w:rPr>
          <w:rFonts w:hint="eastAsia"/>
        </w:rPr>
        <w:t xml:space="preserve">降至</w:t>
      </w:r>
      <w:r>
        <w:t xml:space="preserve"> </w:t>
      </w:r>
      <w:r>
        <w:rPr>
          <w:rFonts w:hint="eastAsia"/>
        </w:rPr>
        <w:t xml:space="preserve">3.383，MAE</w:t>
      </w:r>
      <w:r>
        <w:t xml:space="preserve"> </w:t>
      </w:r>
      <w:r>
        <w:rPr>
          <w:rFonts w:hint="eastAsia"/>
        </w:rPr>
        <w:t xml:space="preserve">从</w:t>
      </w:r>
      <w:r>
        <w:t xml:space="preserve"> 2.855 </w:t>
      </w:r>
      <w:r>
        <w:rPr>
          <w:rFonts w:hint="eastAsia"/>
        </w:rPr>
        <w:t xml:space="preserve">降至</w:t>
      </w:r>
      <w:r>
        <w:t xml:space="preserve"> </w:t>
      </w:r>
      <w:r>
        <w:rPr>
          <w:rFonts w:hint="eastAsia"/>
        </w:rPr>
        <w:t xml:space="preserve">2.794，最大绝对误差也有所下降。这说明冲突窗口中确实存在可利用的短期误差惯性。但在线校正后的方向命中率低于机制主模型，因此本文不将其升级为新的主模型，而是把它作为计算机方法的克制引入。</w:t>
      </w:r>
    </w:p>
    <w:p>
      <w:pPr>
        <w:pStyle w:val="BodyText"/>
      </w:pPr>
      <w:r>
        <w:rPr>
          <w:rFonts w:hint="eastAsia"/>
        </w:rPr>
        <w:t xml:space="preserve">进一步地，本文使用</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日之前的历史价格特征训练低自由度</w:t>
      </w:r>
      <w:r>
        <w:t xml:space="preserve"> Ridge </w:t>
      </w:r>
      <w:r>
        <w:rPr>
          <w:rFonts w:hint="eastAsia"/>
        </w:rPr>
        <w:t xml:space="preserve">收益率模型，并只把该模型输出的一日收益率修正量叠加到机制路径。该</w:t>
      </w:r>
      <w:r>
        <w:rPr>
          <w:rFonts w:hint="eastAsia"/>
        </w:rPr>
        <w:t xml:space="preserve">“机制+Ridge收益率修正”</w:t>
      </w:r>
      <w:r>
        <w:rPr>
          <w:rFonts w:hint="eastAsia"/>
        </w:rPr>
        <w:t xml:space="preserve">将</w:t>
      </w:r>
      <w:r>
        <w:t xml:space="preserve"> RMSE </w:t>
      </w:r>
      <w:r>
        <w:rPr>
          <w:rFonts w:hint="eastAsia"/>
        </w:rPr>
        <w:t xml:space="preserve">降至</w:t>
      </w:r>
      <w:r>
        <w:t xml:space="preserve"> </w:t>
      </w:r>
      <w:r>
        <w:rPr>
          <w:rFonts w:hint="eastAsia"/>
        </w:rPr>
        <w:t xml:space="preserve">3.355，方向命中率升至</w:t>
      </w:r>
      <w:r>
        <w:t xml:space="preserve"> </w:t>
      </w:r>
      <w:r>
        <w:rPr>
          <w:rFonts w:hint="eastAsia"/>
        </w:rPr>
        <w:t xml:space="preserve">68.9%，是当前误差最低的短期增强结果；但纯历史</w:t>
      </w:r>
      <w:r>
        <w:t xml:space="preserve"> Ridge </w:t>
      </w:r>
      <w:r>
        <w:rPr>
          <w:rFonts w:hint="eastAsia"/>
        </w:rPr>
        <w:t xml:space="preserve">模型</w:t>
      </w:r>
      <w:r>
        <w:t xml:space="preserve"> RMSE </w:t>
      </w:r>
      <w:r>
        <w:rPr>
          <w:rFonts w:hint="eastAsia"/>
        </w:rPr>
        <w:t xml:space="preserve">为</w:t>
      </w:r>
      <w:r>
        <w:t xml:space="preserve"> </w:t>
      </w:r>
      <w:r>
        <w:rPr>
          <w:rFonts w:hint="eastAsia"/>
        </w:rPr>
        <w:t xml:space="preserve">4.557，且历史</w:t>
      </w:r>
      <w:r>
        <w:t xml:space="preserve"> 46 </w:t>
      </w:r>
      <w:r>
        <w:rPr>
          <w:rFonts w:hint="eastAsia"/>
        </w:rPr>
        <w:t xml:space="preserve">日滚动验证中只有</w:t>
      </w:r>
      <w:r>
        <w:t xml:space="preserve"> 44.0% </w:t>
      </w:r>
      <w:r>
        <w:rPr>
          <w:rFonts w:hint="eastAsia"/>
        </w:rPr>
        <w:t xml:space="preserve">的窗口稳定优于朴素基准。因此，机器学习层的正确角色是辅助机制模型修正正常收益惯性，而不是替代霍尔木兹封锁机制本身。</w:t>
      </w:r>
    </w:p>
    <w:p>
      <w:pPr>
        <w:pStyle w:val="CaptionedFigure"/>
      </w:pPr>
      <w:r>
        <w:drawing>
          <wp:inline>
            <wp:extent cx="4907280" cy="3655675"/>
            <wp:effectExtent b="0" l="0" r="0" t="0"/>
            <wp:docPr descr="" title="" id="76" name="Picture"/>
            <a:graphic>
              <a:graphicData uri="http://schemas.openxmlformats.org/drawingml/2006/picture">
                <pic:pic>
                  <pic:nvPicPr>
                    <pic:cNvPr descr="短期机器学习残差修正对比.png" id="77" name="Picture"/>
                    <pic:cNvPicPr>
                      <a:picLocks noChangeArrowheads="1" noChangeAspect="1"/>
                    </pic:cNvPicPr>
                  </pic:nvPicPr>
                  <pic:blipFill>
                    <a:blip r:embed="rId75"/>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短期机器学习辅助层对比。Ridge</w:t>
      </w:r>
      <w:r>
        <w:t xml:space="preserve"> </w:t>
      </w:r>
      <w:r>
        <w:rPr>
          <w:rFonts w:hint="eastAsia"/>
        </w:rPr>
        <w:t xml:space="preserve">使用冲突前历史滞后价格特征训练，只作为机制路径的低自由度收益率修正。</w:t>
      </w:r>
    </w:p>
    <w:bookmarkEnd w:id="78"/>
    <w:bookmarkStart w:id="82" w:name="时间轴语义与删块稳健性复核"/>
    <w:p>
      <w:pPr>
        <w:pStyle w:val="Heading2"/>
      </w:pPr>
      <w:r>
        <w:rPr>
          <w:rFonts w:hint="eastAsia"/>
        </w:rPr>
        <w:t xml:space="preserve">时间轴语义与删块稳健性复核</w:t>
      </w:r>
    </w:p>
    <w:p>
      <w:pPr>
        <w:pStyle w:val="FirstParagraph"/>
      </w:pPr>
      <w:r>
        <w:rPr>
          <w:rFonts w:hint="eastAsia"/>
        </w:rPr>
        <w:t xml:space="preserve">短期递推中的</w:t>
      </w:r>
      <w:r>
        <w:t xml:space="preserve"> SPR </w:t>
      </w:r>
      <w:r>
        <w:rPr>
          <w:rFonts w:hint="eastAsia"/>
        </w:rPr>
        <w:t xml:space="preserve">释放、绕道恢复、需求收缩和恐慌衰减都依赖时间变量。若将每一行交易日都视为等间隔一步，可能低估周末和节假日期间政策与运输机制的实际推进；若采用日历日差，则相邻交易行在周末后会出现</w:t>
      </w:r>
      <w:r>
        <w:t xml:space="preserve"> 3 </w:t>
      </w:r>
      <w:r>
        <w:rPr>
          <w:rFonts w:hint="eastAsia"/>
        </w:rPr>
        <w:t xml:space="preserve">天跳变。为避免时间轴选择成为隐藏建模假设，本文在不重新调参的条件下，对同一组最优参数分别采用日历日口径和交易日序号口径进行复算。</w:t>
      </w:r>
    </w:p>
    <w:p>
      <w:pPr>
        <w:pStyle w:val="TableCaption"/>
      </w:pPr>
      <w:r>
        <w:rPr>
          <w:rFonts w:hint="eastAsia"/>
        </w:rPr>
        <w:t xml:space="preserve">短期模型时间轴口径对比</w:t>
      </w:r>
    </w:p>
    <w:tbl>
      <w:tblPr>
        <w:tblStyle w:val="Table"/>
        <w:tblW w:type="auto" w:w="0"/>
        <w:tblLook w:firstRow="1" w:lastRow="0" w:firstColumn="0" w:lastColumn="0" w:noHBand="0" w:noVBand="0" w:val="0020"/>
        <w:tblCaption w:val="短期模型时间轴口径对比"/>
      </w:tblPr>
      <w:tblGrid>
        <w:gridCol w:w="1584"/>
        <w:gridCol w:w="1584"/>
        <w:gridCol w:w="1584"/>
        <w:gridCol w:w="1584"/>
        <w:gridCol w:w="1584"/>
      </w:tblGrid>
      <w:tr>
        <w:trPr>
          <w:tblHeader w:val="on"/>
        </w:trPr>
        <w:tc>
          <w:tcPr/>
          <w:p>
            <w:pPr>
              <w:pStyle w:val="Compact"/>
              <w:jc w:val="left"/>
            </w:pPr>
            <w:r>
              <w:rPr>
                <w:rFonts w:hint="eastAsia"/>
              </w:rPr>
              <w:t xml:space="preserve">时间轴口径</w:t>
            </w:r>
          </w:p>
        </w:tc>
        <w:tc>
          <w:tcPr/>
          <w:p>
            <w:pPr>
              <w:pStyle w:val="Compact"/>
              <w:jc w:val="right"/>
            </w:pPr>
            <w:r>
              <w:rPr>
                <w:rFonts w:hint="eastAsia"/>
              </w:rPr>
              <w:t xml:space="preserve">最大时间索引</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综合得分</w:t>
            </w:r>
          </w:p>
        </w:tc>
      </w:tr>
      <w:tr>
        <w:tc>
          <w:tcPr/>
          <w:p>
            <w:pPr>
              <w:pStyle w:val="Compact"/>
              <w:jc w:val="left"/>
            </w:pPr>
            <w:r>
              <w:rPr>
                <w:rFonts w:hint="eastAsia"/>
              </w:rPr>
              <w:t xml:space="preserve">日历日口径</w:t>
            </w:r>
          </w:p>
        </w:tc>
        <w:tc>
          <w:tcPr/>
          <w:p>
            <w:pPr>
              <w:pStyle w:val="Compact"/>
              <w:jc w:val="right"/>
            </w:pPr>
            <w:r>
              <w:t xml:space="preserve">64</w:t>
            </w:r>
          </w:p>
        </w:tc>
        <w:tc>
          <w:tcPr/>
          <w:p>
            <w:pPr>
              <w:pStyle w:val="Compact"/>
              <w:jc w:val="right"/>
            </w:pPr>
            <w:r>
              <w:t xml:space="preserve">3.440</w:t>
            </w:r>
          </w:p>
        </w:tc>
        <w:tc>
          <w:tcPr/>
          <w:p>
            <w:pPr>
              <w:pStyle w:val="Compact"/>
              <w:jc w:val="right"/>
            </w:pPr>
            <w:r>
              <w:t xml:space="preserve">2.855</w:t>
            </w:r>
          </w:p>
        </w:tc>
        <w:tc>
          <w:tcPr/>
          <w:p>
            <w:pPr>
              <w:pStyle w:val="Compact"/>
              <w:jc w:val="right"/>
            </w:pPr>
            <w:r>
              <w:t xml:space="preserve">6.638</w:t>
            </w:r>
          </w:p>
        </w:tc>
      </w:tr>
      <w:tr>
        <w:tc>
          <w:tcPr/>
          <w:p>
            <w:pPr>
              <w:pStyle w:val="Compact"/>
              <w:jc w:val="left"/>
            </w:pPr>
            <w:r>
              <w:rPr>
                <w:rFonts w:hint="eastAsia"/>
              </w:rPr>
              <w:t xml:space="preserve">交易日序号口径</w:t>
            </w:r>
          </w:p>
        </w:tc>
        <w:tc>
          <w:tcPr/>
          <w:p>
            <w:pPr>
              <w:pStyle w:val="Compact"/>
              <w:jc w:val="right"/>
            </w:pPr>
            <w:r>
              <w:t xml:space="preserve">45</w:t>
            </w:r>
          </w:p>
        </w:tc>
        <w:tc>
          <w:tcPr/>
          <w:p>
            <w:pPr>
              <w:pStyle w:val="Compact"/>
              <w:jc w:val="right"/>
            </w:pPr>
            <w:r>
              <w:t xml:space="preserve">7.075</w:t>
            </w:r>
          </w:p>
        </w:tc>
        <w:tc>
          <w:tcPr/>
          <w:p>
            <w:pPr>
              <w:pStyle w:val="Compact"/>
              <w:jc w:val="right"/>
            </w:pPr>
            <w:r>
              <w:t xml:space="preserve">5.631</w:t>
            </w:r>
          </w:p>
        </w:tc>
        <w:tc>
          <w:tcPr/>
          <w:p>
            <w:pPr>
              <w:pStyle w:val="Compact"/>
              <w:jc w:val="right"/>
            </w:pPr>
            <w:r>
              <w:t xml:space="preserve">19.365</w:t>
            </w:r>
          </w:p>
        </w:tc>
      </w:tr>
    </w:tbl>
    <w:p>
      <w:pPr>
        <w:pStyle w:val="BodyText"/>
      </w:pPr>
      <w:r>
        <w:rPr>
          <w:rFonts w:hint="eastAsia"/>
        </w:rPr>
        <w:t xml:space="preserve">结果显示，交易日序号口径在同参条件下明显恶化，尤其高价平台</w:t>
      </w:r>
      <w:r>
        <w:t xml:space="preserve"> RMSE </w:t>
      </w:r>
      <w:r>
        <w:rPr>
          <w:rFonts w:hint="eastAsia"/>
        </w:rPr>
        <w:t xml:space="preserve">升至</w:t>
      </w:r>
      <w:r>
        <w:t xml:space="preserve"> 15.22 </w:t>
      </w:r>
      <w:r>
        <w:rPr>
          <w:rFonts w:hint="eastAsia"/>
        </w:rPr>
        <w:t xml:space="preserve">美元/桶。因此，当前主模型保留日历日口径是合理的：封锁冲击、政策释放和运输恢复并不会在周末停止，按真实经过时间推进更符合机制解释题的语义。</w:t>
      </w:r>
    </w:p>
    <w:p>
      <w:pPr>
        <w:pStyle w:val="BodyText"/>
      </w:pPr>
      <w:r>
        <w:rPr>
          <w:rFonts w:hint="eastAsia"/>
        </w:rPr>
        <w:t xml:space="preserve">进一步地，本文将</w:t>
      </w:r>
      <w:r>
        <w:t xml:space="preserve"> 46 </w:t>
      </w:r>
      <w:r>
        <w:rPr>
          <w:rFonts w:hint="eastAsia"/>
        </w:rPr>
        <w:t xml:space="preserve">个交易日按时间顺序切分为</w:t>
      </w:r>
      <w:r>
        <w:t xml:space="preserve"> 5 </w:t>
      </w:r>
      <w:r>
        <w:rPr>
          <w:rFonts w:hint="eastAsia"/>
        </w:rPr>
        <w:t xml:space="preserve">个连续块，使用同一组参数检查各块误差。被删除块</w:t>
      </w:r>
      <w:r>
        <w:t xml:space="preserve"> RMSE </w:t>
      </w:r>
      <w:r>
        <w:rPr>
          <w:rFonts w:hint="eastAsia"/>
        </w:rPr>
        <w:t xml:space="preserve">分别为</w:t>
      </w:r>
      <w:r>
        <w:t xml:space="preserve"> 3.27、3.58、4.60、2.55 </w:t>
      </w:r>
      <w:r>
        <w:rPr>
          <w:rFonts w:hint="eastAsia"/>
        </w:rPr>
        <w:t xml:space="preserve">和</w:t>
      </w:r>
      <w:r>
        <w:t xml:space="preserve"> 2.84 </w:t>
      </w:r>
      <w:r>
        <w:rPr>
          <w:rFonts w:hint="eastAsia"/>
        </w:rPr>
        <w:t xml:space="preserve">美元/桶，标准差为</w:t>
      </w:r>
      <w:r>
        <w:t xml:space="preserve"> </w:t>
      </w:r>
      <w:r>
        <w:rPr>
          <w:rFonts w:hint="eastAsia"/>
        </w:rPr>
        <w:t xml:space="preserve">0.71。最难片段为</w:t>
      </w:r>
      <w:r>
        <w:t xml:space="preserve"> 2026 </w:t>
      </w:r>
      <w:r>
        <w:rPr>
          <w:rFonts w:hint="eastAsia"/>
        </w:rPr>
        <w:t xml:space="preserve">年</w:t>
      </w:r>
      <w:r>
        <w:t xml:space="preserve"> 3 </w:t>
      </w:r>
      <w:r>
        <w:rPr>
          <w:rFonts w:hint="eastAsia"/>
        </w:rPr>
        <w:t xml:space="preserve">月</w:t>
      </w:r>
      <w:r>
        <w:t xml:space="preserve"> 27 </w:t>
      </w:r>
      <w:r>
        <w:rPr>
          <w:rFonts w:hint="eastAsia"/>
        </w:rPr>
        <w:t xml:space="preserve">日至</w:t>
      </w:r>
      <w:r>
        <w:t xml:space="preserve"> 4 </w:t>
      </w:r>
      <w:r>
        <w:rPr>
          <w:rFonts w:hint="eastAsia"/>
        </w:rPr>
        <w:t xml:space="preserve">月</w:t>
      </w:r>
      <w:r>
        <w:t xml:space="preserve"> 9 </w:t>
      </w:r>
      <w:r>
        <w:rPr>
          <w:rFonts w:hint="eastAsia"/>
        </w:rPr>
        <w:t xml:space="preserve">日，RMSE</w:t>
      </w:r>
      <w:r>
        <w:t xml:space="preserve"> </w:t>
      </w:r>
      <w:r>
        <w:rPr>
          <w:rFonts w:hint="eastAsia"/>
        </w:rPr>
        <w:t xml:space="preserve">为</w:t>
      </w:r>
      <w:r>
        <w:t xml:space="preserve"> 4.60 </w:t>
      </w:r>
      <w:r>
        <w:rPr>
          <w:rFonts w:hint="eastAsia"/>
        </w:rPr>
        <w:t xml:space="preserve">美元/桶，说明模型的主要残余误差集中在中期平台再定价阶段，而不是平均分布在所有时期。</w:t>
      </w:r>
    </w:p>
    <w:p>
      <w:pPr>
        <w:pStyle w:val="CaptionedFigure"/>
      </w:pPr>
      <w:r>
        <w:drawing>
          <wp:inline>
            <wp:extent cx="4907280" cy="1890211"/>
            <wp:effectExtent b="0" l="0" r="0" t="0"/>
            <wp:docPr descr="" title="" id="80" name="Picture"/>
            <a:graphic>
              <a:graphicData uri="http://schemas.openxmlformats.org/drawingml/2006/picture">
                <pic:pic>
                  <pic:nvPicPr>
                    <pic:cNvPr descr="短期模型时间轴与删块稳健性.png" id="81" name="Picture"/>
                    <pic:cNvPicPr>
                      <a:picLocks noChangeArrowheads="1" noChangeAspect="1"/>
                    </pic:cNvPicPr>
                  </pic:nvPicPr>
                  <pic:blipFill>
                    <a:blip r:embed="rId79"/>
                    <a:stretch>
                      <a:fillRect/>
                    </a:stretch>
                  </pic:blipFill>
                  <pic:spPr bwMode="auto">
                    <a:xfrm>
                      <a:off x="0" y="0"/>
                      <a:ext cx="4907280" cy="1890211"/>
                    </a:xfrm>
                    <a:prstGeom prst="rect">
                      <a:avLst/>
                    </a:prstGeom>
                    <a:noFill/>
                    <a:ln w="9525">
                      <a:noFill/>
                      <a:headEnd/>
                      <a:tailEnd/>
                    </a:ln>
                  </pic:spPr>
                </pic:pic>
              </a:graphicData>
            </a:graphic>
          </wp:inline>
        </w:drawing>
      </w:r>
    </w:p>
    <w:p>
      <w:pPr>
        <w:pStyle w:val="ImageCaption"/>
      </w:pPr>
      <w:r>
        <w:rPr>
          <w:rFonts w:hint="eastAsia"/>
        </w:rPr>
        <w:t xml:space="preserve">短期模型时间轴与删块稳健性复核。左图比较日历日和交易日序号两种时间轴口径；右图展示同参删块后各片段误差。</w:t>
      </w:r>
    </w:p>
    <w:bookmarkEnd w:id="82"/>
    <w:bookmarkStart w:id="89" w:name="统计检验与-r-语言辅助定位"/>
    <w:p>
      <w:pPr>
        <w:pStyle w:val="Heading2"/>
      </w:pPr>
      <w:r>
        <w:rPr>
          <w:rFonts w:hint="eastAsia"/>
        </w:rPr>
        <w:t xml:space="preserve">统计检验与</w:t>
      </w:r>
      <w:r>
        <w:t xml:space="preserve"> R </w:t>
      </w:r>
      <w:r>
        <w:rPr>
          <w:rFonts w:hint="eastAsia"/>
        </w:rPr>
        <w:t xml:space="preserve">语言辅助定位</w:t>
      </w:r>
    </w:p>
    <w:p>
      <w:pPr>
        <w:pStyle w:val="FirstParagraph"/>
      </w:pPr>
      <w:r>
        <w:rPr>
          <w:rFonts w:hint="eastAsia"/>
        </w:rPr>
        <w:t xml:space="preserve">为进一步提高模型检验的严谨性，本文新增统计检验。该检验不改变短期主模型，只在剔除首日后构造可比较样本，将综合机制递推模型与朴素上一日基准进行误差和统计比较。之所以剔除首日，是因为朴素上一日基准需要上一交易日真实价格作为输入，首日没有可比预测值。因此，本节统计检验中的</w:t>
      </w:r>
      <w:r>
        <w:t xml:space="preserve"> RMSE </w:t>
      </w:r>
      <w:r>
        <w:rPr>
          <w:rFonts w:hint="eastAsia"/>
        </w:rPr>
        <w:t xml:space="preserve">与前文全窗口</w:t>
      </w:r>
      <w:r>
        <w:t xml:space="preserve"> RMSE </w:t>
      </w:r>
      <w:r>
        <w:rPr>
          <w:rFonts w:hint="eastAsia"/>
        </w:rPr>
        <w:t xml:space="preserve">略有差异。</w:t>
      </w:r>
    </w:p>
    <w:p>
      <w:pPr>
        <w:pStyle w:val="TableCaption"/>
      </w:pPr>
      <w:r>
        <w:rPr>
          <w:rFonts w:hint="eastAsia"/>
        </w:rPr>
        <w:t xml:space="preserve">短期模型统计检验结果</w:t>
      </w:r>
    </w:p>
    <w:tbl>
      <w:tblPr>
        <w:tblStyle w:val="Table"/>
        <w:tblW w:type="auto" w:w="0"/>
        <w:tblLook w:firstRow="1" w:lastRow="0" w:firstColumn="0" w:lastColumn="0" w:noHBand="0" w:noVBand="0" w:val="0020"/>
        <w:tblCaption w:val="短期模型统计检验结果"/>
      </w:tblPr>
      <w:tblGrid>
        <w:gridCol w:w="1980"/>
        <w:gridCol w:w="1980"/>
        <w:gridCol w:w="1980"/>
        <w:gridCol w:w="1980"/>
      </w:tblGrid>
      <w:tr>
        <w:trPr>
          <w:tblHeader w:val="on"/>
        </w:trPr>
        <w:tc>
          <w:tcPr/>
          <w:p>
            <w:pPr>
              <w:pStyle w:val="Compact"/>
              <w:jc w:val="left"/>
            </w:pPr>
            <w:r>
              <w:rPr>
                <w:rFonts w:hint="eastAsia"/>
              </w:rPr>
              <w:t xml:space="preserve">检验项</w:t>
            </w:r>
          </w:p>
        </w:tc>
        <w:tc>
          <w:tcPr/>
          <w:p>
            <w:pPr>
              <w:pStyle w:val="Compact"/>
              <w:jc w:val="right"/>
            </w:pPr>
            <w:r>
              <w:rPr>
                <w:rFonts w:hint="eastAsia"/>
              </w:rPr>
              <w:t xml:space="preserve">本文模型</w:t>
            </w:r>
          </w:p>
        </w:tc>
        <w:tc>
          <w:tcPr/>
          <w:p>
            <w:pPr>
              <w:pStyle w:val="Compact"/>
              <w:jc w:val="right"/>
            </w:pPr>
            <w:r>
              <w:rPr>
                <w:rFonts w:hint="eastAsia"/>
              </w:rPr>
              <w:t xml:space="preserve">对照或</w:t>
            </w:r>
            <w:r>
              <w:t xml:space="preserve"> p </w:t>
            </w:r>
            <w:r>
              <w:rPr>
                <w:rFonts w:hint="eastAsia"/>
              </w:rPr>
              <w:t xml:space="preserve">值</w:t>
            </w:r>
          </w:p>
        </w:tc>
        <w:tc>
          <w:tcPr/>
          <w:p>
            <w:pPr>
              <w:pStyle w:val="Compact"/>
              <w:jc w:val="left"/>
            </w:pPr>
            <w:r>
              <w:rPr>
                <w:rFonts w:hint="eastAsia"/>
              </w:rPr>
              <w:t xml:space="preserve">解释</w:t>
            </w:r>
          </w:p>
        </w:tc>
      </w:tr>
      <w:tr>
        <w:tc>
          <w:tcPr/>
          <w:p>
            <w:pPr>
              <w:pStyle w:val="Compact"/>
              <w:jc w:val="left"/>
            </w:pPr>
            <w:r>
              <w:t xml:space="preserve">RMSE</w:t>
            </w:r>
          </w:p>
        </w:tc>
        <w:tc>
          <w:tcPr/>
          <w:p>
            <w:pPr>
              <w:pStyle w:val="Compact"/>
              <w:jc w:val="right"/>
            </w:pPr>
            <w:r>
              <w:t xml:space="preserve">3.47</w:t>
            </w:r>
          </w:p>
        </w:tc>
        <w:tc>
          <w:tcPr/>
          <w:p>
            <w:pPr>
              <w:pStyle w:val="Compact"/>
              <w:jc w:val="right"/>
            </w:pPr>
            <w:r>
              <w:t xml:space="preserve">4.52</w:t>
            </w:r>
          </w:p>
        </w:tc>
        <w:tc>
          <w:tcPr/>
          <w:p>
            <w:pPr>
              <w:pStyle w:val="Compact"/>
              <w:jc w:val="left"/>
            </w:pPr>
            <w:r>
              <w:rPr>
                <w:rFonts w:hint="eastAsia"/>
              </w:rPr>
              <w:t xml:space="preserve">对照为朴素上一日基准，改善约</w:t>
            </w:r>
            <w:r>
              <w:t xml:space="preserve"> 23.2%</w:t>
            </w:r>
          </w:p>
        </w:tc>
      </w:tr>
      <w:tr>
        <w:tc>
          <w:tcPr/>
          <w:p>
            <w:pPr>
              <w:pStyle w:val="Compact"/>
              <w:jc w:val="left"/>
            </w:pPr>
            <w:r>
              <w:t xml:space="preserve">MAE</w:t>
            </w:r>
          </w:p>
        </w:tc>
        <w:tc>
          <w:tcPr/>
          <w:p>
            <w:pPr>
              <w:pStyle w:val="Compact"/>
              <w:jc w:val="right"/>
            </w:pPr>
            <w:r>
              <w:t xml:space="preserve">2.88</w:t>
            </w:r>
          </w:p>
        </w:tc>
        <w:tc>
          <w:tcPr/>
          <w:p>
            <w:pPr>
              <w:pStyle w:val="Compact"/>
              <w:jc w:val="right"/>
            </w:pPr>
            <w:r>
              <w:t xml:space="preserve">3.65</w:t>
            </w:r>
          </w:p>
        </w:tc>
        <w:tc>
          <w:tcPr/>
          <w:p>
            <w:pPr>
              <w:pStyle w:val="Compact"/>
              <w:jc w:val="left"/>
            </w:pPr>
            <w:r>
              <w:rPr>
                <w:rFonts w:hint="eastAsia"/>
              </w:rPr>
              <w:t xml:space="preserve">平均绝对误差低于朴素基准</w:t>
            </w:r>
          </w:p>
        </w:tc>
      </w:tr>
      <w:tr>
        <w:tc>
          <w:tcPr/>
          <w:p>
            <w:pPr>
              <w:pStyle w:val="Compact"/>
              <w:jc w:val="left"/>
            </w:pPr>
            <w:r>
              <w:t xml:space="preserve">MAPE</w:t>
            </w:r>
          </w:p>
        </w:tc>
        <w:tc>
          <w:tcPr/>
          <w:p>
            <w:pPr>
              <w:pStyle w:val="Compact"/>
              <w:jc w:val="right"/>
            </w:pPr>
            <w:r>
              <w:t xml:space="preserve">2.87%</w:t>
            </w:r>
          </w:p>
        </w:tc>
        <w:tc>
          <w:tcPr/>
          <w:p>
            <w:pPr>
              <w:pStyle w:val="Compact"/>
              <w:jc w:val="right"/>
            </w:pPr>
            <w:r>
              <w:t xml:space="preserve">3.62%</w:t>
            </w:r>
          </w:p>
        </w:tc>
        <w:tc>
          <w:tcPr/>
          <w:p>
            <w:pPr>
              <w:pStyle w:val="Compact"/>
              <w:jc w:val="left"/>
            </w:pPr>
            <w:r>
              <w:rPr>
                <w:rFonts w:hint="eastAsia"/>
              </w:rPr>
              <w:t xml:space="preserve">相对误差低于朴素基准</w:t>
            </w:r>
          </w:p>
        </w:tc>
      </w:tr>
      <w:tr>
        <w:tc>
          <w:tcPr/>
          <w:p>
            <w:pPr>
              <w:pStyle w:val="Compact"/>
              <w:jc w:val="left"/>
            </w:pPr>
            <w:r>
              <w:t xml:space="preserve">DM </w:t>
            </w:r>
            <w:r>
              <w:rPr>
                <w:rFonts w:hint="eastAsia"/>
              </w:rPr>
              <w:t xml:space="preserve">平方损失检验</w:t>
            </w:r>
          </w:p>
        </w:tc>
        <w:tc>
          <w:tcPr/>
          <w:p>
            <w:pPr>
              <w:pStyle w:val="Compact"/>
              <w:jc w:val="right"/>
            </w:pPr>
            <w:r>
              <w:t xml:space="preserve">-2.06</w:t>
            </w:r>
          </w:p>
        </w:tc>
        <w:tc>
          <w:tcPr/>
          <w:p>
            <w:pPr>
              <w:pStyle w:val="Compact"/>
              <w:jc w:val="right"/>
            </w:pPr>
            <w:r>
              <w:t xml:space="preserve">0.023</w:t>
            </w:r>
          </w:p>
        </w:tc>
        <w:tc>
          <w:tcPr/>
          <w:p>
            <w:pPr>
              <w:pStyle w:val="Compact"/>
              <w:jc w:val="left"/>
            </w:pPr>
            <w:r>
              <w:t xml:space="preserve">R </w:t>
            </w:r>
            <w:r>
              <w:rPr>
                <w:rFonts w:hint="eastAsia"/>
              </w:rPr>
              <w:t xml:space="preserve">独立复核下，单侧检验支持模型优于朴素基准</w:t>
            </w:r>
          </w:p>
        </w:tc>
      </w:tr>
      <w:tr>
        <w:tc>
          <w:tcPr/>
          <w:p>
            <w:pPr>
              <w:pStyle w:val="Compact"/>
              <w:jc w:val="left"/>
            </w:pPr>
            <w:r>
              <w:t xml:space="preserve">DM </w:t>
            </w:r>
            <w:r>
              <w:rPr>
                <w:rFonts w:hint="eastAsia"/>
              </w:rPr>
              <w:t xml:space="preserve">绝对损失检验</w:t>
            </w:r>
          </w:p>
        </w:tc>
        <w:tc>
          <w:tcPr/>
          <w:p>
            <w:pPr>
              <w:pStyle w:val="Compact"/>
              <w:jc w:val="right"/>
            </w:pPr>
            <w:r>
              <w:t xml:space="preserve">-1.68</w:t>
            </w:r>
          </w:p>
        </w:tc>
        <w:tc>
          <w:tcPr/>
          <w:p>
            <w:pPr>
              <w:pStyle w:val="Compact"/>
              <w:jc w:val="right"/>
            </w:pPr>
            <w:r>
              <w:t xml:space="preserve">0.050</w:t>
            </w:r>
          </w:p>
        </w:tc>
        <w:tc>
          <w:tcPr/>
          <w:p>
            <w:pPr>
              <w:pStyle w:val="Compact"/>
              <w:jc w:val="left"/>
            </w:pPr>
            <w:r>
              <w:rPr>
                <w:rFonts w:hint="eastAsia"/>
              </w:rPr>
              <w:t xml:space="preserve">绝对损失优势接近</w:t>
            </w:r>
            <w:r>
              <w:t xml:space="preserve"> 5% </w:t>
            </w:r>
            <w:r>
              <w:rPr>
                <w:rFonts w:hint="eastAsia"/>
              </w:rPr>
              <w:t xml:space="preserve">显著性边界，不作强显著性夸大</w:t>
            </w:r>
          </w:p>
        </w:tc>
      </w:tr>
      <w:tr>
        <w:tc>
          <w:tcPr/>
          <w:p>
            <w:pPr>
              <w:pStyle w:val="Compact"/>
              <w:jc w:val="left"/>
            </w:pPr>
            <w:r>
              <w:rPr>
                <w:rFonts w:hint="eastAsia"/>
              </w:rPr>
              <w:t xml:space="preserve">方向命中率</w:t>
            </w:r>
          </w:p>
        </w:tc>
        <w:tc>
          <w:tcPr/>
          <w:p>
            <w:pPr>
              <w:pStyle w:val="Compact"/>
              <w:jc w:val="right"/>
            </w:pPr>
            <w:r>
              <w:t xml:space="preserve">63.6%</w:t>
            </w:r>
          </w:p>
        </w:tc>
        <w:tc>
          <w:tcPr/>
          <w:p>
            <w:pPr>
              <w:pStyle w:val="Compact"/>
              <w:jc w:val="right"/>
            </w:pPr>
            <w:r>
              <w:t xml:space="preserve">0.048</w:t>
            </w:r>
          </w:p>
        </w:tc>
        <w:tc>
          <w:tcPr/>
          <w:p>
            <w:pPr>
              <w:pStyle w:val="Compact"/>
              <w:jc w:val="left"/>
            </w:pPr>
            <w:r>
              <w:rPr>
                <w:rFonts w:hint="eastAsia"/>
              </w:rPr>
              <w:t xml:space="preserve">相对随机</w:t>
            </w:r>
            <w:r>
              <w:t xml:space="preserve"> 50% </w:t>
            </w:r>
            <w:r>
              <w:rPr>
                <w:rFonts w:hint="eastAsia"/>
              </w:rPr>
              <w:t xml:space="preserve">的单侧二项检验</w:t>
            </w:r>
          </w:p>
        </w:tc>
      </w:tr>
      <w:tr>
        <w:tc>
          <w:tcPr/>
          <w:p>
            <w:pPr>
              <w:pStyle w:val="Compact"/>
              <w:jc w:val="left"/>
            </w:pPr>
            <w:r>
              <w:t xml:space="preserve">Ljung–Box lag10</w:t>
            </w:r>
          </w:p>
        </w:tc>
        <w:tc>
          <w:tcPr/>
          <w:p>
            <w:pPr>
              <w:pStyle w:val="Compact"/>
              <w:jc w:val="right"/>
            </w:pPr>
            <w:r>
              <w:t xml:space="preserve">10.92</w:t>
            </w:r>
          </w:p>
        </w:tc>
        <w:tc>
          <w:tcPr/>
          <w:p>
            <w:pPr>
              <w:pStyle w:val="Compact"/>
              <w:jc w:val="right"/>
            </w:pPr>
            <w:r>
              <w:t xml:space="preserve">0.364</w:t>
            </w:r>
          </w:p>
        </w:tc>
        <w:tc>
          <w:tcPr/>
          <w:p>
            <w:pPr>
              <w:pStyle w:val="Compact"/>
              <w:jc w:val="left"/>
            </w:pPr>
            <w:r>
              <w:rPr>
                <w:rFonts w:hint="eastAsia"/>
              </w:rPr>
              <w:t xml:space="preserve">未发现显著线性残差自相关</w:t>
            </w:r>
          </w:p>
        </w:tc>
      </w:tr>
      <w:tr>
        <w:tc>
          <w:tcPr/>
          <w:p>
            <w:pPr>
              <w:pStyle w:val="Compact"/>
              <w:jc w:val="left"/>
            </w:pPr>
            <w:r>
              <w:t xml:space="preserve">ARCH–LM lag5</w:t>
            </w:r>
          </w:p>
        </w:tc>
        <w:tc>
          <w:tcPr/>
          <w:p>
            <w:pPr>
              <w:pStyle w:val="Compact"/>
              <w:jc w:val="right"/>
            </w:pPr>
            <w:r>
              <w:t xml:space="preserve">5.22</w:t>
            </w:r>
          </w:p>
        </w:tc>
        <w:tc>
          <w:tcPr/>
          <w:p>
            <w:pPr>
              <w:pStyle w:val="Compact"/>
              <w:jc w:val="right"/>
            </w:pPr>
            <w:r>
              <w:t xml:space="preserve">0.389</w:t>
            </w:r>
          </w:p>
        </w:tc>
        <w:tc>
          <w:tcPr/>
          <w:p>
            <w:pPr>
              <w:pStyle w:val="Compact"/>
              <w:jc w:val="left"/>
            </w:pPr>
            <w:r>
              <w:rPr>
                <w:rFonts w:hint="eastAsia"/>
              </w:rPr>
              <w:t xml:space="preserve">未发现强条件异方差证据</w:t>
            </w:r>
          </w:p>
        </w:tc>
      </w:tr>
      <w:tr>
        <w:tc>
          <w:tcPr/>
          <w:p>
            <w:pPr>
              <w:pStyle w:val="Compact"/>
              <w:jc w:val="left"/>
            </w:pPr>
            <w:r>
              <w:t xml:space="preserve">Newey–West </w:t>
            </w:r>
            <w:r>
              <w:rPr>
                <w:rFonts w:hint="eastAsia"/>
              </w:rPr>
              <w:t xml:space="preserve">校准诊断</w:t>
            </w:r>
          </w:p>
        </w:tc>
        <w:tc>
          <w:tcPr/>
          <w:p>
            <w:pPr>
              <w:pStyle w:val="Compact"/>
              <w:jc w:val="right"/>
            </w:pPr>
            <w:r>
              <w:t xml:space="preserve">1.046</w:t>
            </w:r>
          </w:p>
        </w:tc>
        <w:tc>
          <w:tcPr/>
          <w:p>
            <w:pPr>
              <w:pStyle w:val="Compact"/>
              <w:jc w:val="right"/>
            </w:pPr>
            <m:oMath>
              <m:r>
                <m:rPr>
                  <m:sty m:val="p"/>
                </m:rPr>
                <m:t>&lt;</m:t>
              </m:r>
              <m:r>
                <m:t>0.001</m:t>
              </m:r>
            </m:oMath>
          </w:p>
        </w:tc>
        <w:tc>
          <w:tcPr/>
          <w:p>
            <w:pPr>
              <w:pStyle w:val="Compact"/>
              <w:jc w:val="left"/>
            </w:pPr>
            <w:r>
              <w:rPr>
                <w:rFonts w:hint="eastAsia"/>
              </w:rPr>
              <w:t xml:space="preserve">仅作拟合值与真实价格的刻画性校准诊断，不作为独立因果或样本外证明</w:t>
            </w:r>
          </w:p>
        </w:tc>
      </w:tr>
    </w:tbl>
    <w:p>
      <w:pPr>
        <w:pStyle w:val="CaptionedFigure"/>
      </w:pPr>
      <w:r>
        <w:drawing>
          <wp:inline>
            <wp:extent cx="4907280" cy="2826593"/>
            <wp:effectExtent b="0" l="0" r="0" t="0"/>
            <wp:docPr descr="" title="" id="84" name="Picture"/>
            <a:graphic>
              <a:graphicData uri="http://schemas.openxmlformats.org/drawingml/2006/picture">
                <pic:pic>
                  <pic:nvPicPr>
                    <pic:cNvPr descr="短期模型统计审计.png" id="85" name="Picture"/>
                    <pic:cNvPicPr>
                      <a:picLocks noChangeArrowheads="1" noChangeAspect="1"/>
                    </pic:cNvPicPr>
                  </pic:nvPicPr>
                  <pic:blipFill>
                    <a:blip r:embed="rId83"/>
                    <a:stretch>
                      <a:fillRect/>
                    </a:stretch>
                  </pic:blipFill>
                  <pic:spPr bwMode="auto">
                    <a:xfrm>
                      <a:off x="0" y="0"/>
                      <a:ext cx="4907280" cy="2826593"/>
                    </a:xfrm>
                    <a:prstGeom prst="rect">
                      <a:avLst/>
                    </a:prstGeom>
                    <a:noFill/>
                    <a:ln w="9525">
                      <a:noFill/>
                      <a:headEnd/>
                      <a:tailEnd/>
                    </a:ln>
                  </pic:spPr>
                </pic:pic>
              </a:graphicData>
            </a:graphic>
          </wp:inline>
        </w:drawing>
      </w:r>
    </w:p>
    <w:p>
      <w:pPr>
        <w:pStyle w:val="ImageCaption"/>
      </w:pPr>
      <w:r>
        <w:rPr>
          <w:rFonts w:hint="eastAsia"/>
        </w:rPr>
        <w:t xml:space="preserve">短期模型统计检验。图中展示残差序列、残差自相关、残差分布和相对朴素基准的平方损失差。</w:t>
      </w:r>
    </w:p>
    <w:p>
      <w:pPr>
        <w:pStyle w:val="BodyText"/>
      </w:pPr>
      <w:r>
        <w:rPr>
          <w:rFonts w:hint="eastAsia"/>
        </w:rPr>
        <w:t xml:space="preserve">分段统计也给出一个更细的判断：前段冲击吸收和后段预期修复阶段，本文模型相对朴素基准的</w:t>
      </w:r>
      <w:r>
        <w:t xml:space="preserve"> RMSE </w:t>
      </w:r>
      <w:r>
        <w:rPr>
          <w:rFonts w:hint="eastAsia"/>
        </w:rPr>
        <w:t xml:space="preserve">改善率分别约为</w:t>
      </w:r>
      <w:r>
        <w:t xml:space="preserve"> 33.4% </w:t>
      </w:r>
      <w:r>
        <w:rPr>
          <w:rFonts w:hint="eastAsia"/>
        </w:rPr>
        <w:t xml:space="preserve">和</w:t>
      </w:r>
      <w:r>
        <w:t xml:space="preserve"> </w:t>
      </w:r>
      <w:r>
        <w:rPr>
          <w:rFonts w:hint="eastAsia"/>
        </w:rPr>
        <w:t xml:space="preserve">34.1%；中段平台维持阶段改善率约为</w:t>
      </w:r>
      <w:r>
        <w:t xml:space="preserve"> </w:t>
      </w:r>
      <w:r>
        <w:rPr>
          <w:rFonts w:hint="eastAsia"/>
        </w:rPr>
        <w:t xml:space="preserve">3.9%，说明平台震荡期仍是后续优化重点。总体看，DM</w:t>
      </w:r>
      <w:r>
        <w:t xml:space="preserve"> </w:t>
      </w:r>
      <w:r>
        <w:rPr>
          <w:rFonts w:hint="eastAsia"/>
        </w:rPr>
        <w:t xml:space="preserve">检验和方向命中检验提供了支持性统计证据，但样本只有</w:t>
      </w:r>
      <w:r>
        <w:t xml:space="preserve"> 45 </w:t>
      </w:r>
      <w:r>
        <w:rPr>
          <w:rFonts w:hint="eastAsia"/>
        </w:rPr>
        <w:t xml:space="preserve">个可比较交易日，绝对损失</w:t>
      </w:r>
      <w:r>
        <w:t xml:space="preserve"> DM </w:t>
      </w:r>
      <w:r>
        <w:rPr>
          <w:rFonts w:hint="eastAsia"/>
        </w:rPr>
        <w:t xml:space="preserve">检验也接近显著性边界，因此本文不把它写成压倒性证明，而是作为基准对比、滞后检验和机制消融之外的补充验证。Newey–West</w:t>
      </w:r>
      <w:r>
        <w:t xml:space="preserve"> </w:t>
      </w:r>
      <w:r>
        <w:rPr>
          <w:rFonts w:hint="eastAsia"/>
        </w:rPr>
        <w:t xml:space="preserve">回归仅用于刻画拟合路径与真实价格的线性一致性，不被用作独立样本外预测能力或因果识别证明。</w:t>
      </w:r>
    </w:p>
    <w:p>
      <w:pPr>
        <w:pStyle w:val="BodyText"/>
      </w:pPr>
      <w:r>
        <w:t xml:space="preserve">R </w:t>
      </w:r>
      <w:r>
        <w:rPr>
          <w:rFonts w:hint="eastAsia"/>
        </w:rPr>
        <w:t xml:space="preserve">语言用于独立复核</w:t>
      </w:r>
      <w:r>
        <w:t xml:space="preserve"> </w:t>
      </w:r>
      <w:r>
        <w:rPr>
          <w:rFonts w:hint="eastAsia"/>
        </w:rPr>
        <w:t xml:space="preserve">DM、方向命中、Ljung–Box、ADF、ARCH/GARCH</w:t>
      </w:r>
      <w:r>
        <w:t xml:space="preserve"> </w:t>
      </w:r>
      <w:r>
        <w:rPr>
          <w:rFonts w:hint="eastAsia"/>
        </w:rPr>
        <w:t xml:space="preserve">和</w:t>
      </w:r>
      <w:r>
        <w:t xml:space="preserve"> Newey–West </w:t>
      </w:r>
      <w:r>
        <w:rPr>
          <w:rFonts w:hint="eastAsia"/>
        </w:rPr>
        <w:t xml:space="preserve">稳健校准回归等计量检验。R</w:t>
      </w:r>
      <w:r>
        <w:t xml:space="preserve"> </w:t>
      </w:r>
      <w:r>
        <w:rPr>
          <w:rFonts w:hint="eastAsia"/>
        </w:rPr>
        <w:t xml:space="preserve">复核显示，价格水平和对数价格不能拒绝单位根假设，而对数收益率可拒绝单位根假设；GARCH(1,1)</w:t>
      </w:r>
      <w:r>
        <w:t xml:space="preserve"> </w:t>
      </w:r>
      <w:r>
        <w:rPr>
          <w:rFonts w:hint="eastAsia"/>
        </w:rPr>
        <w:t xml:space="preserve">在短样本下提示波动持续性，但不替代机制递推主模型。除计量检验外，本文还使用</w:t>
      </w:r>
      <w:r>
        <w:t xml:space="preserve"> R </w:t>
      </w:r>
      <w:r>
        <w:rPr>
          <w:rFonts w:hint="eastAsia"/>
        </w:rPr>
        <w:t xml:space="preserve">的</w:t>
      </w:r>
      <w:r>
        <w:t xml:space="preserve"> ggplot2 </w:t>
      </w:r>
      <w:r>
        <w:rPr>
          <w:rFonts w:hint="eastAsia"/>
        </w:rPr>
        <w:t xml:space="preserve">对关键证据图进行学术化重绘。</w:t>
      </w:r>
    </w:p>
    <w:p>
      <w:pPr>
        <w:pStyle w:val="CaptionedFigure"/>
      </w:pPr>
      <w:r>
        <w:drawing>
          <wp:inline>
            <wp:extent cx="4907280" cy="2892712"/>
            <wp:effectExtent b="0" l="0" r="0" t="0"/>
            <wp:docPr descr="" title="" id="87" name="Picture"/>
            <a:graphic>
              <a:graphicData uri="http://schemas.openxmlformats.org/drawingml/2006/picture">
                <pic:pic>
                  <pic:nvPicPr>
                    <pic:cNvPr descr="R短期误差学术诊断.png" id="88" name="Picture"/>
                    <pic:cNvPicPr>
                      <a:picLocks noChangeArrowheads="1" noChangeAspect="1"/>
                    </pic:cNvPicPr>
                  </pic:nvPicPr>
                  <pic:blipFill>
                    <a:blip r:embed="rId86"/>
                    <a:stretch>
                      <a:fillRect/>
                    </a:stretch>
                  </pic:blipFill>
                  <pic:spPr bwMode="auto">
                    <a:xfrm>
                      <a:off x="0" y="0"/>
                      <a:ext cx="4907280" cy="289271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短期误差学术诊断。柱形表示每日残差，黑线为</w:t>
      </w:r>
      <w:r>
        <w:t xml:space="preserve"> LOESS </w:t>
      </w:r>
      <w:r>
        <w:rPr>
          <w:rFonts w:hint="eastAsia"/>
        </w:rPr>
        <w:t xml:space="preserve">平滑趋势，用于观察模型是否存在持续系统偏差。</w:t>
      </w:r>
    </w:p>
    <w:bookmarkEnd w:id="89"/>
    <w:bookmarkStart w:id="90" w:name="机制消融的定量证据"/>
    <w:p>
      <w:pPr>
        <w:pStyle w:val="Heading2"/>
      </w:pPr>
      <w:r>
        <w:rPr>
          <w:rFonts w:hint="eastAsia"/>
        </w:rPr>
        <w:t xml:space="preserve">机制消融的定量证据</w:t>
      </w:r>
    </w:p>
    <w:p>
      <w:pPr>
        <w:pStyle w:val="FirstParagraph"/>
      </w:pPr>
      <w:r>
        <w:rPr>
          <w:rFonts w:hint="eastAsia"/>
        </w:rPr>
        <w:t xml:space="preserve">为了进一步回答</w:t>
      </w:r>
      <w:r>
        <w:rPr>
          <w:rFonts w:hint="eastAsia"/>
        </w:rPr>
        <w:t xml:space="preserve">“扩展机制是不是为了拟合曲线而硬加的补丁”</w:t>
      </w:r>
      <w:r>
        <w:rPr>
          <w:rFonts w:hint="eastAsia"/>
        </w:rPr>
        <w:t xml:space="preserve">，本文对完整模型进行逐项消融：关闭某一机制时，其他参数保持不变，不重新校准。这样做的含义是检验单个机制在同一参数体系下的边际贡献，而不是重新给每个缺失机制模型寻找最优参数。</w:t>
      </w:r>
    </w:p>
    <w:p>
      <w:pPr>
        <w:pStyle w:val="TableCaption"/>
      </w:pPr>
      <w:r>
        <w:rPr>
          <w:rFonts w:hint="eastAsia"/>
        </w:rPr>
        <w:t xml:space="preserve">短期模型机制消融实验</w:t>
      </w:r>
    </w:p>
    <w:tbl>
      <w:tblPr>
        <w:tblStyle w:val="Table"/>
        <w:tblW w:type="auto" w:w="0"/>
        <w:tblLook w:firstRow="1" w:lastRow="0" w:firstColumn="0" w:lastColumn="0" w:noHBand="0" w:noVBand="0" w:val="0020"/>
        <w:tblCaption w:val="短期模型机制消融实验"/>
      </w:tblPr>
      <w:tblGrid>
        <w:gridCol w:w="1584"/>
        <w:gridCol w:w="1584"/>
        <w:gridCol w:w="1584"/>
        <w:gridCol w:w="1584"/>
        <w:gridCol w:w="1584"/>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right"/>
            </w:pPr>
            <w:r>
              <w:rPr>
                <w:rFonts w:hint="eastAsia"/>
              </w:rPr>
              <w:t xml:space="preserve">后期RMSE</w:t>
            </w:r>
          </w:p>
        </w:tc>
        <w:tc>
          <w:tcPr/>
          <w:p>
            <w:pPr>
              <w:pStyle w:val="Compact"/>
              <w:jc w:val="right"/>
            </w:pPr>
            <w:r>
              <w:rPr>
                <w:rFonts w:hint="eastAsia"/>
              </w:rPr>
              <w:t xml:space="preserve">低价回落RMSE</w:t>
            </w:r>
          </w:p>
        </w:tc>
      </w:tr>
      <w:tr>
        <w:tc>
          <w:tcPr/>
          <w:p>
            <w:pPr>
              <w:pStyle w:val="Compact"/>
              <w:jc w:val="left"/>
            </w:pPr>
            <w:r>
              <w:rPr>
                <w:rFonts w:hint="eastAsia"/>
              </w:rPr>
              <w:t xml:space="preserve">完整模型</w:t>
            </w:r>
          </w:p>
        </w:tc>
        <w:tc>
          <w:tcPr/>
          <w:p>
            <w:pPr>
              <w:pStyle w:val="Compact"/>
              <w:jc w:val="right"/>
            </w:pPr>
            <w:r>
              <w:t xml:space="preserve">3.44</w:t>
            </w:r>
          </w:p>
        </w:tc>
        <w:tc>
          <w:tcPr/>
          <w:p>
            <w:pPr>
              <w:pStyle w:val="Compact"/>
              <w:jc w:val="right"/>
            </w:pPr>
            <w:r>
              <w:t xml:space="preserve">0.00</w:t>
            </w:r>
          </w:p>
        </w:tc>
        <w:tc>
          <w:tcPr/>
          <w:p>
            <w:pPr>
              <w:pStyle w:val="Compact"/>
              <w:jc w:val="right"/>
            </w:pPr>
            <w:r>
              <w:t xml:space="preserve">2.81</w:t>
            </w:r>
          </w:p>
        </w:tc>
        <w:tc>
          <w:tcPr/>
          <w:p>
            <w:pPr>
              <w:pStyle w:val="Compact"/>
              <w:jc w:val="right"/>
            </w:pPr>
            <w:r>
              <w:t xml:space="preserve">3.38</w:t>
            </w:r>
          </w:p>
        </w:tc>
      </w:tr>
      <w:tr>
        <w:tc>
          <w:tcPr/>
          <w:p>
            <w:pPr>
              <w:pStyle w:val="Compact"/>
              <w:jc w:val="left"/>
            </w:pPr>
            <w:r>
              <w:rPr>
                <w:rFonts w:hint="eastAsia"/>
              </w:rPr>
              <w:t xml:space="preserve">无</w:t>
            </w:r>
            <w:r>
              <w:t xml:space="preserve"> SPR</w:t>
            </w:r>
          </w:p>
        </w:tc>
        <w:tc>
          <w:tcPr/>
          <w:p>
            <w:pPr>
              <w:pStyle w:val="Compact"/>
              <w:jc w:val="right"/>
            </w:pPr>
            <w:r>
              <w:t xml:space="preserve">5.86</w:t>
            </w:r>
          </w:p>
        </w:tc>
        <w:tc>
          <w:tcPr/>
          <w:p>
            <w:pPr>
              <w:pStyle w:val="Compact"/>
              <w:jc w:val="right"/>
            </w:pPr>
            <w:r>
              <w:t xml:space="preserve">+2.42</w:t>
            </w:r>
          </w:p>
        </w:tc>
        <w:tc>
          <w:tcPr/>
          <w:p>
            <w:pPr>
              <w:pStyle w:val="Compact"/>
              <w:jc w:val="right"/>
            </w:pPr>
            <w:r>
              <w:t xml:space="preserve">5.84</w:t>
            </w:r>
          </w:p>
        </w:tc>
        <w:tc>
          <w:tcPr/>
          <w:p>
            <w:pPr>
              <w:pStyle w:val="Compact"/>
              <w:jc w:val="right"/>
            </w:pPr>
            <w:r>
              <w:t xml:space="preserve">6.46</w:t>
            </w:r>
          </w:p>
        </w:tc>
      </w:tr>
      <w:tr>
        <w:tc>
          <w:tcPr/>
          <w:p>
            <w:pPr>
              <w:pStyle w:val="Compact"/>
              <w:jc w:val="left"/>
            </w:pPr>
            <w:r>
              <w:rPr>
                <w:rFonts w:hint="eastAsia"/>
              </w:rPr>
              <w:t xml:space="preserve">无库存</w:t>
            </w:r>
          </w:p>
        </w:tc>
        <w:tc>
          <w:tcPr/>
          <w:p>
            <w:pPr>
              <w:pStyle w:val="Compact"/>
              <w:jc w:val="right"/>
            </w:pPr>
            <w:r>
              <w:t xml:space="preserve">3.47</w:t>
            </w:r>
          </w:p>
        </w:tc>
        <w:tc>
          <w:tcPr/>
          <w:p>
            <w:pPr>
              <w:pStyle w:val="Compact"/>
              <w:jc w:val="right"/>
            </w:pPr>
            <w:r>
              <w:t xml:space="preserve">+0.03</w:t>
            </w:r>
          </w:p>
        </w:tc>
        <w:tc>
          <w:tcPr/>
          <w:p>
            <w:pPr>
              <w:pStyle w:val="Compact"/>
              <w:jc w:val="right"/>
            </w:pPr>
            <w:r>
              <w:t xml:space="preserve">2.75</w:t>
            </w:r>
          </w:p>
        </w:tc>
        <w:tc>
          <w:tcPr/>
          <w:p>
            <w:pPr>
              <w:pStyle w:val="Compact"/>
              <w:jc w:val="right"/>
            </w:pPr>
            <w:r>
              <w:t xml:space="preserve">3.55</w:t>
            </w:r>
          </w:p>
        </w:tc>
      </w:tr>
      <w:tr>
        <w:tc>
          <w:tcPr/>
          <w:p>
            <w:pPr>
              <w:pStyle w:val="Compact"/>
              <w:jc w:val="left"/>
            </w:pPr>
            <w:r>
              <w:rPr>
                <w:rFonts w:hint="eastAsia"/>
              </w:rPr>
              <w:t xml:space="preserve">无绕道</w:t>
            </w:r>
          </w:p>
        </w:tc>
        <w:tc>
          <w:tcPr/>
          <w:p>
            <w:pPr>
              <w:pStyle w:val="Compact"/>
              <w:jc w:val="right"/>
            </w:pPr>
            <w:r>
              <w:t xml:space="preserve">3.46</w:t>
            </w:r>
          </w:p>
        </w:tc>
        <w:tc>
          <w:tcPr/>
          <w:p>
            <w:pPr>
              <w:pStyle w:val="Compact"/>
              <w:jc w:val="right"/>
            </w:pPr>
            <w:r>
              <w:t xml:space="preserve">+0.02</w:t>
            </w:r>
          </w:p>
        </w:tc>
        <w:tc>
          <w:tcPr/>
          <w:p>
            <w:pPr>
              <w:pStyle w:val="Compact"/>
              <w:jc w:val="right"/>
            </w:pPr>
            <w:r>
              <w:t xml:space="preserve">2.75</w:t>
            </w:r>
          </w:p>
        </w:tc>
        <w:tc>
          <w:tcPr/>
          <w:p>
            <w:pPr>
              <w:pStyle w:val="Compact"/>
              <w:jc w:val="right"/>
            </w:pPr>
            <w:r>
              <w:t xml:space="preserve">3.47</w:t>
            </w:r>
          </w:p>
        </w:tc>
      </w:tr>
      <w:tr>
        <w:tc>
          <w:tcPr/>
          <w:p>
            <w:pPr>
              <w:pStyle w:val="Compact"/>
              <w:jc w:val="left"/>
            </w:pPr>
            <w:r>
              <w:rPr>
                <w:rFonts w:hint="eastAsia"/>
              </w:rPr>
              <w:t xml:space="preserve">无需求收缩</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2.69</w:t>
            </w:r>
          </w:p>
        </w:tc>
        <w:tc>
          <w:tcPr/>
          <w:p>
            <w:pPr>
              <w:pStyle w:val="Compact"/>
              <w:jc w:val="right"/>
            </w:pPr>
            <w:r>
              <w:t xml:space="preserve">5.16</w:t>
            </w:r>
          </w:p>
        </w:tc>
      </w:tr>
      <w:tr>
        <w:tc>
          <w:tcPr/>
          <w:p>
            <w:pPr>
              <w:pStyle w:val="Compact"/>
              <w:jc w:val="left"/>
            </w:pPr>
            <w:r>
              <w:rPr>
                <w:rFonts w:hint="eastAsia"/>
              </w:rPr>
              <w:t xml:space="preserve">无恐慌溢价</w:t>
            </w:r>
          </w:p>
        </w:tc>
        <w:tc>
          <w:tcPr/>
          <w:p>
            <w:pPr>
              <w:pStyle w:val="Compact"/>
              <w:jc w:val="right"/>
            </w:pPr>
            <w:r>
              <w:t xml:space="preserve">3.62</w:t>
            </w:r>
          </w:p>
        </w:tc>
        <w:tc>
          <w:tcPr/>
          <w:p>
            <w:pPr>
              <w:pStyle w:val="Compact"/>
              <w:jc w:val="right"/>
            </w:pPr>
            <w:r>
              <w:t xml:space="preserve">+0.18</w:t>
            </w:r>
          </w:p>
        </w:tc>
        <w:tc>
          <w:tcPr/>
          <w:p>
            <w:pPr>
              <w:pStyle w:val="Compact"/>
              <w:jc w:val="right"/>
            </w:pPr>
            <w:r>
              <w:t xml:space="preserve">2.79</w:t>
            </w:r>
          </w:p>
        </w:tc>
        <w:tc>
          <w:tcPr/>
          <w:p>
            <w:pPr>
              <w:pStyle w:val="Compact"/>
              <w:jc w:val="right"/>
            </w:pPr>
            <w:r>
              <w:t xml:space="preserve">3.43</w:t>
            </w:r>
          </w:p>
        </w:tc>
      </w:tr>
      <w:tr>
        <w:tc>
          <w:tcPr/>
          <w:p>
            <w:pPr>
              <w:pStyle w:val="Compact"/>
              <w:jc w:val="left"/>
            </w:pPr>
            <w:r>
              <w:rPr>
                <w:rFonts w:hint="eastAsia"/>
              </w:rPr>
              <w:t xml:space="preserve">无风险溢价</w:t>
            </w:r>
          </w:p>
        </w:tc>
        <w:tc>
          <w:tcPr/>
          <w:p>
            <w:pPr>
              <w:pStyle w:val="Compact"/>
              <w:jc w:val="right"/>
            </w:pPr>
            <w:r>
              <w:t xml:space="preserve">30.69</w:t>
            </w:r>
          </w:p>
        </w:tc>
        <w:tc>
          <w:tcPr/>
          <w:p>
            <w:pPr>
              <w:pStyle w:val="Compact"/>
              <w:jc w:val="right"/>
            </w:pPr>
            <w:r>
              <w:t xml:space="preserve">+27.25</w:t>
            </w:r>
          </w:p>
        </w:tc>
        <w:tc>
          <w:tcPr/>
          <w:p>
            <w:pPr>
              <w:pStyle w:val="Compact"/>
              <w:jc w:val="right"/>
            </w:pPr>
            <w:r>
              <w:t xml:space="preserve">36.02</w:t>
            </w:r>
          </w:p>
        </w:tc>
        <w:tc>
          <w:tcPr/>
          <w:p>
            <w:pPr>
              <w:pStyle w:val="Compact"/>
              <w:jc w:val="right"/>
            </w:pPr>
            <w:r>
              <w:t xml:space="preserve">25.71</w:t>
            </w:r>
          </w:p>
        </w:tc>
      </w:tr>
      <w:tr>
        <w:tc>
          <w:tcPr/>
          <w:p>
            <w:pPr>
              <w:pStyle w:val="Compact"/>
              <w:jc w:val="left"/>
            </w:pPr>
            <w:r>
              <w:rPr>
                <w:rFonts w:hint="eastAsia"/>
              </w:rPr>
              <w:t xml:space="preserve">无缓冲折价</w:t>
            </w:r>
          </w:p>
        </w:tc>
        <w:tc>
          <w:tcPr/>
          <w:p>
            <w:pPr>
              <w:pStyle w:val="Compact"/>
              <w:jc w:val="right"/>
            </w:pPr>
            <w:r>
              <w:t xml:space="preserve">5.07</w:t>
            </w:r>
          </w:p>
        </w:tc>
        <w:tc>
          <w:tcPr/>
          <w:p>
            <w:pPr>
              <w:pStyle w:val="Compact"/>
              <w:jc w:val="right"/>
            </w:pPr>
            <w:r>
              <w:t xml:space="preserve">+1.63</w:t>
            </w:r>
          </w:p>
        </w:tc>
        <w:tc>
          <w:tcPr/>
          <w:p>
            <w:pPr>
              <w:pStyle w:val="Compact"/>
              <w:jc w:val="right"/>
            </w:pPr>
            <w:r>
              <w:t xml:space="preserve">4.33</w:t>
            </w:r>
          </w:p>
        </w:tc>
        <w:tc>
          <w:tcPr/>
          <w:p>
            <w:pPr>
              <w:pStyle w:val="Compact"/>
              <w:jc w:val="right"/>
            </w:pPr>
            <w:r>
              <w:t xml:space="preserve">6.18</w:t>
            </w:r>
          </w:p>
        </w:tc>
      </w:tr>
      <w:tr>
        <w:tc>
          <w:tcPr/>
          <w:p>
            <w:pPr>
              <w:pStyle w:val="Compact"/>
              <w:jc w:val="left"/>
            </w:pPr>
            <w:r>
              <w:rPr>
                <w:rFonts w:hint="eastAsia"/>
              </w:rPr>
              <w:t xml:space="preserve">无修复折价</w:t>
            </w:r>
          </w:p>
        </w:tc>
        <w:tc>
          <w:tcPr/>
          <w:p>
            <w:pPr>
              <w:pStyle w:val="Compact"/>
              <w:jc w:val="right"/>
            </w:pPr>
            <w:r>
              <w:t xml:space="preserve">7.31</w:t>
            </w:r>
          </w:p>
        </w:tc>
        <w:tc>
          <w:tcPr/>
          <w:p>
            <w:pPr>
              <w:pStyle w:val="Compact"/>
              <w:jc w:val="right"/>
            </w:pPr>
            <w:r>
              <w:t xml:space="preserve">+3.87</w:t>
            </w:r>
          </w:p>
        </w:tc>
        <w:tc>
          <w:tcPr/>
          <w:p>
            <w:pPr>
              <w:pStyle w:val="Compact"/>
              <w:jc w:val="right"/>
            </w:pPr>
            <w:r>
              <w:t xml:space="preserve">10.09</w:t>
            </w:r>
          </w:p>
        </w:tc>
        <w:tc>
          <w:tcPr/>
          <w:p>
            <w:pPr>
              <w:pStyle w:val="Compact"/>
              <w:jc w:val="right"/>
            </w:pPr>
            <w:r>
              <w:t xml:space="preserve">9.77</w:t>
            </w:r>
          </w:p>
        </w:tc>
      </w:tr>
      <w:tr>
        <w:tc>
          <w:tcPr/>
          <w:p>
            <w:pPr>
              <w:pStyle w:val="Compact"/>
              <w:jc w:val="left"/>
            </w:pPr>
            <w:r>
              <w:rPr>
                <w:rFonts w:hint="eastAsia"/>
              </w:rPr>
              <w:t xml:space="preserve">无市场修正</w:t>
            </w:r>
          </w:p>
        </w:tc>
        <w:tc>
          <w:tcPr/>
          <w:p>
            <w:pPr>
              <w:pStyle w:val="Compact"/>
              <w:jc w:val="right"/>
            </w:pPr>
            <w:r>
              <w:t xml:space="preserve">26.99</w:t>
            </w:r>
          </w:p>
        </w:tc>
        <w:tc>
          <w:tcPr/>
          <w:p>
            <w:pPr>
              <w:pStyle w:val="Compact"/>
              <w:jc w:val="right"/>
            </w:pPr>
            <w:r>
              <w:t xml:space="preserve">+23.55</w:t>
            </w:r>
          </w:p>
        </w:tc>
        <w:tc>
          <w:tcPr/>
          <w:p>
            <w:pPr>
              <w:pStyle w:val="Compact"/>
              <w:jc w:val="right"/>
            </w:pPr>
            <w:r>
              <w:t xml:space="preserve">29.33</w:t>
            </w:r>
          </w:p>
        </w:tc>
        <w:tc>
          <w:tcPr/>
          <w:p>
            <w:pPr>
              <w:pStyle w:val="Compact"/>
              <w:jc w:val="right"/>
            </w:pPr>
            <w:r>
              <w:t xml:space="preserve">18.90</w:t>
            </w:r>
          </w:p>
        </w:tc>
      </w:tr>
    </w:tbl>
    <w:p>
      <w:pPr>
        <w:pStyle w:val="BodyText"/>
      </w:pPr>
      <w:r>
        <w:rPr>
          <w:rFonts w:hint="eastAsia"/>
        </w:rPr>
        <w:t xml:space="preserve">消融结果可以分成两层理解。第一层是题面物理层：SPR</w:t>
      </w:r>
      <w:r>
        <w:t xml:space="preserve"> </w:t>
      </w:r>
      <w:r>
        <w:rPr>
          <w:rFonts w:hint="eastAsia"/>
        </w:rPr>
        <w:t xml:space="preserve">释放和需求收缩的影响最清楚，去除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5.86，去除需求收缩后低价回落</w:t>
      </w:r>
      <w:r>
        <w:t xml:space="preserve"> RMSE </w:t>
      </w:r>
      <w:r>
        <w:rPr>
          <w:rFonts w:hint="eastAsia"/>
        </w:rPr>
        <w:t xml:space="preserve">升至</w:t>
      </w:r>
      <w:r>
        <w:t xml:space="preserve"> </w:t>
      </w:r>
      <w:r>
        <w:rPr>
          <w:rFonts w:hint="eastAsia"/>
        </w:rPr>
        <w:t xml:space="preserve">5.16，说明政策缓冲和需求侧调整不是装饰项。商业库存与绕道运输在</w:t>
      </w:r>
      <w:r>
        <w:t xml:space="preserve"> 46 </w:t>
      </w:r>
      <w:r>
        <w:rPr>
          <w:rFonts w:hint="eastAsia"/>
        </w:rPr>
        <w:t xml:space="preserve">个交易日短窗口内边际影响较小，但它们在</w:t>
      </w:r>
      <w:r>
        <w:t xml:space="preserve"> 60–180 </w:t>
      </w:r>
      <w:r>
        <w:rPr>
          <w:rFonts w:hint="eastAsia"/>
        </w:rPr>
        <w:t xml:space="preserve">天预测中会影响库存压力、剩余缺口和二次跳涨风险，因此不应因为短窗口贡献小就从长期模型中删除。</w:t>
      </w:r>
    </w:p>
    <w:p>
      <w:pPr>
        <w:pStyle w:val="BodyText"/>
      </w:pPr>
      <w:r>
        <w:rPr>
          <w:rFonts w:hint="eastAsia"/>
        </w:rPr>
        <w:t xml:space="preserve">第二层是市场价格形成层：风险与不确定性溢价负责解释价格快速进入高位平台，缓冲确认折价和预期修复折价负责解释后期再定价。若去除预期修复折价，后期</w:t>
      </w:r>
      <w:r>
        <w:t xml:space="preserve"> RMSE </w:t>
      </w:r>
      <w:r>
        <w:rPr>
          <w:rFonts w:hint="eastAsia"/>
        </w:rPr>
        <w:t xml:space="preserve">从</w:t>
      </w:r>
      <w:r>
        <w:t xml:space="preserve"> 2.81 </w:t>
      </w:r>
      <w:r>
        <w:rPr>
          <w:rFonts w:hint="eastAsia"/>
        </w:rPr>
        <w:t xml:space="preserve">升至</w:t>
      </w:r>
      <w:r>
        <w:t xml:space="preserve"> </w:t>
      </w:r>
      <w:r>
        <w:rPr>
          <w:rFonts w:hint="eastAsia"/>
        </w:rPr>
        <w:t xml:space="preserve">10.09，说明市场对政策缓冲和运输恢复的预期并不是可有可无的修饰，而是解释后期回落的关键机制。</w:t>
      </w:r>
    </w:p>
    <w:bookmarkEnd w:id="90"/>
    <w:bookmarkStart w:id="94" w:name="拐点预测步长与事件边界"/>
    <w:p>
      <w:pPr>
        <w:pStyle w:val="Heading2"/>
      </w:pPr>
      <w:r>
        <w:rPr>
          <w:rFonts w:hint="eastAsia"/>
        </w:rPr>
        <w:t xml:space="preserve">拐点、预测步长与事件边界</w:t>
      </w:r>
    </w:p>
    <w:p>
      <w:pPr>
        <w:pStyle w:val="FirstParagraph"/>
      </w:pPr>
      <w:r>
        <w:rPr>
          <w:rFonts w:hint="eastAsia"/>
        </w:rPr>
        <w:t xml:space="preserve">本文模型不是普通日度交易意义上的</w:t>
      </w:r>
      <w:r>
        <w:t xml:space="preserve"> </w:t>
      </w:r>
      <m:oMath>
        <m:r>
          <m:t>T</m:t>
        </m:r>
        <m:r>
          <m:rPr>
            <m:sty m:val="p"/>
          </m:rPr>
          <m:t>+</m:t>
        </m:r>
        <m:r>
          <m:t>1</m:t>
        </m:r>
      </m:oMath>
      <w:r>
        <w:t xml:space="preserve"> </w:t>
      </w:r>
      <w:r>
        <w:rPr>
          <w:rFonts w:hint="eastAsia"/>
        </w:rPr>
        <w:t xml:space="preserve">预测器，而是条件机制递推模型。模型给定冲突开始、题面参数和校准参数后，从初始价格开始逐日递推；真实价格只用于参数校准和事后评价，不在每日递推时作为当日输入。因此，RMSE</w:t>
      </w:r>
      <w:r>
        <w:t xml:space="preserve"> </w:t>
      </w:r>
      <w:r>
        <w:rPr>
          <w:rFonts w:hint="eastAsia"/>
        </w:rPr>
        <w:t xml:space="preserve">为</w:t>
      </w:r>
      <w:r>
        <w:t xml:space="preserve"> 3.44 </w:t>
      </w:r>
      <w:r>
        <w:rPr>
          <w:rFonts w:hint="eastAsia"/>
        </w:rPr>
        <w:t xml:space="preserve">的含义是模型对整段冲突路径的条件解释误差，而不是在普通市场环境下每天预测明天价格的交易误差。</w:t>
      </w:r>
    </w:p>
    <w:p>
      <w:pPr>
        <w:pStyle w:val="BodyText"/>
      </w:pPr>
      <w:r>
        <w:rPr>
          <w:rFonts w:hint="eastAsia"/>
        </w:rPr>
        <w:t xml:space="preserve">为了检查模型在突变日是否只是慢半拍跟随真实价格，本文选取实际价格绝对变动最大的</w:t>
      </w:r>
      <w:r>
        <w:t xml:space="preserve"> 10 </w:t>
      </w:r>
      <w:r>
        <w:rPr>
          <w:rFonts w:hint="eastAsia"/>
        </w:rPr>
        <w:t xml:space="preserve">个交易日进行方向检查。结果显示，模型在</w:t>
      </w:r>
      <w:r>
        <w:t xml:space="preserve"> 8 </w:t>
      </w:r>
      <w:r>
        <w:rPr>
          <w:rFonts w:hint="eastAsia"/>
        </w:rPr>
        <w:t xml:space="preserve">个交易日与真实价格同向同步变化，2</w:t>
      </w:r>
      <w:r>
        <w:t xml:space="preserve"> </w:t>
      </w:r>
      <w:r>
        <w:rPr>
          <w:rFonts w:hint="eastAsia"/>
        </w:rPr>
        <w:t xml:space="preserve">个交易日体现为提前</w:t>
      </w:r>
      <w:r>
        <w:t xml:space="preserve"> 1 </w:t>
      </w:r>
      <w:r>
        <w:rPr>
          <w:rFonts w:hint="eastAsia"/>
        </w:rPr>
        <w:t xml:space="preserve">日变化。这说明模型对主要冲击方向具有同步解释力，但个别日度噪声仍不能完全捕捉。</w:t>
      </w:r>
    </w:p>
    <w:p>
      <w:pPr>
        <w:pStyle w:val="CaptionedFigure"/>
      </w:pPr>
      <w:r>
        <w:drawing>
          <wp:inline>
            <wp:extent cx="4907280" cy="3568930"/>
            <wp:effectExtent b="0" l="0" r="0" t="0"/>
            <wp:docPr descr="" title="" id="92" name="Picture"/>
            <a:graphic>
              <a:graphicData uri="http://schemas.openxmlformats.org/drawingml/2006/picture">
                <pic:pic>
                  <pic:nvPicPr>
                    <pic:cNvPr descr="短期模型拐点局部检验.png" id="93" name="Picture"/>
                    <pic:cNvPicPr>
                      <a:picLocks noChangeArrowheads="1" noChangeAspect="1"/>
                    </pic:cNvPicPr>
                  </pic:nvPicPr>
                  <pic:blipFill>
                    <a:blip r:embed="rId91"/>
                    <a:stretch>
                      <a:fillRect/>
                    </a:stretch>
                  </pic:blipFill>
                  <pic:spPr bwMode="auto">
                    <a:xfrm>
                      <a:off x="0" y="0"/>
                      <a:ext cx="4907280" cy="3568930"/>
                    </a:xfrm>
                    <a:prstGeom prst="rect">
                      <a:avLst/>
                    </a:prstGeom>
                    <a:noFill/>
                    <a:ln w="9525">
                      <a:noFill/>
                      <a:headEnd/>
                      <a:tailEnd/>
                    </a:ln>
                  </pic:spPr>
                </pic:pic>
              </a:graphicData>
            </a:graphic>
          </wp:inline>
        </w:drawing>
      </w:r>
    </w:p>
    <w:p>
      <w:pPr>
        <w:pStyle w:val="ImageCaption"/>
      </w:pPr>
      <w:r>
        <w:rPr>
          <w:rFonts w:hint="eastAsia"/>
        </w:rPr>
        <w:t xml:space="preserve">短期模型拐点局部检验。图中放大前期暴涨窗口和后期反转窗口，用于检查模型是否慢半拍跟随真实价格。</w:t>
      </w:r>
    </w:p>
    <w:p>
      <w:pPr>
        <w:pStyle w:val="BodyText"/>
      </w:pPr>
      <w:r>
        <w:rPr>
          <w:rFonts w:hint="eastAsia"/>
        </w:rPr>
        <w:t xml:space="preserve">本文还进行了历史高波动窗口边界检验：固定霍尔木兹机制参数，直接套用到</w:t>
      </w:r>
      <w:r>
        <w:t xml:space="preserve"> 2020 </w:t>
      </w:r>
      <w:r>
        <w:rPr>
          <w:rFonts w:hint="eastAsia"/>
        </w:rPr>
        <w:t xml:space="preserve">年、2022</w:t>
      </w:r>
      <w:r>
        <w:t xml:space="preserve"> </w:t>
      </w:r>
      <w:r>
        <w:rPr>
          <w:rFonts w:hint="eastAsia"/>
        </w:rPr>
        <w:t xml:space="preserve">年等非霍尔木兹事件窗口。结果显示，该模型在这些窗口通常显著弱于朴素上一日基准。这并不削弱本文结论，反而说明本文模型不是通用油价短线交易器，而是针对霍尔木兹封锁机制构建的事件解释模型。论文结论应限定在极端地缘冲突下的条件路径解释与情景预测，不能外推为普通时期的万能预测模型。</w:t>
      </w:r>
    </w:p>
    <w:bookmarkEnd w:id="94"/>
    <w:bookmarkStart w:id="101" w:name="参数自由度与稳健性区间"/>
    <w:p>
      <w:pPr>
        <w:pStyle w:val="Heading2"/>
      </w:pPr>
      <w:r>
        <w:rPr>
          <w:rFonts w:hint="eastAsia"/>
        </w:rPr>
        <w:t xml:space="preserve">参数自由度与稳健性区间</w:t>
      </w:r>
    </w:p>
    <w:p>
      <w:pPr>
        <w:pStyle w:val="FirstParagraph"/>
      </w:pPr>
      <w:r>
        <w:rPr>
          <w:rFonts w:hint="eastAsia"/>
        </w:rPr>
        <w:t xml:space="preserve">短期冲突窗口只有</w:t>
      </w:r>
      <w:r>
        <w:t xml:space="preserve"> 46 </w:t>
      </w:r>
      <w:r>
        <w:rPr>
          <w:rFonts w:hint="eastAsia"/>
        </w:rPr>
        <w:t xml:space="preserve">个交易日，而连续校准参数共有</w:t>
      </w:r>
      <w:r>
        <w:t xml:space="preserve"> 21 </w:t>
      </w:r>
      <w:r>
        <w:rPr>
          <w:rFonts w:hint="eastAsia"/>
        </w:rPr>
        <w:t xml:space="preserve">个，其中</w:t>
      </w:r>
      <w:r>
        <w:t xml:space="preserve"> 10 </w:t>
      </w:r>
      <w:r>
        <w:rPr>
          <w:rFonts w:hint="eastAsia"/>
        </w:rPr>
        <w:t xml:space="preserve">个属于题面或机制范围内的物理/半物理参数，另外</w:t>
      </w:r>
      <w:r>
        <w:t xml:space="preserve"> 11 </w:t>
      </w:r>
      <w:r>
        <w:rPr>
          <w:rFonts w:hint="eastAsia"/>
        </w:rPr>
        <w:t xml:space="preserve">个属于行为与价格调整参数。这个自由度并不低，因此本文不能只依赖最优曲线，而必须证明价格平台不是某一个偶然参数点调出来的结果。</w:t>
      </w:r>
    </w:p>
    <w:p>
      <w:pPr>
        <w:pStyle w:val="TableCaption"/>
      </w:pPr>
      <m:oMath>
        <m:r>
          <m:rPr>
            <m:sty m:val="p"/>
          </m:rPr>
          <m:t>±</m:t>
        </m:r>
        <m:r>
          <m:t>15</m:t>
        </m:r>
        <m:r>
          <m:rPr>
            <m:sty m:val="p"/>
          </m:rPr>
          <m:t>%</m:t>
        </m:r>
      </m:oMath>
      <w:r>
        <w:t xml:space="preserve"> </w:t>
      </w:r>
      <w:r>
        <w:rPr>
          <w:rFonts w:hint="eastAsia"/>
        </w:rPr>
        <w:t xml:space="preserve">参数压力测试摘要</w:t>
      </w:r>
    </w:p>
    <w:tbl>
      <w:tblPr>
        <w:tblStyle w:val="Table"/>
        <w:tblW w:type="auto" w:w="0"/>
        <w:tblLook w:firstRow="1" w:lastRow="0" w:firstColumn="0" w:lastColumn="0" w:noHBand="0" w:noVBand="0" w:val="0020"/>
        <w:tblCaption w:val="\pm 15\% 参数压力测试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均值</w:t>
            </w:r>
          </w:p>
        </w:tc>
        <w:tc>
          <w:tcPr/>
          <w:p>
            <w:pPr>
              <w:pStyle w:val="Compact"/>
              <w:jc w:val="right"/>
            </w:pPr>
            <w:r>
              <w:rPr>
                <w:rFonts w:hint="eastAsia"/>
              </w:rPr>
              <w:t xml:space="preserve">中位数</w:t>
            </w:r>
          </w:p>
        </w:tc>
        <w:tc>
          <w:tcPr/>
          <w:p>
            <w:pPr>
              <w:pStyle w:val="Compact"/>
              <w:jc w:val="right"/>
            </w:pPr>
            <w:r>
              <w:rPr>
                <w:rFonts w:hint="eastAsia"/>
              </w:rPr>
              <w:t xml:space="preserve">90%分位数</w:t>
            </w:r>
          </w:p>
        </w:tc>
        <w:tc>
          <w:tcPr/>
          <w:p>
            <w:pPr>
              <w:pStyle w:val="Compact"/>
              <w:jc w:val="right"/>
            </w:pPr>
            <w:r>
              <w:rPr>
                <w:rFonts w:hint="eastAsia"/>
              </w:rPr>
              <w:t xml:space="preserve">最大值</w:t>
            </w:r>
          </w:p>
        </w:tc>
      </w:tr>
      <w:tr>
        <w:tc>
          <w:tcPr/>
          <w:p>
            <w:pPr>
              <w:pStyle w:val="Compact"/>
              <w:jc w:val="left"/>
            </w:pPr>
            <w:r>
              <w:t xml:space="preserve">RMSE</w:t>
            </w:r>
          </w:p>
        </w:tc>
        <w:tc>
          <w:tcPr/>
          <w:p>
            <w:pPr>
              <w:pStyle w:val="Compact"/>
              <w:jc w:val="right"/>
            </w:pPr>
            <w:r>
              <w:t xml:space="preserve">4.96</w:t>
            </w:r>
          </w:p>
        </w:tc>
        <w:tc>
          <w:tcPr/>
          <w:p>
            <w:pPr>
              <w:pStyle w:val="Compact"/>
              <w:jc w:val="right"/>
            </w:pPr>
            <w:r>
              <w:t xml:space="preserve">4.74</w:t>
            </w:r>
          </w:p>
        </w:tc>
        <w:tc>
          <w:tcPr/>
          <w:p>
            <w:pPr>
              <w:pStyle w:val="Compact"/>
              <w:jc w:val="right"/>
            </w:pPr>
            <w:r>
              <w:t xml:space="preserve">6.33</w:t>
            </w:r>
          </w:p>
        </w:tc>
        <w:tc>
          <w:tcPr/>
          <w:p>
            <w:pPr>
              <w:pStyle w:val="Compact"/>
              <w:jc w:val="right"/>
            </w:pPr>
            <w:r>
              <w:t xml:space="preserve">10.27</w:t>
            </w:r>
          </w:p>
        </w:tc>
      </w:tr>
      <w:tr>
        <w:tc>
          <w:tcPr/>
          <w:p>
            <w:pPr>
              <w:pStyle w:val="Compact"/>
              <w:jc w:val="left"/>
            </w:pPr>
            <w:r>
              <w:rPr>
                <w:rFonts w:hint="eastAsia"/>
              </w:rPr>
              <w:t xml:space="preserve">模拟峰值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模拟末日价格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高价平台</w:t>
            </w:r>
            <w:r>
              <w:t xml:space="preserve"> RMSE</w:t>
            </w:r>
          </w:p>
        </w:tc>
        <w:tc>
          <w:tcPr/>
          <w:p>
            <w:pPr>
              <w:pStyle w:val="Compact"/>
              <w:jc w:val="right"/>
            </w:pPr>
            <w:r>
              <w:t xml:space="preserve">3.90</w:t>
            </w:r>
          </w:p>
        </w:tc>
        <w:tc>
          <w:tcPr/>
          <w:p>
            <w:pPr>
              <w:pStyle w:val="Compact"/>
              <w:jc w:val="right"/>
            </w:pPr>
            <w:r>
              <w:t xml:space="preserve">3.36</w:t>
            </w:r>
          </w:p>
        </w:tc>
        <w:tc>
          <w:tcPr/>
          <w:p>
            <w:pPr>
              <w:pStyle w:val="Compact"/>
              <w:jc w:val="right"/>
            </w:pPr>
            <w:r>
              <w:t xml:space="preserve">6.84</w:t>
            </w:r>
          </w:p>
        </w:tc>
        <w:tc>
          <w:tcPr/>
          <w:p>
            <w:pPr>
              <w:pStyle w:val="Compact"/>
              <w:jc w:val="right"/>
            </w:pPr>
            <w:r>
              <w:t xml:space="preserve">11.84</w:t>
            </w:r>
          </w:p>
        </w:tc>
      </w:tr>
      <w:tr>
        <w:tc>
          <w:tcPr/>
          <w:p>
            <w:pPr>
              <w:pStyle w:val="Compact"/>
              <w:jc w:val="left"/>
            </w:pPr>
            <w:r>
              <w:rPr>
                <w:rFonts w:hint="eastAsia"/>
              </w:rPr>
              <w:t xml:space="preserve">低价回落</w:t>
            </w:r>
            <w:r>
              <w:t xml:space="preserve"> RMSE</w:t>
            </w:r>
          </w:p>
        </w:tc>
        <w:tc>
          <w:tcPr/>
          <w:p>
            <w:pPr>
              <w:pStyle w:val="Compact"/>
              <w:jc w:val="right"/>
            </w:pPr>
            <w:r>
              <w:t xml:space="preserve">4.98</w:t>
            </w:r>
          </w:p>
        </w:tc>
        <w:tc>
          <w:tcPr/>
          <w:p>
            <w:pPr>
              <w:pStyle w:val="Compact"/>
              <w:jc w:val="right"/>
            </w:pPr>
            <w:r>
              <w:t xml:space="preserve">4.63</w:t>
            </w:r>
          </w:p>
        </w:tc>
        <w:tc>
          <w:tcPr/>
          <w:p>
            <w:pPr>
              <w:pStyle w:val="Compact"/>
              <w:jc w:val="right"/>
            </w:pPr>
            <w:r>
              <w:t xml:space="preserve">7.71</w:t>
            </w:r>
          </w:p>
        </w:tc>
        <w:tc>
          <w:tcPr/>
          <w:p>
            <w:pPr>
              <w:pStyle w:val="Compact"/>
              <w:jc w:val="right"/>
            </w:pPr>
            <w:r>
              <w:t xml:space="preserve">11.60</w:t>
            </w:r>
          </w:p>
        </w:tc>
      </w:tr>
    </w:tbl>
    <w:p>
      <w:pPr>
        <w:pStyle w:val="BodyText"/>
      </w:pPr>
      <w:r>
        <w:rPr>
          <w:rFonts w:hint="eastAsia"/>
        </w:rPr>
        <w:t xml:space="preserve">压力测试显示，在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参数扰动中，61.0%</w:t>
      </w:r>
      <w:r>
        <w:t xml:space="preserve"> </w:t>
      </w:r>
      <w:r>
        <w:rPr>
          <w:rFonts w:hint="eastAsia"/>
        </w:rPr>
        <w:t xml:space="preserve">的样本</w:t>
      </w:r>
      <w:r>
        <w:t xml:space="preserve"> RMSE </w:t>
      </w:r>
      <w:r>
        <w:rPr>
          <w:rFonts w:hint="eastAsia"/>
        </w:rPr>
        <w:t xml:space="preserve">不高于</w:t>
      </w:r>
      <w:r>
        <w:t xml:space="preserve"> </w:t>
      </w:r>
      <w:r>
        <w:rPr>
          <w:rFonts w:hint="eastAsia"/>
        </w:rPr>
        <w:t xml:space="preserve">5，96.6%</w:t>
      </w:r>
      <w:r>
        <w:t xml:space="preserve"> </w:t>
      </w:r>
      <w:r>
        <w:rPr>
          <w:rFonts w:hint="eastAsia"/>
        </w:rPr>
        <w:t xml:space="preserve">的样本模拟峰值落在</w:t>
      </w:r>
      <w:r>
        <w:t xml:space="preserve"> 105–125 </w:t>
      </w:r>
      <w:r>
        <w:rPr>
          <w:rFonts w:hint="eastAsia"/>
        </w:rPr>
        <w:t xml:space="preserve">美元/桶区间，全部样本末日价格落在</w:t>
      </w:r>
      <w:r>
        <w:t xml:space="preserve"> 100–120 </w:t>
      </w:r>
      <w:r>
        <w:rPr>
          <w:rFonts w:hint="eastAsia"/>
        </w:rPr>
        <w:t xml:space="preserve">美元/桶区间。这个结果意味着，价格平台并不依赖唯一一组精确参数点；但较大扰动会削弱</w:t>
      </w:r>
      <w:r>
        <w:t xml:space="preserve"> RMSE </w:t>
      </w:r>
      <w:r>
        <w:rPr>
          <w:rFonts w:hint="eastAsia"/>
        </w:rPr>
        <w:t xml:space="preserve">表现，因此本文只主张模型具有结构性稳健性，不主张任意参数下都能保持高精度。</w:t>
      </w:r>
    </w:p>
    <w:p>
      <w:pPr>
        <w:pStyle w:val="CaptionedFigure"/>
      </w:pPr>
      <w:r>
        <w:drawing>
          <wp:inline>
            <wp:extent cx="4907280" cy="2587474"/>
            <wp:effectExtent b="0" l="0" r="0" t="0"/>
            <wp:docPr descr="" title="" id="96" name="Picture"/>
            <a:graphic>
              <a:graphicData uri="http://schemas.openxmlformats.org/drawingml/2006/picture">
                <pic:pic>
                  <pic:nvPicPr>
                    <pic:cNvPr descr="短期模型稳健性带.png" id="97" name="Picture"/>
                    <pic:cNvPicPr>
                      <a:picLocks noChangeArrowheads="1" noChangeAspect="1"/>
                    </pic:cNvPicPr>
                  </pic:nvPicPr>
                  <pic:blipFill>
                    <a:blip r:embed="rId95"/>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短期模型局部扰动稳健性区间。蓝色区间表示优秀扰动样本的价格分布，红线为综合最优模型，黑线为实际收盘价。</w:t>
      </w:r>
    </w:p>
    <w:p>
      <w:pPr>
        <w:pStyle w:val="BodyText"/>
      </w:pPr>
      <w:r>
        <w:rPr>
          <w:rFonts w:hint="eastAsia"/>
        </w:rPr>
        <w:t xml:space="preserve">围绕综合最优参数进行的</w:t>
      </w:r>
      <w:r>
        <w:t xml:space="preserve"> 800 </w:t>
      </w:r>
      <w:r>
        <w:rPr>
          <w:rFonts w:hint="eastAsia"/>
        </w:rPr>
        <w:t xml:space="preserve">组局部扰动进一步显示，在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的优秀阈值。优秀扰动样本的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美元/桶，说明最优参数附近存在稳定的优秀参数邻域。</w:t>
      </w:r>
    </w:p>
    <w:p>
      <w:pPr>
        <w:pStyle w:val="BodyText"/>
      </w:pPr>
      <w:r>
        <w:rPr>
          <w:rFonts w:hint="eastAsia"/>
        </w:rPr>
        <w:t xml:space="preserve">针对多目标校准权重可能成为隐藏超参数的问题，本文进一步对已保存的前</w:t>
      </w:r>
      <w:r>
        <w:t xml:space="preserve"> 10 </w:t>
      </w:r>
      <w:r>
        <w:rPr>
          <w:rFonts w:hint="eastAsia"/>
        </w:rPr>
        <w:t xml:space="preserve">个候选参数进行权重敏感性重排。将峰值误差、末日误差、分段</w:t>
      </w:r>
      <w:r>
        <w:t xml:space="preserve"> RMSE </w:t>
      </w:r>
      <w:r>
        <w:rPr>
          <w:rFonts w:hint="eastAsia"/>
        </w:rPr>
        <w:t xml:space="preserve">等权重整体上调或下调</w:t>
      </w:r>
      <w:r>
        <w:t xml:space="preserve"> </w:t>
      </w:r>
      <w:r>
        <w:rPr>
          <w:rFonts w:hint="eastAsia"/>
        </w:rPr>
        <w:t xml:space="preserve">20%，并分别强化峰值末日、分段误差和平台误差后，当前综合最优候选在</w:t>
      </w:r>
      <w:r>
        <w:t xml:space="preserve"> 6/6 </w:t>
      </w:r>
      <w:r>
        <w:rPr>
          <w:rFonts w:hint="eastAsia"/>
        </w:rPr>
        <w:t xml:space="preserve">个权重情景下仍保持第一。该检验不等同于重新全局校准，但说明当前候选并非只依赖某一组精确权重偶然胜出。</w:t>
      </w:r>
    </w:p>
    <w:p>
      <w:pPr>
        <w:pStyle w:val="BodyText"/>
      </w:pPr>
      <w:r>
        <w:rPr>
          <w:rFonts w:hint="eastAsia"/>
        </w:rPr>
        <w:t xml:space="preserve">最后，本文将短期模型质量拆成拟合精度、基准优势、机器学习辅助、历史滚动验证、滞后复制风险、拐点解释、分段稳定性、参数稳健性和残差结构九个维度，形成最终质量闸门。当前平均评分为</w:t>
      </w:r>
      <w:r>
        <w:t xml:space="preserve"> </w:t>
      </w:r>
      <w:r>
        <w:rPr>
          <w:rFonts w:hint="eastAsia"/>
        </w:rPr>
        <w:t xml:space="preserve">4.54/5，其中</w:t>
      </w:r>
      <w:r>
        <w:t xml:space="preserve"> 5 </w:t>
      </w:r>
      <w:r>
        <w:rPr>
          <w:rFonts w:hint="eastAsia"/>
        </w:rPr>
        <w:t xml:space="preserve">个维度直接通过、4</w:t>
      </w:r>
      <w:r>
        <w:t xml:space="preserve"> </w:t>
      </w:r>
      <w:r>
        <w:rPr>
          <w:rFonts w:hint="eastAsia"/>
        </w:rPr>
        <w:t xml:space="preserve">个维度谨慎通过。谨慎通过项主要对应机器学习辅助的边界、拐点幅度不能完全捕捉以及金融残差的波动聚集迹象；这些并不推翻主模型，而是限定了论文表述边界。</w:t>
      </w:r>
    </w:p>
    <w:p>
      <w:pPr>
        <w:pStyle w:val="CaptionedFigure"/>
      </w:pPr>
      <w:r>
        <w:drawing>
          <wp:inline>
            <wp:extent cx="4160520" cy="3874484"/>
            <wp:effectExtent b="0" l="0" r="0" t="0"/>
            <wp:docPr descr="" title="" id="99" name="Picture"/>
            <a:graphic>
              <a:graphicData uri="http://schemas.openxmlformats.org/drawingml/2006/picture">
                <pic:pic>
                  <pic:nvPicPr>
                    <pic:cNvPr descr="短期模型最终质量雷达图.png" id="100" name="Picture"/>
                    <pic:cNvPicPr>
                      <a:picLocks noChangeArrowheads="1" noChangeAspect="1"/>
                    </pic:cNvPicPr>
                  </pic:nvPicPr>
                  <pic:blipFill>
                    <a:blip r:embed="rId98"/>
                    <a:stretch>
                      <a:fillRect/>
                    </a:stretch>
                  </pic:blipFill>
                  <pic:spPr bwMode="auto">
                    <a:xfrm>
                      <a:off x="0" y="0"/>
                      <a:ext cx="4160520" cy="3874484"/>
                    </a:xfrm>
                    <a:prstGeom prst="rect">
                      <a:avLst/>
                    </a:prstGeom>
                    <a:noFill/>
                    <a:ln w="9525">
                      <a:noFill/>
                      <a:headEnd/>
                      <a:tailEnd/>
                    </a:ln>
                  </pic:spPr>
                </pic:pic>
              </a:graphicData>
            </a:graphic>
          </wp:inline>
        </w:drawing>
      </w:r>
    </w:p>
    <w:p>
      <w:pPr>
        <w:pStyle w:val="ImageCaption"/>
      </w:pPr>
      <w:r>
        <w:rPr>
          <w:rFonts w:hint="eastAsia"/>
        </w:rPr>
        <w:t xml:space="preserve">短期模型最终质量闸门评分。该图用于汇总短期模型在拟合、基准、稳健性和边界检验上的综合表现。</w:t>
      </w:r>
    </w:p>
    <w:bookmarkEnd w:id="101"/>
    <w:bookmarkStart w:id="102" w:name="内生性反事实基准与结构边界"/>
    <w:p>
      <w:pPr>
        <w:pStyle w:val="Heading2"/>
      </w:pPr>
      <w:r>
        <w:rPr>
          <w:rFonts w:hint="eastAsia"/>
        </w:rPr>
        <w:t xml:space="preserve">内生性、反事实基准与结构边界</w:t>
      </w:r>
    </w:p>
    <w:p>
      <w:pPr>
        <w:pStyle w:val="FirstParagraph"/>
      </w:pPr>
      <w:r>
        <w:rPr>
          <w:rFonts w:hint="eastAsia"/>
        </w:rPr>
        <w:t xml:space="preserve">关于恐慌变量的内生性问题，本文当前没有使用</w:t>
      </w:r>
      <w:r>
        <w:t xml:space="preserve"> AI Agent </w:t>
      </w:r>
      <w:r>
        <w:rPr>
          <w:rFonts w:hint="eastAsia"/>
        </w:rPr>
        <w:t xml:space="preserve">新闻爬虫数据，也没有把新闻情绪序列作为模型输入。模型中的恐慌初始强度和恐慌衰减速度只是用于刻画冲突初期风险溢价衰减的校准参数，而不是由新闻文本统计得到的外生恐慌指数。因此，</w:t>
      </w:r>
      <w:r>
        <w:rPr>
          <w:rFonts w:hint="eastAsia"/>
        </w:rPr>
        <w:t xml:space="preserve">“油价上涨导致新闻恐慌、新闻恐慌再解释油价上涨”</w:t>
      </w:r>
      <w:r>
        <w:rPr>
          <w:rFonts w:hint="eastAsia"/>
        </w:rPr>
        <w:t xml:space="preserve">的同日反馈循环并不构成当前模型的直接识别问题。若后续加入新闻情绪模块，则必须使用</w:t>
      </w:r>
      <w:r>
        <w:t xml:space="preserve"> </w:t>
      </w:r>
      <m:oMath>
        <m:r>
          <m:t>t</m:t>
        </m:r>
        <m:r>
          <m:rPr>
            <m:sty m:val="p"/>
          </m:rPr>
          <m:t>−</m:t>
        </m:r>
        <m:r>
          <m:t>1</m:t>
        </m:r>
      </m:oMath>
      <w:r>
        <w:t xml:space="preserve"> </w:t>
      </w:r>
      <w:r>
        <w:rPr>
          <w:rFonts w:hint="eastAsia"/>
        </w:rPr>
        <w:t xml:space="preserve">期或闭市前新闻解释</w:t>
      </w:r>
      <w:r>
        <w:t xml:space="preserve"> </w:t>
      </w:r>
      <m:oMath>
        <m:r>
          <m:t>t</m:t>
        </m:r>
      </m:oMath>
      <w:r>
        <w:t xml:space="preserve"> </w:t>
      </w:r>
      <w:r>
        <w:rPr>
          <w:rFonts w:hint="eastAsia"/>
        </w:rPr>
        <w:t xml:space="preserve">日价格，并进行格兰杰因果或滞后相关检验，不能直接把当日新闻情绪当作外生预测变量。</w:t>
      </w:r>
    </w:p>
    <w:p>
      <w:pPr>
        <w:pStyle w:val="BodyText"/>
      </w:pPr>
      <w:r>
        <w:rPr>
          <w:rFonts w:hint="eastAsia"/>
        </w:rPr>
        <w:t xml:space="preserve">关于</w:t>
      </w:r>
      <w:r>
        <w:t xml:space="preserve"> 200 </w:t>
      </w:r>
      <w:r>
        <w:rPr>
          <w:rFonts w:hint="eastAsia"/>
        </w:rPr>
        <w:t xml:space="preserve">美元以上反事实基准，本文也不把它写成现实市场必然价格。传统供需模型的高价结果来自低短期弹性条件下的线性需求反事实基准，而不是现实预测；常弹性需求口径只作为机械上界参照。弹性敏感性检验显示，当需求价格弹性由</w:t>
      </w:r>
      <w:r>
        <w:t xml:space="preserve"> </w:t>
      </w:r>
      <m:oMath>
        <m:r>
          <m:rPr>
            <m:sty m:val="p"/>
          </m:rPr>
          <m:t>−</m:t>
        </m:r>
        <m:r>
          <m:t>0.05</m:t>
        </m:r>
      </m:oMath>
      <w:r>
        <w:t xml:space="preserve"> </w:t>
      </w:r>
      <w:r>
        <w:rPr>
          <w:rFonts w:hint="eastAsia"/>
        </w:rPr>
        <w:t xml:space="preserve">放宽至</w:t>
      </w:r>
      <w:r>
        <w:t xml:space="preserve"> </w:t>
      </w:r>
      <m:oMath>
        <m:r>
          <m:rPr>
            <m:sty m:val="p"/>
          </m:rPr>
          <m:t>−</m:t>
        </m:r>
        <m:r>
          <m:t>0.25</m:t>
        </m:r>
      </m:oMath>
      <w:r>
        <w:t xml:space="preserve"> </w:t>
      </w:r>
      <w:r>
        <w:rPr>
          <w:rFonts w:hint="eastAsia"/>
        </w:rPr>
        <w:t xml:space="preserve">或</w:t>
      </w:r>
      <w:r>
        <w:t xml:space="preserve"> </w:t>
      </w:r>
      <m:oMath>
        <m:r>
          <m:rPr>
            <m:sty m:val="p"/>
          </m:rPr>
          <m:t>−</m:t>
        </m:r>
        <m:r>
          <m:t>0.35</m:t>
        </m:r>
      </m:oMath>
      <w:r>
        <w:t xml:space="preserve"> </w:t>
      </w:r>
      <w:r>
        <w:rPr>
          <w:rFonts w:hint="eastAsia"/>
        </w:rPr>
        <w:t xml:space="preserve">时，线性需求反事实价格会明显下降，部分情景已经接近或低于</w:t>
      </w:r>
      <w:r>
        <w:t xml:space="preserve"> 120 </w:t>
      </w:r>
      <w:r>
        <w:rPr>
          <w:rFonts w:hint="eastAsia"/>
        </w:rPr>
        <w:t xml:space="preserve">美元/桶。因此，本文真正要论证的不是</w:t>
      </w:r>
      <w:r>
        <w:rPr>
          <w:rFonts w:hint="eastAsia"/>
        </w:rPr>
        <w:t xml:space="preserve">“油价必然应该超过</w:t>
      </w:r>
      <w:r>
        <w:t xml:space="preserve"> 200 </w:t>
      </w:r>
      <w:r>
        <w:rPr>
          <w:rFonts w:hint="eastAsia"/>
        </w:rPr>
        <w:t xml:space="preserve">美元”</w:t>
      </w:r>
      <w:r>
        <w:rPr>
          <w:rFonts w:hint="eastAsia"/>
        </w:rPr>
        <w:t xml:space="preserve">，而是</w:t>
      </w:r>
      <w:r>
        <w:rPr>
          <w:rFonts w:hint="eastAsia"/>
        </w:rPr>
        <w:t xml:space="preserve">“低短期弹性静态供需模型会显著高估现实价格，必须引入库存、SPR、绕道、需求收缩、价格传导折价和预期修复等动态机制解释现实平台”</w:t>
      </w:r>
      <w:r>
        <w:t xml:space="preserve">。</w:t>
      </w:r>
    </w:p>
    <w:p>
      <w:pPr>
        <w:pStyle w:val="BodyText"/>
      </w:pPr>
      <w:r>
        <w:rPr>
          <w:rFonts w:hint="eastAsia"/>
        </w:rPr>
        <w:t xml:space="preserve">最后，本文检查递推结构的价格边界。短期动态递推函数中不存在</w:t>
      </w:r>
      <w:r>
        <w:t xml:space="preserve"> </w:t>
      </w:r>
      <m:oMath>
        <m:sSub>
          <m:e>
            <m:r>
              <m:t>P</m:t>
            </m:r>
          </m:e>
          <m:sub>
            <m:r>
              <m:t>t</m:t>
            </m:r>
          </m:sub>
        </m:sSub>
        <m:r>
          <m:rPr>
            <m:sty m:val="p"/>
          </m:rPr>
          <m:t>&gt;</m:t>
        </m:r>
        <m:r>
          <m:t>120</m:t>
        </m:r>
      </m:oMath>
      <w:r>
        <w:t xml:space="preserve"> </w:t>
      </w:r>
      <w:r>
        <w:rPr>
          <w:rFonts w:hint="eastAsia"/>
        </w:rPr>
        <w:t xml:space="preserve">后强制压低价格的条件分支，也没有将</w:t>
      </w:r>
      <w:r>
        <w:t xml:space="preserve"> 120 </w:t>
      </w:r>
      <w:r>
        <w:rPr>
          <w:rFonts w:hint="eastAsia"/>
        </w:rPr>
        <w:t xml:space="preserve">美元设置为价格上限。模型中的数值安全裁剪上限为</w:t>
      </w:r>
      <w:r>
        <w:t xml:space="preserve"> 180 </w:t>
      </w:r>
      <w:r>
        <w:rPr>
          <w:rFonts w:hint="eastAsia"/>
        </w:rPr>
        <w:t xml:space="preserve">美元/桶，校准路径中从未触发；110–120</w:t>
      </w:r>
      <w:r>
        <w:t xml:space="preserve"> </w:t>
      </w:r>
      <w:r>
        <w:rPr>
          <w:rFonts w:hint="eastAsia"/>
        </w:rPr>
        <w:t xml:space="preserve">美元只作为题面观测参考区间出现在图表阴影和展示配置中，不参与价格递推计算。需要强调的是，当前模型也不是严格意义上的微观多智能体涌现模型，更准确的表述应是机制递推模型；本文可以说明</w:t>
      </w:r>
      <w:r>
        <w:t xml:space="preserve"> 120 </w:t>
      </w:r>
      <w:r>
        <w:rPr>
          <w:rFonts w:hint="eastAsia"/>
        </w:rPr>
        <w:t xml:space="preserve">美元平台不是外生价格上限，但不声称已经实现了多智能体动态纳什均衡。</w:t>
      </w:r>
    </w:p>
    <w:bookmarkEnd w:id="102"/>
    <w:bookmarkStart w:id="104" w:name="鲁棒性与边界检验总览"/>
    <w:p>
      <w:pPr>
        <w:pStyle w:val="Heading2"/>
      </w:pPr>
      <w:r>
        <w:rPr>
          <w:rFonts w:hint="eastAsia"/>
        </w:rPr>
        <w:t xml:space="preserve">鲁棒性与边界检验总览</w:t>
      </w:r>
    </w:p>
    <w:p>
      <w:pPr>
        <w:pStyle w:val="FirstParagraph"/>
      </w:pPr>
      <w:r>
        <w:rPr>
          <w:rFonts w:hint="eastAsia"/>
        </w:rPr>
        <w:t xml:space="preserve">为避免模型检验只呈现有利指标，本文将关键不确定性来源转化为鲁棒性与边界检验。表</w:t>
      </w:r>
      <w:r>
        <w:t xml:space="preserve"> </w:t>
      </w:r>
      <w:hyperlink w:anchor="tab:adversarial-tests">
        <w:r>
          <w:rPr>
            <w:rStyle w:val="Hyperlink"/>
          </w:rPr>
          <w:t xml:space="preserve">3</w:t>
        </w:r>
      </w:hyperlink>
      <w:r>
        <w:t xml:space="preserve"> </w:t>
      </w:r>
      <w:r>
        <w:rPr>
          <w:rFonts w:hint="eastAsia"/>
        </w:rPr>
        <w:t xml:space="preserve">中的检验均不重新寻找最优参数，而是在同一模型框架下改变某个关键条件，观察主结论是否保持稳定。</w:t>
      </w:r>
    </w:p>
    <w:bookmarkStart w:id="103" w:name="tab:adversarial-tests"/>
    <w:p>
      <w:pPr>
        <w:pStyle w:val="TableCaption"/>
      </w:pPr>
      <w:r>
        <w:rPr>
          <w:rFonts w:hint="eastAsia"/>
        </w:rPr>
        <w:t xml:space="preserve">鲁棒性与边界检验总览</w:t>
      </w:r>
    </w:p>
    <w:tbl>
      <w:tblPr>
        <w:tblStyle w:val="Table"/>
        <w:tblW w:type="auto" w:w="0"/>
        <w:tblLook w:firstRow="1" w:lastRow="0" w:firstColumn="0" w:lastColumn="0" w:noHBand="0" w:noVBand="0" w:val="0020"/>
        <w:tblCaption w:val="鲁棒性与边界检验总览"/>
      </w:tblPr>
      <w:tblGrid>
        <w:gridCol w:w="1980"/>
        <w:gridCol w:w="1980"/>
        <w:gridCol w:w="1980"/>
        <w:gridCol w:w="1980"/>
      </w:tblGrid>
      <w:tr>
        <w:trPr>
          <w:tblHeader w:val="on"/>
        </w:trPr>
        <w:tc>
          <w:tcPr/>
          <w:p>
            <w:pPr>
              <w:pStyle w:val="Compact"/>
              <w:jc w:val="left"/>
            </w:pPr>
            <w:r>
              <w:rPr>
                <w:rFonts w:hint="eastAsia"/>
              </w:rPr>
              <w:t xml:space="preserve">检验假设</w:t>
            </w:r>
          </w:p>
        </w:tc>
        <w:tc>
          <w:tcPr/>
          <w:p>
            <w:pPr>
              <w:pStyle w:val="Compact"/>
              <w:jc w:val="left"/>
            </w:pPr>
            <w:r>
              <w:rPr>
                <w:rFonts w:hint="eastAsia"/>
              </w:rPr>
              <w:t xml:space="preserve">检验方式</w:t>
            </w:r>
          </w:p>
        </w:tc>
        <w:tc>
          <w:tcPr/>
          <w:p>
            <w:pPr>
              <w:pStyle w:val="Compact"/>
              <w:jc w:val="left"/>
            </w:pPr>
            <w:r>
              <w:rPr>
                <w:rFonts w:hint="eastAsia"/>
              </w:rPr>
              <w:t xml:space="preserve">关键结果</w:t>
            </w:r>
          </w:p>
        </w:tc>
        <w:tc>
          <w:tcPr/>
          <w:p>
            <w:pPr>
              <w:pStyle w:val="Compact"/>
              <w:jc w:val="left"/>
            </w:pPr>
            <w:r>
              <w:rPr>
                <w:rFonts w:hint="eastAsia"/>
              </w:rPr>
              <w:t xml:space="preserve">论文含义</w:t>
            </w:r>
          </w:p>
        </w:tc>
      </w:tr>
      <w:tr>
        <w:tc>
          <w:tcPr/>
          <w:p>
            <w:pPr>
              <w:pStyle w:val="Compact"/>
              <w:jc w:val="left"/>
            </w:pPr>
            <w:r>
              <w:rPr>
                <w:rFonts w:hint="eastAsia"/>
              </w:rPr>
              <w:t xml:space="preserve">相对朴素基准的有效性</w:t>
            </w:r>
          </w:p>
        </w:tc>
        <w:tc>
          <w:tcPr/>
          <w:p>
            <w:pPr>
              <w:pStyle w:val="Compact"/>
              <w:jc w:val="left"/>
            </w:pPr>
            <w:r>
              <w:rPr>
                <w:rFonts w:hint="eastAsia"/>
              </w:rPr>
              <w:t xml:space="preserve">与上一日价格、三日均值、漂移随机游走和滚动</w:t>
            </w:r>
            <w:r>
              <w:t xml:space="preserve"> ARIMA </w:t>
            </w:r>
            <w:r>
              <w:rPr>
                <w:rFonts w:hint="eastAsia"/>
              </w:rPr>
              <w:t xml:space="preserve">比较</w:t>
            </w:r>
          </w:p>
        </w:tc>
        <w:tc>
          <w:tcPr/>
          <w:p>
            <w:pPr>
              <w:pStyle w:val="Compact"/>
              <w:jc w:val="left"/>
            </w:pPr>
            <w:r>
              <w:rPr>
                <w:rFonts w:hint="eastAsia"/>
              </w:rPr>
              <w:t xml:space="preserve">可比样本</w:t>
            </w:r>
            <w:r>
              <w:t xml:space="preserve"> RMSE </w:t>
            </w:r>
            <w:r>
              <w:rPr>
                <w:rFonts w:hint="eastAsia"/>
              </w:rPr>
              <w:t xml:space="preserve">为</w:t>
            </w:r>
            <w:r>
              <w:t xml:space="preserve"> </w:t>
            </w:r>
            <w:r>
              <w:rPr>
                <w:rFonts w:hint="eastAsia"/>
              </w:rPr>
              <w:t xml:space="preserve">3.47，朴素基准为</w:t>
            </w:r>
            <w:r>
              <w:t xml:space="preserve"> </w:t>
            </w:r>
            <w:r>
              <w:rPr>
                <w:rFonts w:hint="eastAsia"/>
              </w:rPr>
              <w:t xml:space="preserve">4.52；DM</w:t>
            </w:r>
            <w:r>
              <w:t xml:space="preserve"> </w:t>
            </w:r>
            <w:r>
              <w:rPr>
                <w:rFonts w:hint="eastAsia"/>
              </w:rPr>
              <w:t xml:space="preserve">平方损失单侧</w:t>
            </w:r>
            <w:r>
              <w:t xml:space="preserve"> </w:t>
            </w:r>
            <m:oMath>
              <m:r>
                <m:t>p</m:t>
              </m:r>
              <m:r>
                <m:rPr>
                  <m:sty m:val="p"/>
                </m:rPr>
                <m:t>=</m:t>
              </m:r>
              <m:r>
                <m:t>0.023</m:t>
              </m:r>
            </m:oMath>
          </w:p>
        </w:tc>
        <w:tc>
          <w:tcPr/>
          <w:p>
            <w:pPr>
              <w:pStyle w:val="Compact"/>
              <w:jc w:val="left"/>
            </w:pPr>
            <w:r>
              <w:rPr>
                <w:rFonts w:hint="eastAsia"/>
              </w:rPr>
              <w:t xml:space="preserve">机制递推模型相对无变化预测具有误差优势</w:t>
            </w:r>
          </w:p>
        </w:tc>
      </w:tr>
      <w:tr>
        <w:tc>
          <w:tcPr/>
          <w:p>
            <w:pPr>
              <w:pStyle w:val="Compact"/>
              <w:jc w:val="left"/>
            </w:pPr>
            <w:r>
              <w:rPr>
                <w:rFonts w:hint="eastAsia"/>
              </w:rPr>
              <w:t xml:space="preserve">滞后复制风险</w:t>
            </w:r>
          </w:p>
        </w:tc>
        <w:tc>
          <w:tcPr/>
          <w:p>
            <w:pPr>
              <w:pStyle w:val="Compact"/>
              <w:jc w:val="left"/>
            </w:pPr>
            <w:r>
              <w:rPr>
                <w:rFonts w:hint="eastAsia"/>
              </w:rPr>
              <w:t xml:space="preserve">平移检验、拐点局部检验和残差自相关检验</w:t>
            </w:r>
          </w:p>
        </w:tc>
        <w:tc>
          <w:tcPr/>
          <w:p>
            <w:pPr>
              <w:pStyle w:val="Compact"/>
              <w:jc w:val="left"/>
            </w:pPr>
            <w:r>
              <w:t xml:space="preserve">Ljung–Box lag10</w:t>
            </w:r>
            <w:r>
              <w:t xml:space="preserve"> </w:t>
            </w:r>
            <m:oMath>
              <m:r>
                <m:t>p</m:t>
              </m:r>
              <m:r>
                <m:rPr>
                  <m:sty m:val="p"/>
                </m:rPr>
                <m:t>=</m:t>
              </m:r>
              <m:r>
                <m:t>0.364</m:t>
              </m:r>
            </m:oMath>
            <w:r>
              <w:rPr>
                <w:rFonts w:hint="eastAsia"/>
              </w:rPr>
              <w:t xml:space="preserve">，未发现显著线性残差自相关</w:t>
            </w:r>
          </w:p>
        </w:tc>
        <w:tc>
          <w:tcPr/>
          <w:p>
            <w:pPr>
              <w:pStyle w:val="Compact"/>
              <w:jc w:val="left"/>
            </w:pPr>
            <w:r>
              <w:rPr>
                <w:rFonts w:hint="eastAsia"/>
              </w:rPr>
              <w:t xml:space="preserve">拟合曲线没有明显依赖</w:t>
            </w:r>
            <w:r>
              <w:rPr>
                <w:rFonts w:hint="eastAsia"/>
              </w:rPr>
              <w:t xml:space="preserve">“昨天当今天”</w:t>
            </w:r>
            <w:r>
              <w:rPr>
                <w:rFonts w:hint="eastAsia"/>
              </w:rPr>
              <w:t xml:space="preserve">的滞后复制</w:t>
            </w:r>
          </w:p>
        </w:tc>
      </w:tr>
      <w:tr>
        <w:tc>
          <w:tcPr/>
          <w:p>
            <w:pPr>
              <w:pStyle w:val="Compact"/>
              <w:jc w:val="left"/>
            </w:pPr>
            <w:r>
              <w:rPr>
                <w:rFonts w:hint="eastAsia"/>
              </w:rPr>
              <w:t xml:space="preserve">题面弹性与价格传导的区分</w:t>
            </w:r>
          </w:p>
        </w:tc>
        <w:tc>
          <w:tcPr/>
          <w:p>
            <w:pPr>
              <w:pStyle w:val="Compact"/>
              <w:jc w:val="left"/>
            </w:pPr>
            <w:r>
              <w:rPr>
                <w:rFonts w:hint="eastAsia"/>
              </w:rPr>
              <w:t xml:space="preserve">将价格传导系数强制设为</w:t>
            </w:r>
            <w:r>
              <w:t xml:space="preserve"> </w:t>
            </w:r>
            <m:oMath>
              <m:r>
                <m:t>ϕ</m:t>
              </m:r>
              <m:r>
                <m:rPr>
                  <m:sty m:val="p"/>
                </m:rPr>
                <m:t>=</m:t>
              </m:r>
              <m:r>
                <m:t>1</m:t>
              </m:r>
            </m:oMath>
          </w:p>
        </w:tc>
        <w:tc>
          <w:tcPr/>
          <w:p>
            <w:pPr>
              <w:pStyle w:val="Compact"/>
              <w:jc w:val="left"/>
            </w:pPr>
            <w:r>
              <w:t xml:space="preserve">RMSE </w:t>
            </w:r>
            <w:r>
              <w:rPr>
                <w:rFonts w:hint="eastAsia"/>
              </w:rPr>
              <w:t xml:space="preserve">升至</w:t>
            </w:r>
            <w:r>
              <w:t xml:space="preserve"> </w:t>
            </w:r>
            <w:r>
              <w:rPr>
                <w:rFonts w:hint="eastAsia"/>
              </w:rPr>
              <w:t xml:space="preserve">26.55，模拟峰值升至</w:t>
            </w:r>
            <w:r>
              <w:t xml:space="preserve"> 166.84 </w:t>
            </w:r>
            <w:r>
              <w:rPr>
                <w:rFonts w:hint="eastAsia"/>
              </w:rPr>
              <w:t xml:space="preserve">美元/桶</w:t>
            </w:r>
          </w:p>
        </w:tc>
        <w:tc>
          <w:tcPr/>
          <w:p>
            <w:pPr>
              <w:pStyle w:val="Compact"/>
              <w:jc w:val="left"/>
            </w:pPr>
            <w:r>
              <w:rPr>
                <w:rFonts w:hint="eastAsia"/>
              </w:rPr>
              <w:t xml:space="preserve">题面低弹性用于反事实上界，</w:t>
            </w:r>
            <m:oMath>
              <m:r>
                <m:t>ϕ</m:t>
              </m:r>
            </m:oMath>
            <w:r>
              <w:t xml:space="preserve"> </w:t>
            </w:r>
            <w:r>
              <w:rPr>
                <w:rFonts w:hint="eastAsia"/>
              </w:rPr>
              <w:t xml:space="preserve">是期货市场折价传导参数</w:t>
            </w:r>
          </w:p>
        </w:tc>
      </w:tr>
      <w:tr>
        <w:tc>
          <w:tcPr/>
          <w:p>
            <w:pPr>
              <w:pStyle w:val="Compact"/>
              <w:jc w:val="left"/>
            </w:pPr>
            <w:r>
              <w:rPr>
                <w:rFonts w:hint="eastAsia"/>
              </w:rPr>
              <w:t xml:space="preserve">参数扰动稳定性</w:t>
            </w:r>
          </w:p>
        </w:tc>
        <w:tc>
          <w:tcPr/>
          <w:p>
            <w:pPr>
              <w:pStyle w:val="Compact"/>
              <w:jc w:val="left"/>
            </w:pPr>
            <w:r>
              <w:t xml:space="preserve">1000 </w:t>
            </w:r>
            <w:r>
              <w:rPr>
                <w:rFonts w:hint="eastAsia"/>
              </w:rPr>
              <w:t xml:space="preserve">组</w:t>
            </w:r>
            <w:r>
              <w:t xml:space="preserve"> </w:t>
            </w:r>
            <m:oMath>
              <m:r>
                <m:rPr>
                  <m:sty m:val="p"/>
                </m:rPr>
                <m:t>±</m:t>
              </m:r>
              <m:r>
                <m:t>15</m:t>
              </m:r>
              <m:r>
                <m:rPr>
                  <m:sty m:val="p"/>
                </m:rPr>
                <m:t>%</m:t>
              </m:r>
            </m:oMath>
            <w:r>
              <w:t xml:space="preserve"> </w:t>
            </w:r>
            <w:r>
              <w:rPr>
                <w:rFonts w:hint="eastAsia"/>
              </w:rPr>
              <w:t xml:space="preserve">扰动和</w:t>
            </w:r>
            <w:r>
              <w:t xml:space="preserve"> 800 </w:t>
            </w:r>
            <w:r>
              <w:rPr>
                <w:rFonts w:hint="eastAsia"/>
              </w:rPr>
              <w:t xml:space="preserve">组局部扰动</w:t>
            </w:r>
          </w:p>
        </w:tc>
        <w:tc>
          <w:tcPr/>
          <w:p>
            <w:pPr>
              <w:pStyle w:val="Compact"/>
              <w:jc w:val="left"/>
            </w:pPr>
            <w:r>
              <w:t xml:space="preserve">96.6% </w:t>
            </w:r>
            <w:r>
              <w:rPr>
                <w:rFonts w:hint="eastAsia"/>
              </w:rPr>
              <w:t xml:space="preserve">扰动样本峰值仍在</w:t>
            </w:r>
            <w:r>
              <w:t xml:space="preserve"> 105–125 </w:t>
            </w:r>
            <w:r>
              <w:rPr>
                <w:rFonts w:hint="eastAsia"/>
              </w:rPr>
              <w:t xml:space="preserve">美元/桶，局部优秀率</w:t>
            </w:r>
            <w:r>
              <w:t xml:space="preserve"> 99.4%</w:t>
            </w:r>
          </w:p>
        </w:tc>
        <w:tc>
          <w:tcPr/>
          <w:p>
            <w:pPr>
              <w:pStyle w:val="Compact"/>
              <w:jc w:val="left"/>
            </w:pPr>
            <w:r>
              <w:rPr>
                <w:rFonts w:hint="eastAsia"/>
              </w:rPr>
              <w:t xml:space="preserve">价格平台不依赖唯一一组参数点</w:t>
            </w:r>
          </w:p>
        </w:tc>
      </w:tr>
      <w:tr>
        <w:tc>
          <w:tcPr/>
          <w:p>
            <w:pPr>
              <w:pStyle w:val="Compact"/>
              <w:jc w:val="left"/>
            </w:pPr>
            <w:r>
              <w:rPr>
                <w:rFonts w:hint="eastAsia"/>
              </w:rPr>
              <w:t xml:space="preserve">长期点预测边界</w:t>
            </w:r>
          </w:p>
        </w:tc>
        <w:tc>
          <w:tcPr/>
          <w:p>
            <w:pPr>
              <w:pStyle w:val="Compact"/>
              <w:jc w:val="left"/>
            </w:pPr>
            <w:r>
              <w:rPr>
                <w:rFonts w:hint="eastAsia"/>
              </w:rPr>
              <w:t xml:space="preserve">蒙特卡洛</w:t>
            </w:r>
            <w:r>
              <w:t xml:space="preserve"> 2000 </w:t>
            </w:r>
            <w:r>
              <w:rPr>
                <w:rFonts w:hint="eastAsia"/>
              </w:rPr>
              <w:t xml:space="preserve">条条件路径与三情景中心线对比</w:t>
            </w:r>
          </w:p>
        </w:tc>
        <w:tc>
          <w:tcPr/>
          <w:p>
            <w:pPr>
              <w:pStyle w:val="Compact"/>
              <w:jc w:val="left"/>
            </w:pPr>
            <w:r>
              <w:rPr>
                <w:rFonts w:hint="eastAsia"/>
              </w:rPr>
              <w:t xml:space="preserve">第</w:t>
            </w:r>
            <w:r>
              <w:t xml:space="preserve"> 180 </w:t>
            </w:r>
            <w:r>
              <w:rPr>
                <w:rFonts w:hint="eastAsia"/>
              </w:rPr>
              <w:t xml:space="preserve">天</w:t>
            </w:r>
            <w:r>
              <w:t xml:space="preserve"> P05–P95 </w:t>
            </w:r>
            <w:r>
              <w:rPr>
                <w:rFonts w:hint="eastAsia"/>
              </w:rPr>
              <w:t xml:space="preserve">为</w:t>
            </w:r>
            <w:r>
              <w:t xml:space="preserve"> 89.58–106.44 </w:t>
            </w:r>
            <w:r>
              <w:rPr>
                <w:rFonts w:hint="eastAsia"/>
              </w:rPr>
              <w:t xml:space="preserve">美元/桶，突破</w:t>
            </w:r>
            <w:r>
              <w:t xml:space="preserve"> 120 </w:t>
            </w:r>
            <w:r>
              <w:rPr>
                <w:rFonts w:hint="eastAsia"/>
              </w:rPr>
              <w:t xml:space="preserve">概率约</w:t>
            </w:r>
            <w:r>
              <w:t xml:space="preserve"> 16.3%</w:t>
            </w:r>
          </w:p>
        </w:tc>
        <w:tc>
          <w:tcPr/>
          <w:p>
            <w:pPr>
              <w:pStyle w:val="Compact"/>
              <w:jc w:val="left"/>
            </w:pPr>
            <w:r>
              <w:rPr>
                <w:rFonts w:hint="eastAsia"/>
              </w:rPr>
              <w:t xml:space="preserve">长期结论应读作条件区间和尾部风险，而非精确日度预测</w:t>
            </w:r>
          </w:p>
        </w:tc>
      </w:tr>
      <w:tr>
        <w:tc>
          <w:tcPr/>
          <w:p>
            <w:pPr>
              <w:pStyle w:val="Compact"/>
              <w:jc w:val="left"/>
            </w:pPr>
            <w:r>
              <w:rPr>
                <w:rFonts w:hint="eastAsia"/>
              </w:rPr>
              <w:t xml:space="preserve">长期制度风险边界</w:t>
            </w:r>
          </w:p>
        </w:tc>
        <w:tc>
          <w:tcPr/>
          <w:p>
            <w:pPr>
              <w:pStyle w:val="Compact"/>
              <w:jc w:val="left"/>
            </w:pPr>
            <w:r>
              <w:rPr>
                <w:rFonts w:hint="eastAsia"/>
              </w:rPr>
              <w:t xml:space="preserve">将不确定性溢价减半或随时间强制衰减</w:t>
            </w:r>
          </w:p>
        </w:tc>
        <w:tc>
          <w:tcPr/>
          <w:p>
            <w:pPr>
              <w:pStyle w:val="Compact"/>
              <w:jc w:val="left"/>
            </w:pPr>
            <w:r>
              <w:rPr>
                <w:rFonts w:hint="eastAsia"/>
              </w:rPr>
              <w:t xml:space="preserve">中性第</w:t>
            </w:r>
            <w:r>
              <w:t xml:space="preserve"> 180 </w:t>
            </w:r>
            <w:r>
              <w:rPr>
                <w:rFonts w:hint="eastAsia"/>
              </w:rPr>
              <w:t xml:space="preserve">天降至</w:t>
            </w:r>
            <w:r>
              <w:t xml:space="preserve"> 89.15 </w:t>
            </w:r>
            <w:r>
              <w:rPr>
                <w:rFonts w:hint="eastAsia"/>
              </w:rPr>
              <w:t xml:space="preserve">或</w:t>
            </w:r>
            <w:r>
              <w:t xml:space="preserve"> 87.82 </w:t>
            </w:r>
            <w:r>
              <w:rPr>
                <w:rFonts w:hint="eastAsia"/>
              </w:rPr>
              <w:t xml:space="preserve">美元/桶，悲观仍保留</w:t>
            </w:r>
            <w:r>
              <w:t xml:space="preserve"> 99.80–101.27 </w:t>
            </w:r>
            <w:r>
              <w:rPr>
                <w:rFonts w:hint="eastAsia"/>
              </w:rPr>
              <w:t xml:space="preserve">美元/桶压力</w:t>
            </w:r>
          </w:p>
        </w:tc>
        <w:tc>
          <w:tcPr/>
          <w:p>
            <w:pPr>
              <w:pStyle w:val="Compact"/>
              <w:jc w:val="left"/>
            </w:pPr>
            <w:r>
              <w:rPr>
                <w:rFonts w:hint="eastAsia"/>
              </w:rPr>
              <w:t xml:space="preserve">制度风险影响长期平衡点，但悲观尾部仍来自多因素组合</w:t>
            </w:r>
          </w:p>
        </w:tc>
      </w:tr>
    </w:tbl>
    <w:bookmarkEnd w:id="103"/>
    <w:bookmarkEnd w:id="104"/>
    <w:bookmarkEnd w:id="105"/>
    <w:bookmarkStart w:id="125" w:name="天三情景预测"/>
    <w:p>
      <w:pPr>
        <w:pStyle w:val="Heading1"/>
      </w:pPr>
      <w:r>
        <w:t xml:space="preserve">60–180 </w:t>
      </w:r>
      <w:r>
        <w:rPr>
          <w:rFonts w:hint="eastAsia"/>
        </w:rPr>
        <w:t xml:space="preserve">天三情景预测</w:t>
      </w:r>
    </w:p>
    <w:bookmarkStart w:id="106" w:name="情景设定"/>
    <w:p>
      <w:pPr>
        <w:pStyle w:val="Heading2"/>
      </w:pPr>
      <w:r>
        <w:rPr>
          <w:rFonts w:hint="eastAsia"/>
        </w:rPr>
        <w:t xml:space="preserve">情景设定</w:t>
      </w:r>
    </w:p>
    <w:p>
      <w:pPr>
        <w:pStyle w:val="FirstParagraph"/>
      </w:pPr>
      <w:r>
        <w:rPr>
          <w:rFonts w:hint="eastAsia"/>
        </w:rPr>
        <w:t xml:space="preserve">长期情景预测在综合最优参数基础上构建乐观、中性和悲观三种情景。附件真实价格只覆盖到</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日，之后全部为条件情景外推，不作为真实观测数据。</w:t>
      </w:r>
    </w:p>
    <w:p>
      <w:pPr>
        <w:pStyle w:val="BodyText"/>
      </w:pPr>
      <w:r>
        <w:rPr>
          <w:rFonts w:hint="eastAsia"/>
        </w:rPr>
        <w:t xml:space="preserve">长期部分不能称为</w:t>
      </w:r>
      <w:r>
        <w:rPr>
          <w:rFonts w:hint="eastAsia"/>
        </w:rPr>
        <w:t xml:space="preserve">“拟合”</w:t>
      </w:r>
      <w:r>
        <w:rPr>
          <w:rFonts w:hint="eastAsia"/>
        </w:rPr>
        <w:t xml:space="preserve">：赛题附件只提供到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的表述。三情景曲线表示条件中心路径，而不是未来每日收盘价的精确点预测；其可信度由机制一致性、官方外生数据校验、敏感性分析、蒙特卡洛概率区间和状态转移扰动共同评价。</w:t>
      </w:r>
    </w:p>
    <w:p>
      <w:pPr>
        <w:pStyle w:val="BodyText"/>
      </w:pPr>
      <w:r>
        <w:rPr>
          <w:rFonts w:hint="eastAsia"/>
        </w:rPr>
        <w:t xml:space="preserve">长短期模型并非两套互不相干的模型。短期部分使用同一套物理缺口和市场价格形成递推式，回答封锁初期价格平台如何形成；长期部分仍以该递推机制为中心，只是把未来不可观测的政策协调、绕道恢复、供给响应和二次升级风险从固定参数扩展为情景变量和状态变量。换言之，随着外推期限由</w:t>
      </w:r>
      <w:r>
        <w:t xml:space="preserve"> 0–60 </w:t>
      </w:r>
      <w:r>
        <w:rPr>
          <w:rFonts w:hint="eastAsia"/>
        </w:rPr>
        <w:t xml:space="preserve">天延长到</w:t>
      </w:r>
      <w:r>
        <w:t xml:space="preserve"> 60–180 </w:t>
      </w:r>
      <w:r>
        <w:rPr>
          <w:rFonts w:hint="eastAsia"/>
        </w:rPr>
        <w:t xml:space="preserve">天，不确定性的主要来源从</w:t>
      </w:r>
      <w:r>
        <w:rPr>
          <w:rFonts w:hint="eastAsia"/>
        </w:rPr>
        <w:t xml:space="preserve">“参数校准误差”</w:t>
      </w:r>
      <w:r>
        <w:rPr>
          <w:rFonts w:hint="eastAsia"/>
        </w:rPr>
        <w:t xml:space="preserve">逐步转向</w:t>
      </w:r>
      <w:r>
        <w:rPr>
          <w:rFonts w:hint="eastAsia"/>
        </w:rPr>
        <w:t xml:space="preserve">“事件状态不确定性”</w:t>
      </w:r>
      <w:r>
        <w:rPr>
          <w:rFonts w:hint="eastAsia"/>
        </w:rPr>
        <w:t xml:space="preserve">，因此需要用蒙特卡洛情景树和状态转移扰动描述条件区间。</w:t>
      </w:r>
    </w:p>
    <w:p>
      <w:pPr>
        <w:pStyle w:val="BodyText"/>
      </w:pPr>
      <w:r>
        <w:rPr>
          <w:rFonts w:hint="eastAsia"/>
        </w:rPr>
        <w:t xml:space="preserve">长期模型从短期动态递推模型延伸而来，但在四个方面做了时间尺度调整：</w:t>
      </w:r>
    </w:p>
    <w:p>
      <w:pPr>
        <w:numPr>
          <w:ilvl w:val="0"/>
          <w:numId w:val="1004"/>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4"/>
        </w:numPr>
      </w:pPr>
      <w:r>
        <w:rPr>
          <w:rFonts w:hint="eastAsia"/>
        </w:rPr>
        <w:t xml:space="preserve">缓冲侧：SPR、商业库存和绕道运输继续发挥作用，但其边际能力随时间下降或受运输瓶颈约束。</w:t>
      </w:r>
    </w:p>
    <w:p>
      <w:pPr>
        <w:numPr>
          <w:ilvl w:val="0"/>
          <w:numId w:val="1004"/>
        </w:numPr>
      </w:pPr>
      <w:r>
        <w:rPr>
          <w:rFonts w:hint="eastAsia"/>
        </w:rPr>
        <w:t xml:space="preserve">需求侧：长期需求价格弹性高于短期弹性，反映高油价持续后消费、生产和替代能源调整更充分。</w:t>
      </w:r>
    </w:p>
    <w:p>
      <w:pPr>
        <w:numPr>
          <w:ilvl w:val="0"/>
          <w:numId w:val="1004"/>
        </w:numPr>
      </w:pPr>
      <w:r>
        <w:rPr>
          <w:rFonts w:hint="eastAsia"/>
        </w:rPr>
        <w:t xml:space="preserve">风险侧：恐慌溢价逐步衰减，不确定性溢价拆分为前期冲击不确定性和持续封锁制度风险，避免把长期价格简单托在一个常数平台上。</w:t>
      </w:r>
    </w:p>
    <w:p>
      <w:pPr>
        <w:pStyle w:val="FirstParagraph"/>
      </w:pPr>
      <w:r>
        <w:rPr>
          <w:rFonts w:hint="eastAsia"/>
        </w:rPr>
        <w:t xml:space="preserve">记长期外推期第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。在短期模型的基础上，长期供需缺口可写为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为实际</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为其他产油国增产或替代供应增量。为避免将</w:t>
      </w:r>
      <w:r>
        <w:t xml:space="preserve"> SPR </w:t>
      </w:r>
      <w:r>
        <w:rPr>
          <w:rFonts w:hint="eastAsia"/>
        </w:rPr>
        <w:t xml:space="preserve">机械地设为计划上限，本文令实际释放量随缺口和价格压力自适应收缩：</w:t>
      </w:r>
    </w:p>
    <w:p>
      <w:pPr>
        <w:pStyle w:val="BodyText"/>
      </w:pPr>
      <m:oMathPara>
        <m:oMathParaPr>
          <m:jc m:val="center"/>
        </m:oMathParaPr>
        <m:oMath>
          <m:sSub>
            <m:e>
              <m:r>
                <m:t>R</m:t>
              </m:r>
            </m:e>
            <m:sub>
              <m:r>
                <m:t>t</m:t>
              </m:r>
            </m:sub>
          </m:sSub>
          <m:r>
            <m:rPr>
              <m:sty m:val="p"/>
            </m:rPr>
            <m:t>=</m:t>
          </m:r>
          <m:r>
            <m:rPr>
              <m:sty m:val="p"/>
            </m:rPr>
            <m:t>min</m:t>
          </m:r>
          <m:d>
            <m:dPr>
              <m:begChr m:val="{"/>
              <m:sepChr m:val=""/>
              <m:endChr m:val="}"/>
              <m:grow/>
            </m:dPr>
            <m:e>
              <m:sSub>
                <m:e>
                  <m:acc>
                    <m:accPr>
                      <m:chr m:val="‾"/>
                    </m:accPr>
                    <m:e>
                      <m:r>
                        <m:t>R</m:t>
                      </m:r>
                    </m:e>
                  </m:acc>
                </m:e>
                <m:sub>
                  <m:r>
                    <m:t>t</m:t>
                  </m:r>
                </m:sub>
              </m:sSub>
              <m:r>
                <m:rPr>
                  <m:sty m:val="p"/>
                </m:rPr>
                <m:t>,</m:t>
              </m:r>
              <m:r>
                <m:t> </m:t>
              </m:r>
              <m:r>
                <m:rPr>
                  <m:sty m:val="p"/>
                </m:rPr>
                <m:t>max</m:t>
              </m:r>
              <m:d>
                <m:dPr>
                  <m:begChr m:val="("/>
                  <m:sepChr m:val=""/>
                  <m:endChr m:val=")"/>
                  <m:grow/>
                </m:dPr>
                <m:e>
                  <m:sSub>
                    <m:e>
                      <m:r>
                        <m:t>G</m:t>
                      </m:r>
                    </m:e>
                    <m:sub>
                      <m:r>
                        <m:t>t</m:t>
                      </m:r>
                      <m:r>
                        <m:rPr>
                          <m:sty m:val="p"/>
                        </m:rPr>
                        <m:t>,</m:t>
                      </m:r>
                      <m:r>
                        <m:rPr>
                          <m:sty m:val="p"/>
                        </m:rPr>
                        <m:t>p</m:t>
                      </m:r>
                      <m:r>
                        <m:rPr>
                          <m:sty m:val="p"/>
                        </m:rPr>
                        <m:t>r</m:t>
                      </m:r>
                      <m:r>
                        <m:rPr>
                          <m:sty m:val="p"/>
                        </m:rPr>
                        <m:t>e</m:t>
                      </m:r>
                    </m:sub>
                  </m:sSub>
                  <m:r>
                    <m:rPr>
                      <m:sty m:val="p"/>
                    </m:rPr>
                    <m:t>+</m:t>
                  </m:r>
                  <m:r>
                    <m:t>ρ</m:t>
                  </m:r>
                  <m:sSub>
                    <m:e>
                      <m:r>
                        <m:t>D</m:t>
                      </m:r>
                    </m:e>
                    <m:sub>
                      <m:r>
                        <m:t>0</m:t>
                      </m:r>
                    </m:sub>
                  </m:sSub>
                  <m:r>
                    <m:rPr>
                      <m:sty m:val="p"/>
                    </m:rPr>
                    <m:t>,</m:t>
                  </m:r>
                  <m:r>
                    <m:t> </m:t>
                  </m:r>
                  <m:sSub>
                    <m:e>
                      <m:acc>
                        <m:accPr>
                          <m:chr m:val="‾"/>
                        </m:accPr>
                        <m:e>
                          <m:r>
                            <m:t>R</m:t>
                          </m:r>
                        </m:e>
                      </m:acc>
                    </m:e>
                    <m:sub>
                      <m:r>
                        <m:t>t</m:t>
                      </m:r>
                    </m:sub>
                  </m:sSub>
                  <m:sSub>
                    <m:e>
                      <m:r>
                        <m:t>λ</m:t>
                      </m:r>
                    </m:e>
                    <m:sub>
                      <m:r>
                        <m:t>t</m:t>
                      </m:r>
                    </m:sub>
                  </m:sSub>
                  <m:sSub>
                    <m:e>
                      <m:r>
                        <m:t>τ</m:t>
                      </m:r>
                    </m:e>
                    <m:sub>
                      <m:r>
                        <m:t>t</m:t>
                      </m:r>
                    </m:sub>
                  </m:sSub>
                </m:e>
              </m:d>
            </m:e>
          </m:d>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为计划释放能力，</w:t>
      </w:r>
      <m:oMath>
        <m:sSub>
          <m:e>
            <m:r>
              <m:t>G</m:t>
            </m:r>
          </m:e>
          <m:sub>
            <m:r>
              <m:t>t</m:t>
            </m:r>
            <m:r>
              <m:rPr>
                <m:sty m:val="p"/>
              </m:rPr>
              <m:t>,</m:t>
            </m:r>
            <m:r>
              <m:rPr>
                <m:sty m:val="p"/>
              </m:rPr>
              <m:t>p</m:t>
            </m:r>
            <m:r>
              <m:rPr>
                <m:sty m:val="p"/>
              </m:rPr>
              <m:t>r</m:t>
            </m:r>
            <m:r>
              <m:rPr>
                <m:sty m:val="p"/>
              </m:rPr>
              <m:t>e</m:t>
            </m:r>
          </m:sub>
        </m:sSub>
      </m:oMath>
      <w:r>
        <w:t xml:space="preserve"> </w:t>
      </w:r>
      <w:r>
        <w:rPr>
          <w:rFonts w:hint="eastAsia"/>
        </w:rPr>
        <w:t xml:space="preserve">为不含</w:t>
      </w:r>
      <w:r>
        <w:t xml:space="preserve"> SPR </w:t>
      </w:r>
      <w:r>
        <w:rPr>
          <w:rFonts w:hint="eastAsia"/>
        </w:rPr>
        <w:t xml:space="preserve">时的预释放缺口，</w:t>
      </w:r>
      <m:oMath>
        <m:r>
          <m:t>ρ</m:t>
        </m:r>
        <m:sSub>
          <m:e>
            <m:r>
              <m:t>D</m:t>
            </m:r>
          </m:e>
          <m:sub>
            <m:r>
              <m:t>0</m:t>
            </m:r>
          </m:sub>
        </m:sSub>
      </m:oMath>
      <w:r>
        <w:t xml:space="preserve"> </w:t>
      </w:r>
      <w:r>
        <w:rPr>
          <w:rFonts w:hint="eastAsia"/>
        </w:rPr>
        <w:t xml:space="preserve">为安全余量，</w:t>
      </w:r>
      <m:oMath>
        <m:sSub>
          <m:e>
            <m:r>
              <m:t>λ</m:t>
            </m:r>
          </m:e>
          <m:sub>
            <m:r>
              <m:t>t</m:t>
            </m:r>
          </m:sub>
        </m:sSub>
      </m:oMath>
      <w:r>
        <w:t xml:space="preserve"> </w:t>
      </w:r>
      <w:r>
        <w:rPr>
          <w:rFonts w:hint="eastAsia"/>
        </w:rPr>
        <w:t xml:space="preserve">表示由物理缺口和价格压力共同决定的释放强度，</w:t>
      </w:r>
      <m:oMath>
        <m:sSub>
          <m:e>
            <m:r>
              <m:t>τ</m:t>
            </m:r>
          </m:e>
          <m:sub>
            <m:r>
              <m:t>t</m:t>
            </m:r>
          </m:sub>
        </m:sSub>
      </m:oMath>
      <w:r>
        <w:t xml:space="preserve"> </w:t>
      </w:r>
      <w:r>
        <w:rPr>
          <w:rFonts w:hint="eastAsia"/>
        </w:rPr>
        <w:t xml:space="preserve">为长期持续后的政策收缩系数。因此，当缺口已基本闭合时，SPR</w:t>
      </w:r>
      <w:r>
        <w:t xml:space="preserve"> </w:t>
      </w:r>
      <w:r>
        <w:rPr>
          <w:rFonts w:hint="eastAsia"/>
        </w:rPr>
        <w:t xml:space="preserve">不会继续按上限满额释放。</w:t>
      </w:r>
    </w:p>
    <w:p>
      <w:pPr>
        <w:pStyle w:val="BodyText"/>
      </w:pPr>
      <w:r>
        <w:rPr>
          <w:rFonts w:hint="eastAsia"/>
        </w:rPr>
        <w:t xml:space="preserve">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共同决定的供需压力；当</w:t>
      </w:r>
      <w:r>
        <w:t xml:space="preserve"> </w:t>
      </w:r>
      <m:oMath>
        <m:sSubSup>
          <m:e>
            <m:r>
              <m:t>G</m:t>
            </m:r>
          </m:e>
          <m:sub>
            <m:r>
              <m:t>t</m:t>
            </m:r>
          </m:sub>
          <m:sup>
            <m:r>
              <m:rPr>
                <m:sty m:val="p"/>
              </m:rPr>
              <m:t>(</m:t>
            </m:r>
            <m:r>
              <m:t>L</m:t>
            </m:r>
            <m:r>
              <m:rPr>
                <m:sty m:val="p"/>
              </m:rPr>
              <m:t>)</m:t>
            </m:r>
          </m:sup>
        </m:sSubSup>
        <m:r>
          <m:rPr>
            <m:sty m:val="p"/>
          </m:rPr>
          <m:t>&lt;</m:t>
        </m:r>
        <m:r>
          <m:t>0</m:t>
        </m:r>
      </m:oMath>
      <w:r>
        <w:t xml:space="preserve"> </w:t>
      </w:r>
      <w:r>
        <w:rPr>
          <w:rFonts w:hint="eastAsia"/>
        </w:rPr>
        <w:t xml:space="preserve">时，过剩供给通过折价项向下拉动目标价格。</w:t>
      </w:r>
      <m:oMath>
        <m:sSub>
          <m:e>
            <m:r>
              <m:rPr>
                <m:sty m:val="p"/>
              </m:rPr>
              <m:t>Φ</m:t>
            </m:r>
          </m:e>
          <m:sub>
            <m:r>
              <m:t>t</m:t>
            </m:r>
          </m:sub>
        </m:sSub>
      </m:oMath>
      <w:r>
        <w:t xml:space="preserve"> </w:t>
      </w:r>
      <w:r>
        <w:rPr>
          <w:rFonts w:hint="eastAsia"/>
        </w:rPr>
        <w:t xml:space="preserve">由地缘风险溢价、前期冲击不确定性和持续封锁制度风险三部分构成，其中制度风险随未解决供应压力和时间信心恢复共同衰减，避免形成长期常数托底。</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BodyText"/>
      </w:pPr>
      <w:r>
        <w:rPr>
          <w:rFonts w:hint="eastAsia"/>
        </w:rPr>
        <w:t xml:space="preserve">短期和长期风险项的方向不同，并不是前后矛盾。短期窗口内，市场需要完成突发封锁的信息吸收，风险溢价表现为建立和再定价；长期窗口内，市场已经观察到</w:t>
      </w:r>
      <w:r>
        <w:t xml:space="preserve"> </w:t>
      </w:r>
      <w:r>
        <w:rPr>
          <w:rFonts w:hint="eastAsia"/>
        </w:rPr>
        <w:t xml:space="preserve">SPR、库存、绕道和供需调整是否有效，因此风险项应随未解决缺口和信心恢复而逐步衰减。换言之，短期模型回答</w:t>
      </w:r>
      <w:r>
        <w:rPr>
          <w:rFonts w:hint="eastAsia"/>
        </w:rPr>
        <w:t xml:space="preserve">“冲击如何形成价格平台”</w:t>
      </w:r>
      <w:r>
        <w:rPr>
          <w:rFonts w:hint="eastAsia"/>
        </w:rPr>
        <w:t xml:space="preserve">，长期模型回答</w:t>
      </w:r>
      <w:r>
        <w:rPr>
          <w:rFonts w:hint="eastAsia"/>
        </w:rPr>
        <w:t xml:space="preserve">“平台在政策缓冲和需求调整后如何回归，尾部风险在哪里重新抬升”</w:t>
      </w:r>
      <w:r>
        <w:t xml:space="preserve">。</w:t>
      </w:r>
    </w:p>
    <w:p>
      <w:pPr>
        <w:pStyle w:val="TableCaption"/>
      </w:pPr>
      <w:r>
        <w:rPr>
          <w:rFonts w:hint="eastAsia"/>
        </w:rPr>
        <w:t xml:space="preserve">长期机制强度参数及检验边界</w:t>
      </w:r>
    </w:p>
    <w:tbl>
      <w:tblPr>
        <w:tblStyle w:val="Table"/>
        <w:tblW w:type="auto" w:w="0"/>
        <w:tblLook w:firstRow="1" w:lastRow="0" w:firstColumn="0" w:lastColumn="0" w:noHBand="0" w:noVBand="0" w:val="0020"/>
        <w:tblCaption w:val="长期机制强度参数及检验边界"/>
      </w:tblPr>
      <w:tblGrid>
        <w:gridCol w:w="1980"/>
        <w:gridCol w:w="1980"/>
        <w:gridCol w:w="1980"/>
        <w:gridCol w:w="1980"/>
      </w:tblGrid>
      <w:tr>
        <w:trPr>
          <w:tblHeader w:val="on"/>
        </w:trPr>
        <w:tc>
          <w:tcPr/>
          <w:p>
            <w:pPr>
              <w:pStyle w:val="Compact"/>
              <w:jc w:val="left"/>
            </w:pPr>
            <w:r>
              <w:rPr>
                <w:rFonts w:hint="eastAsia"/>
              </w:rPr>
              <w:t xml:space="preserve">机制参数</w:t>
            </w:r>
          </w:p>
        </w:tc>
        <w:tc>
          <w:tcPr/>
          <w:p>
            <w:pPr>
              <w:pStyle w:val="Compact"/>
              <w:jc w:val="right"/>
            </w:pPr>
            <w:r>
              <w:rPr>
                <w:rFonts w:hint="eastAsia"/>
              </w:rPr>
              <w:t xml:space="preserve">基准值</w:t>
            </w:r>
          </w:p>
        </w:tc>
        <w:tc>
          <w:tcPr/>
          <w:p>
            <w:pPr>
              <w:pStyle w:val="Compact"/>
              <w:jc w:val="right"/>
            </w:pPr>
            <w:r>
              <w:rPr>
                <w:rFonts w:hint="eastAsia"/>
              </w:rPr>
              <w:t xml:space="preserve">扰动范围</w:t>
            </w:r>
          </w:p>
        </w:tc>
        <w:tc>
          <w:tcPr/>
          <w:p>
            <w:pPr>
              <w:pStyle w:val="Compact"/>
              <w:jc w:val="left"/>
            </w:pPr>
            <w:r>
              <w:rPr>
                <w:rFonts w:hint="eastAsia"/>
              </w:rPr>
              <w:t xml:space="preserve">含义与边界</w:t>
            </w:r>
          </w:p>
        </w:tc>
      </w:tr>
      <w:tr>
        <w:tc>
          <w:tcPr/>
          <w:p>
            <w:pPr>
              <w:pStyle w:val="Compact"/>
              <w:jc w:val="left"/>
            </w:pPr>
            <w:r>
              <w:t xml:space="preserve">SPR </w:t>
            </w:r>
            <w:r>
              <w:rPr>
                <w:rFonts w:hint="eastAsia"/>
              </w:rPr>
              <w:t xml:space="preserve">收缩起点</w:t>
            </w:r>
          </w:p>
        </w:tc>
        <w:tc>
          <w:tcPr/>
          <w:p>
            <w:pPr>
              <w:pStyle w:val="Compact"/>
              <w:jc w:val="right"/>
            </w:pPr>
            <w:r>
              <w:t xml:space="preserve">75</w:t>
            </w:r>
          </w:p>
        </w:tc>
        <w:tc>
          <w:tcPr/>
          <w:p>
            <w:pPr>
              <w:pStyle w:val="Compact"/>
              <w:jc w:val="right"/>
            </w:pPr>
            <w:r>
              <w:t xml:space="preserve">60–105</w:t>
            </w:r>
          </w:p>
        </w:tc>
        <w:tc>
          <w:tcPr/>
          <w:p>
            <w:pPr>
              <w:pStyle w:val="Compact"/>
              <w:jc w:val="left"/>
            </w:pPr>
            <w:r>
              <w:t xml:space="preserve">SPR </w:t>
            </w:r>
            <w:r>
              <w:rPr>
                <w:rFonts w:hint="eastAsia"/>
              </w:rPr>
              <w:t xml:space="preserve">从应急计划释放转向缺口驱动收缩的开始时间</w:t>
            </w:r>
          </w:p>
        </w:tc>
      </w:tr>
      <w:tr>
        <w:tc>
          <w:tcPr/>
          <w:p>
            <w:pPr>
              <w:pStyle w:val="Compact"/>
              <w:jc w:val="left"/>
            </w:pPr>
            <w:r>
              <w:rPr>
                <w:rFonts w:hint="eastAsia"/>
              </w:rPr>
              <w:t xml:space="preserve">冲击不确定性占比</w:t>
            </w:r>
          </w:p>
        </w:tc>
        <w:tc>
          <w:tcPr/>
          <w:p>
            <w:pPr>
              <w:pStyle w:val="Compact"/>
              <w:jc w:val="right"/>
            </w:pPr>
            <w:r>
              <w:t xml:space="preserve">0.45</w:t>
            </w:r>
          </w:p>
        </w:tc>
        <w:tc>
          <w:tcPr/>
          <w:p>
            <w:pPr>
              <w:pStyle w:val="Compact"/>
              <w:jc w:val="right"/>
            </w:pPr>
            <w:r>
              <w:t xml:space="preserve">0.25–0.65</w:t>
            </w:r>
          </w:p>
        </w:tc>
        <w:tc>
          <w:tcPr/>
          <w:p>
            <w:pPr>
              <w:pStyle w:val="Compact"/>
              <w:jc w:val="left"/>
            </w:pPr>
            <w:r>
              <w:rPr>
                <w:rFonts w:hint="eastAsia"/>
              </w:rPr>
              <w:t xml:space="preserve">前期冲击再定价在长期不确定性中的贡献，不作为外部官方统计量</w:t>
            </w:r>
          </w:p>
        </w:tc>
      </w:tr>
      <w:tr>
        <w:tc>
          <w:tcPr/>
          <w:p>
            <w:pPr>
              <w:pStyle w:val="Compact"/>
              <w:jc w:val="left"/>
            </w:pPr>
            <w:r>
              <w:rPr>
                <w:rFonts w:hint="eastAsia"/>
              </w:rPr>
              <w:t xml:space="preserve">制度风险占比</w:t>
            </w:r>
          </w:p>
        </w:tc>
        <w:tc>
          <w:tcPr/>
          <w:p>
            <w:pPr>
              <w:pStyle w:val="Compact"/>
              <w:jc w:val="right"/>
            </w:pPr>
            <w:r>
              <w:t xml:space="preserve">0.90</w:t>
            </w:r>
          </w:p>
        </w:tc>
        <w:tc>
          <w:tcPr/>
          <w:p>
            <w:pPr>
              <w:pStyle w:val="Compact"/>
              <w:jc w:val="right"/>
            </w:pPr>
            <w:r>
              <w:t xml:space="preserve">0.50–1.30</w:t>
            </w:r>
          </w:p>
        </w:tc>
        <w:tc>
          <w:tcPr/>
          <w:p>
            <w:pPr>
              <w:pStyle w:val="Compact"/>
              <w:jc w:val="left"/>
            </w:pPr>
            <w:r>
              <w:rPr>
                <w:rFonts w:hint="eastAsia"/>
              </w:rPr>
              <w:t xml:space="preserve">持续封锁状态对长期风险溢价的贡献强度</w:t>
            </w:r>
          </w:p>
        </w:tc>
      </w:tr>
      <w:tr>
        <w:tc>
          <w:tcPr/>
          <w:p>
            <w:pPr>
              <w:pStyle w:val="Compact"/>
              <w:jc w:val="left"/>
            </w:pPr>
            <w:r>
              <w:rPr>
                <w:rFonts w:hint="eastAsia"/>
              </w:rPr>
              <w:t xml:space="preserve">信心恢复后风险底座</w:t>
            </w:r>
          </w:p>
        </w:tc>
        <w:tc>
          <w:tcPr/>
          <w:p>
            <w:pPr>
              <w:pStyle w:val="Compact"/>
              <w:jc w:val="right"/>
            </w:pPr>
            <w:r>
              <w:t xml:space="preserve">0.40</w:t>
            </w:r>
          </w:p>
        </w:tc>
        <w:tc>
          <w:tcPr/>
          <w:p>
            <w:pPr>
              <w:pStyle w:val="Compact"/>
              <w:jc w:val="right"/>
            </w:pPr>
            <w:r>
              <w:t xml:space="preserve">0.20–0.60</w:t>
            </w:r>
          </w:p>
        </w:tc>
        <w:tc>
          <w:tcPr/>
          <w:p>
            <w:pPr>
              <w:pStyle w:val="Compact"/>
              <w:jc w:val="left"/>
            </w:pPr>
            <w:r>
              <w:rPr>
                <w:rFonts w:hint="eastAsia"/>
              </w:rPr>
              <w:t xml:space="preserve">缓冲机制被市场确认后仍保留的制度风险比例</w:t>
            </w:r>
          </w:p>
        </w:tc>
      </w:tr>
      <w:tr>
        <w:tc>
          <w:tcPr/>
          <w:p>
            <w:pPr>
              <w:pStyle w:val="Compact"/>
              <w:jc w:val="left"/>
            </w:pPr>
            <w:r>
              <w:rPr>
                <w:rFonts w:hint="eastAsia"/>
              </w:rPr>
              <w:t xml:space="preserve">过剩供给回归强度</w:t>
            </w:r>
          </w:p>
        </w:tc>
        <w:tc>
          <w:tcPr/>
          <w:p>
            <w:pPr>
              <w:pStyle w:val="Compact"/>
              <w:jc w:val="right"/>
            </w:pPr>
            <w:r>
              <w:t xml:space="preserve">1.35</w:t>
            </w:r>
          </w:p>
        </w:tc>
        <w:tc>
          <w:tcPr/>
          <w:p>
            <w:pPr>
              <w:pStyle w:val="Compact"/>
              <w:jc w:val="right"/>
            </w:pPr>
            <w:r>
              <w:t xml:space="preserve">0.80–2.20</w:t>
            </w:r>
          </w:p>
        </w:tc>
        <w:tc>
          <w:tcPr/>
          <w:p>
            <w:pPr>
              <w:pStyle w:val="Compact"/>
              <w:jc w:val="left"/>
            </w:pPr>
            <w:r>
              <w:rPr>
                <w:rFonts w:hint="eastAsia"/>
              </w:rPr>
              <w:t xml:space="preserve">供给超过需求时向下修正目标价格的机制强度</w:t>
            </w:r>
          </w:p>
        </w:tc>
      </w:tr>
      <w:tr>
        <w:tc>
          <w:tcPr/>
          <w:p>
            <w:pPr>
              <w:pStyle w:val="Compact"/>
              <w:jc w:val="left"/>
            </w:pPr>
            <w:r>
              <w:rPr>
                <w:rFonts w:hint="eastAsia"/>
              </w:rPr>
              <w:t xml:space="preserve">封锁风险衰减速度</w:t>
            </w:r>
          </w:p>
        </w:tc>
        <w:tc>
          <w:tcPr/>
          <w:p>
            <w:pPr>
              <w:pStyle w:val="Compact"/>
              <w:jc w:val="right"/>
            </w:pPr>
            <w:r>
              <w:t xml:space="preserve">0.004</w:t>
            </w:r>
          </w:p>
        </w:tc>
        <w:tc>
          <w:tcPr/>
          <w:p>
            <w:pPr>
              <w:pStyle w:val="Compact"/>
              <w:jc w:val="right"/>
            </w:pPr>
            <w:r>
              <w:t xml:space="preserve">0.002–0.008</w:t>
            </w:r>
          </w:p>
        </w:tc>
        <w:tc>
          <w:tcPr/>
          <w:p>
            <w:pPr>
              <w:pStyle w:val="Compact"/>
              <w:jc w:val="left"/>
            </w:pPr>
            <w:r>
              <w:rPr>
                <w:rFonts w:hint="eastAsia"/>
              </w:rPr>
              <w:t xml:space="preserve">封锁风险溢价随时间被市场吸收的日度速度</w:t>
            </w:r>
          </w:p>
        </w:tc>
      </w:tr>
    </w:tbl>
    <w:bookmarkEnd w:id="106"/>
    <w:bookmarkStart w:id="109" w:name="长期参数来源与校验边界"/>
    <w:p>
      <w:pPr>
        <w:pStyle w:val="Heading2"/>
      </w:pPr>
      <w:r>
        <w:rPr>
          <w:rFonts w:hint="eastAsia"/>
        </w:rPr>
        <w:t xml:space="preserve">长期参数来源与校验边界</w:t>
      </w:r>
    </w:p>
    <w:p>
      <w:pPr>
        <w:pStyle w:val="FirstParagraph"/>
      </w:pPr>
      <w:r>
        <w:rPr>
          <w:rFonts w:hint="eastAsia"/>
        </w:rPr>
        <w:t xml:space="preserve">长期模型中的部分参数不是可以从附件直接读取的真实观测量，而是用于描述恢复速度、政策收缩和制度风险衰减的机制参数。为避免参数自由度过高，本文对长期参数采用三条约束：一是方向必须来自赛题机制或能源市场逻辑；二是数值只能作为基准情景假设进入，不能冒充官方统计数据；三是所有关键参数必须进入扰动区间、敏感性排序或蒙特卡洛检验。长期参数来源与校验方式见表</w:t>
      </w:r>
      <w:r>
        <w:t xml:space="preserve"> </w:t>
      </w:r>
      <w:hyperlink w:anchor="tab:long-parameter-audit">
        <w:r>
          <w:rPr>
            <w:rStyle w:val="Hyperlink"/>
          </w:rPr>
          <w:t xml:space="preserve">4</w:t>
        </w:r>
      </w:hyperlink>
      <w:r>
        <w:t xml:space="preserve">。</w:t>
      </w:r>
    </w:p>
    <w:bookmarkStart w:id="107" w:name="tab:long-parameter-audit"/>
    <w:p>
      <w:pPr>
        <w:pStyle w:val="TableCaption"/>
      </w:pPr>
      <w:r>
        <w:rPr>
          <w:rFonts w:hint="eastAsia"/>
        </w:rPr>
        <w:t xml:space="preserve">长期关键参数来源与校验方式</w:t>
      </w:r>
    </w:p>
    <w:tbl>
      <w:tblPr>
        <w:tblStyle w:val="Table"/>
        <w:tblW w:type="auto" w:w="0"/>
        <w:tblLook w:firstRow="1" w:lastRow="0" w:firstColumn="0" w:lastColumn="0" w:noHBand="0" w:noVBand="0" w:val="0020"/>
        <w:tblCaption w:val="长期关键参数来源与校验方式"/>
      </w:tblPr>
      <w:tblGrid>
        <w:gridCol w:w="2640"/>
        <w:gridCol w:w="2640"/>
        <w:gridCol w:w="2640"/>
      </w:tblGrid>
      <w:tr>
        <w:trPr>
          <w:tblHeader w:val="on"/>
        </w:trPr>
        <w:tc>
          <w:tcPr/>
          <w:p>
            <w:pPr>
              <w:pStyle w:val="Compact"/>
              <w:jc w:val="left"/>
            </w:pPr>
            <w:r>
              <w:rPr>
                <w:rFonts w:hint="eastAsia"/>
              </w:rPr>
              <w:t xml:space="preserve">参数组</w:t>
            </w:r>
          </w:p>
        </w:tc>
        <w:tc>
          <w:tcPr/>
          <w:p>
            <w:pPr>
              <w:pStyle w:val="Compact"/>
              <w:jc w:val="left"/>
            </w:pPr>
            <w:r>
              <w:rPr>
                <w:rFonts w:hint="eastAsia"/>
              </w:rPr>
              <w:t xml:space="preserve">来源逻辑</w:t>
            </w:r>
          </w:p>
        </w:tc>
        <w:tc>
          <w:tcPr/>
          <w:p>
            <w:pPr>
              <w:pStyle w:val="Compact"/>
              <w:jc w:val="left"/>
            </w:pPr>
            <w:r>
              <w:rPr>
                <w:rFonts w:hint="eastAsia"/>
              </w:rPr>
              <w:t xml:space="preserve">校验方式</w:t>
            </w:r>
          </w:p>
        </w:tc>
      </w:tr>
      <w:tr>
        <w:tc>
          <w:tcPr/>
          <w:p>
            <w:pPr>
              <w:pStyle w:val="Compact"/>
              <w:jc w:val="left"/>
            </w:pPr>
            <w:r>
              <w:t xml:space="preserve">SPR </w:t>
            </w:r>
            <w:r>
              <w:rPr>
                <w:rFonts w:hint="eastAsia"/>
              </w:rPr>
              <w:t xml:space="preserve">收缩起点与释放强度</w:t>
            </w:r>
          </w:p>
        </w:tc>
        <w:tc>
          <w:tcPr/>
          <w:p>
            <w:pPr>
              <w:pStyle w:val="Compact"/>
              <w:jc w:val="left"/>
            </w:pPr>
            <w:r>
              <w:rPr>
                <w:rFonts w:hint="eastAsia"/>
              </w:rPr>
              <w:t xml:space="preserve">来自赛题给出的</w:t>
            </w:r>
            <w:r>
              <w:t xml:space="preserve"> SPR </w:t>
            </w:r>
            <w:r>
              <w:rPr>
                <w:rFonts w:hint="eastAsia"/>
              </w:rPr>
              <w:t xml:space="preserve">缓冲机制，并结合</w:t>
            </w:r>
            <w:r>
              <w:rPr>
                <w:rFonts w:hint="eastAsia"/>
              </w:rPr>
              <w:t xml:space="preserve">“长期封锁下不能无限满额释放”</w:t>
            </w:r>
            <w:r>
              <w:rPr>
                <w:rFonts w:hint="eastAsia"/>
              </w:rPr>
              <w:t xml:space="preserve">的政策约束。</w:t>
            </w:r>
          </w:p>
        </w:tc>
        <w:tc>
          <w:tcPr/>
          <w:p>
            <w:pPr>
              <w:pStyle w:val="Compact"/>
              <w:jc w:val="left"/>
            </w:pPr>
            <w:r>
              <w:rPr>
                <w:rFonts w:hint="eastAsia"/>
              </w:rPr>
              <w:t xml:space="preserve">在</w:t>
            </w:r>
            <w:r>
              <w:t xml:space="preserve"> 60–105 </w:t>
            </w:r>
            <w:r>
              <w:rPr>
                <w:rFonts w:hint="eastAsia"/>
              </w:rPr>
              <w:t xml:space="preserve">天范围内扰动，检验其对第</w:t>
            </w:r>
            <w:r>
              <w:t xml:space="preserve"> 180 </w:t>
            </w:r>
            <w:r>
              <w:rPr>
                <w:rFonts w:hint="eastAsia"/>
              </w:rPr>
              <w:t xml:space="preserve">天价格和尾部峰值的影响。</w:t>
            </w:r>
          </w:p>
        </w:tc>
      </w:tr>
      <w:tr>
        <w:tc>
          <w:tcPr/>
          <w:p>
            <w:pPr>
              <w:pStyle w:val="Compact"/>
              <w:jc w:val="left"/>
            </w:pPr>
            <w:r>
              <w:rPr>
                <w:rFonts w:hint="eastAsia"/>
              </w:rPr>
              <w:t xml:space="preserve">冲击不确定性与制度风险</w:t>
            </w:r>
          </w:p>
        </w:tc>
        <w:tc>
          <w:tcPr/>
          <w:p>
            <w:pPr>
              <w:pStyle w:val="Compact"/>
              <w:jc w:val="left"/>
            </w:pPr>
            <w:r>
              <w:rPr>
                <w:rFonts w:hint="eastAsia"/>
              </w:rPr>
              <w:t xml:space="preserve">来自封锁未解除时保险、航运、二次升级和政策协调失败的持续风险。</w:t>
            </w:r>
          </w:p>
        </w:tc>
        <w:tc>
          <w:tcPr/>
          <w:p>
            <w:pPr>
              <w:pStyle w:val="Compact"/>
              <w:jc w:val="left"/>
            </w:pPr>
            <w:r>
              <w:rPr>
                <w:rFonts w:hint="eastAsia"/>
              </w:rPr>
              <w:t xml:space="preserve">与</w:t>
            </w:r>
            <w:r>
              <w:t xml:space="preserve"> GPR </w:t>
            </w:r>
            <w:r>
              <w:rPr>
                <w:rFonts w:hint="eastAsia"/>
              </w:rPr>
              <w:t xml:space="preserve">滞后检验、蒙特卡洛情景树和状态转移情景树合读，不作为同步价格拟合因子。</w:t>
            </w:r>
          </w:p>
        </w:tc>
      </w:tr>
      <w:tr>
        <w:tc>
          <w:tcPr/>
          <w:p>
            <w:pPr>
              <w:pStyle w:val="Compact"/>
              <w:jc w:val="left"/>
            </w:pPr>
            <w:r>
              <w:rPr>
                <w:rFonts w:hint="eastAsia"/>
              </w:rPr>
              <w:t xml:space="preserve">封锁风险衰减速度</w:t>
            </w:r>
          </w:p>
        </w:tc>
        <w:tc>
          <w:tcPr/>
          <w:p>
            <w:pPr>
              <w:pStyle w:val="Compact"/>
              <w:jc w:val="left"/>
            </w:pPr>
            <w:r>
              <w:rPr>
                <w:rFonts w:hint="eastAsia"/>
              </w:rPr>
              <w:t xml:space="preserve">表示市场对封锁信息逐步吸收和政策缓冲被确认后的风险消化速度。</w:t>
            </w:r>
          </w:p>
        </w:tc>
        <w:tc>
          <w:tcPr/>
          <w:p>
            <w:pPr>
              <w:pStyle w:val="Compact"/>
              <w:jc w:val="left"/>
            </w:pPr>
            <w:r>
              <w:rPr>
                <w:rFonts w:hint="eastAsia"/>
              </w:rPr>
              <w:t xml:space="preserve">设置</w:t>
            </w:r>
            <w:r>
              <w:t xml:space="preserve"> 0.002–0.008 </w:t>
            </w:r>
            <w:r>
              <w:rPr>
                <w:rFonts w:hint="eastAsia"/>
              </w:rPr>
              <w:t xml:space="preserve">日衰减率区间，并在敏感性分析中单独排序，避免隐藏常数。</w:t>
            </w:r>
          </w:p>
        </w:tc>
      </w:tr>
      <w:tr>
        <w:tc>
          <w:tcPr/>
          <w:p>
            <w:pPr>
              <w:pStyle w:val="Compact"/>
              <w:jc w:val="left"/>
            </w:pPr>
            <w:r>
              <w:rPr>
                <w:rFonts w:hint="eastAsia"/>
              </w:rPr>
              <w:t xml:space="preserve">过剩供给回归强度</w:t>
            </w:r>
          </w:p>
        </w:tc>
        <w:tc>
          <w:tcPr/>
          <w:p>
            <w:pPr>
              <w:pStyle w:val="Compact"/>
              <w:jc w:val="left"/>
            </w:pPr>
            <w:r>
              <w:rPr>
                <w:rFonts w:hint="eastAsia"/>
              </w:rPr>
              <w:t xml:space="preserve">表示当缓冲、增产和需求调整使供给压力缓解后，目标价格向下修正的速度。</w:t>
            </w:r>
          </w:p>
        </w:tc>
        <w:tc>
          <w:tcPr/>
          <w:p>
            <w:pPr>
              <w:pStyle w:val="Compact"/>
              <w:jc w:val="left"/>
            </w:pPr>
            <w:r>
              <w:rPr>
                <w:rFonts w:hint="eastAsia"/>
              </w:rPr>
              <w:t xml:space="preserve">通过扰动区间和情景曲线检验，防止中性路径被人为拉成固定直线。</w:t>
            </w:r>
          </w:p>
        </w:tc>
      </w:tr>
      <w:tr>
        <w:tc>
          <w:tcPr/>
          <w:p>
            <w:pPr>
              <w:pStyle w:val="Compact"/>
              <w:jc w:val="left"/>
            </w:pPr>
            <w:r>
              <w:rPr>
                <w:rFonts w:hint="eastAsia"/>
              </w:rPr>
              <w:t xml:space="preserve">其他产油国增产与绕道恢复</w:t>
            </w:r>
          </w:p>
        </w:tc>
        <w:tc>
          <w:tcPr/>
          <w:p>
            <w:pPr>
              <w:pStyle w:val="Compact"/>
              <w:jc w:val="left"/>
            </w:pPr>
            <w:r>
              <w:rPr>
                <w:rFonts w:hint="eastAsia"/>
              </w:rPr>
              <w:t xml:space="preserve">来自赛题要求的增产、运输瓶颈和绕道能力设定，并用</w:t>
            </w:r>
            <w:r>
              <w:t xml:space="preserve"> JODI </w:t>
            </w:r>
            <w:r>
              <w:rPr>
                <w:rFonts w:hint="eastAsia"/>
              </w:rPr>
              <w:t xml:space="preserve">多国月度产量、进出口和炼厂产出作数量级校验。</w:t>
            </w:r>
          </w:p>
        </w:tc>
        <w:tc>
          <w:tcPr/>
          <w:p>
            <w:pPr>
              <w:pStyle w:val="Compact"/>
              <w:jc w:val="left"/>
            </w:pPr>
            <w:r>
              <w:rPr>
                <w:rFonts w:hint="eastAsia"/>
              </w:rPr>
              <w:t xml:space="preserve">只用于长期条件外推，不反向用于短期拟合；JODI</w:t>
            </w:r>
            <w:r>
              <w:t xml:space="preserve"> </w:t>
            </w:r>
            <w:r>
              <w:rPr>
                <w:rFonts w:hint="eastAsia"/>
              </w:rPr>
              <w:t xml:space="preserve">为多国上报口径，不能写成完整全球总量。</w:t>
            </w:r>
          </w:p>
        </w:tc>
      </w:tr>
    </w:tbl>
    <w:bookmarkEnd w:id="107"/>
    <w:p>
      <w:pPr>
        <w:pStyle w:val="TableCaption"/>
      </w:pPr>
      <w:r>
        <w:rPr>
          <w:rFonts w:hint="eastAsia"/>
        </w:rPr>
        <w:t xml:space="preserve">三情景关键参数</w:t>
      </w:r>
    </w:p>
    <w:tbl>
      <w:tblPr>
        <w:tblStyle w:val="Table"/>
        <w:tblW w:type="auto" w:w="0"/>
        <w:tblLook w:firstRow="1" w:lastRow="0" w:firstColumn="0" w:lastColumn="0" w:noHBand="0" w:noVBand="0" w:val="0020"/>
        <w:tblCaption w:val="三情景关键参数"/>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w:t>
            </w:r>
          </w:p>
        </w:tc>
        <w:tc>
          <w:tcPr/>
          <w:p>
            <w:pPr>
              <w:pStyle w:val="Compact"/>
              <w:jc w:val="right"/>
            </w:pPr>
            <w:r>
              <w:t xml:space="preserve">SPR </w:t>
            </w:r>
            <w:r>
              <w:rPr>
                <w:rFonts w:hint="eastAsia"/>
              </w:rPr>
              <w:t xml:space="preserve">上限</w:t>
            </w:r>
          </w:p>
        </w:tc>
        <w:tc>
          <w:tcPr/>
          <w:p>
            <w:pPr>
              <w:pStyle w:val="Compact"/>
              <w:jc w:val="right"/>
            </w:pPr>
            <w:r>
              <w:rPr>
                <w:rFonts w:hint="eastAsia"/>
              </w:rPr>
              <w:t xml:space="preserve">绕道能力</w:t>
            </w:r>
          </w:p>
        </w:tc>
        <w:tc>
          <w:tcPr/>
          <w:p>
            <w:pPr>
              <w:pStyle w:val="Compact"/>
              <w:jc w:val="right"/>
            </w:pPr>
            <w:r>
              <w:rPr>
                <w:rFonts w:hint="eastAsia"/>
              </w:rPr>
              <w:t xml:space="preserve">长期弹性</w:t>
            </w:r>
          </w:p>
        </w:tc>
        <w:tc>
          <w:tcPr/>
          <w:p>
            <w:pPr>
              <w:pStyle w:val="Compact"/>
              <w:jc w:val="right"/>
            </w:pPr>
            <w:r>
              <w:rPr>
                <w:rFonts w:hint="eastAsia"/>
              </w:rPr>
              <w:t xml:space="preserve">恐慌衰减</w:t>
            </w:r>
          </w:p>
        </w:tc>
        <w:tc>
          <w:tcPr/>
          <w:p>
            <w:pPr>
              <w:pStyle w:val="Compact"/>
              <w:jc w:val="right"/>
            </w:pPr>
            <w:r>
              <w:rPr>
                <w:rFonts w:hint="eastAsia"/>
              </w:rPr>
              <w:t xml:space="preserve">风险权重</w:t>
            </w:r>
          </w:p>
        </w:tc>
      </w:tr>
      <w:tr>
        <w:tc>
          <w:tcPr/>
          <w:p>
            <w:pPr>
              <w:pStyle w:val="Compact"/>
              <w:jc w:val="left"/>
            </w:pPr>
            <w:r>
              <w:rPr>
                <w:rFonts w:hint="eastAsia"/>
              </w:rPr>
              <w:t xml:space="preserve">乐观</w:t>
            </w:r>
          </w:p>
        </w:tc>
        <w:tc>
          <w:tcPr/>
          <w:p>
            <w:pPr>
              <w:pStyle w:val="Compact"/>
              <w:jc w:val="right"/>
            </w:pPr>
            <w:r>
              <w:t xml:space="preserve">1400</w:t>
            </w:r>
          </w:p>
        </w:tc>
        <w:tc>
          <w:tcPr/>
          <w:p>
            <w:pPr>
              <w:pStyle w:val="Compact"/>
              <w:jc w:val="right"/>
            </w:pPr>
            <w:r>
              <w:t xml:space="preserve">700</w:t>
            </w:r>
          </w:p>
        </w:tc>
        <w:tc>
          <w:tcPr/>
          <w:p>
            <w:pPr>
              <w:pStyle w:val="Compact"/>
              <w:jc w:val="right"/>
            </w:pPr>
            <w:r>
              <w:t xml:space="preserve">300</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2.02</w:t>
            </w:r>
          </w:p>
        </w:tc>
      </w:tr>
      <w:tr>
        <w:tc>
          <w:tcPr/>
          <w:p>
            <w:pPr>
              <w:pStyle w:val="Compact"/>
              <w:jc w:val="left"/>
            </w:pPr>
            <w:r>
              <w:rPr>
                <w:rFonts w:hint="eastAsia"/>
              </w:rPr>
              <w:t xml:space="preserve">中性</w:t>
            </w:r>
          </w:p>
        </w:tc>
        <w:tc>
          <w:tcPr/>
          <w:p>
            <w:pPr>
              <w:pStyle w:val="Compact"/>
              <w:jc w:val="right"/>
            </w:pPr>
            <w:r>
              <w:t xml:space="preserve">1493</w:t>
            </w:r>
          </w:p>
        </w:tc>
        <w:tc>
          <w:tcPr/>
          <w:p>
            <w:pPr>
              <w:pStyle w:val="Compact"/>
              <w:jc w:val="right"/>
            </w:pPr>
            <w:r>
              <w:t xml:space="preserve">670</w:t>
            </w:r>
          </w:p>
        </w:tc>
        <w:tc>
          <w:tcPr/>
          <w:p>
            <w:pPr>
              <w:pStyle w:val="Compact"/>
              <w:jc w:val="right"/>
            </w:pPr>
            <w:r>
              <w:t xml:space="preserve">237</w:t>
            </w:r>
          </w:p>
        </w:tc>
        <w:tc>
          <w:tcPr/>
          <w:p>
            <w:pPr>
              <w:pStyle w:val="Compact"/>
              <w:jc w:val="right"/>
            </w:pPr>
            <w:r>
              <w:t xml:space="preserve">-0.25</w:t>
            </w:r>
          </w:p>
        </w:tc>
        <w:tc>
          <w:tcPr/>
          <w:p>
            <w:pPr>
              <w:pStyle w:val="Compact"/>
              <w:jc w:val="right"/>
            </w:pPr>
            <w:r>
              <w:t xml:space="preserve">0.11</w:t>
            </w:r>
          </w:p>
        </w:tc>
        <w:tc>
          <w:tcPr/>
          <w:p>
            <w:pPr>
              <w:pStyle w:val="Compact"/>
              <w:jc w:val="right"/>
            </w:pPr>
            <w:r>
              <w:t xml:space="preserve">2.46</w:t>
            </w:r>
          </w:p>
        </w:tc>
      </w:tr>
      <w:tr>
        <w:tc>
          <w:tcPr/>
          <w:p>
            <w:pPr>
              <w:pStyle w:val="Compact"/>
              <w:jc w:val="left"/>
            </w:pPr>
            <w:r>
              <w:rPr>
                <w:rFonts w:hint="eastAsia"/>
              </w:rPr>
              <w:t xml:space="preserve">悲观</w:t>
            </w:r>
          </w:p>
        </w:tc>
        <w:tc>
          <w:tcPr/>
          <w:p>
            <w:pPr>
              <w:pStyle w:val="Compact"/>
              <w:jc w:val="right"/>
            </w:pPr>
            <w:r>
              <w:t xml:space="preserve">1800</w:t>
            </w:r>
          </w:p>
        </w:tc>
        <w:tc>
          <w:tcPr/>
          <w:p>
            <w:pPr>
              <w:pStyle w:val="Compact"/>
              <w:jc w:val="right"/>
            </w:pPr>
            <w:r>
              <w:t xml:space="preserve">200</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3.32</w:t>
            </w:r>
          </w:p>
        </w:tc>
      </w:tr>
    </w:tbl>
    <w:p>
      <w:pPr>
        <w:pStyle w:val="BodyText"/>
      </w:pPr>
      <w:r>
        <w:rPr>
          <w:rFonts w:hint="eastAsia"/>
        </w:rPr>
        <w:t xml:space="preserve">三情景参数并非三组孤立猜测。乐观情景代表高</w:t>
      </w:r>
      <w:r>
        <w:t xml:space="preserve"> SPR </w:t>
      </w:r>
      <w:r>
        <w:rPr>
          <w:rFonts w:hint="eastAsia"/>
        </w:rPr>
        <w:t xml:space="preserve">可用量、绕道恢复较充分、长期需求调整较快；悲观情景代表供应中断接近上界、SPR</w:t>
      </w:r>
      <w:r>
        <w:t xml:space="preserve"> </w:t>
      </w:r>
      <w:r>
        <w:rPr>
          <w:rFonts w:hint="eastAsia"/>
        </w:rPr>
        <w:t xml:space="preserve">释放受限、绕道能力偏低且制度风险溢价持续；中性情景则采用综合最优参数附近的中心设定。后续敏感性分析和蒙特卡洛抽样用于检验：当这些假设联合变化时，价格中心路径和尾部风险是否仍保持一致。</w:t>
      </w:r>
    </w:p>
    <w:p>
      <w:pPr>
        <w:pStyle w:val="BodyText"/>
      </w:pPr>
      <w:r>
        <w:rPr>
          <w:rFonts w:hint="eastAsia"/>
        </w:rPr>
        <w:t xml:space="preserve">在补充官方外生数据后，本文将</w:t>
      </w:r>
      <w:r>
        <w:t xml:space="preserve"> EIA、JODI </w:t>
      </w:r>
      <w:r>
        <w:rPr>
          <w:rFonts w:hint="eastAsia"/>
        </w:rPr>
        <w:t xml:space="preserve">与</w:t>
      </w:r>
      <w:r>
        <w:t xml:space="preserve"> OPEC </w:t>
      </w:r>
      <w:r>
        <w:rPr>
          <w:rFonts w:hint="eastAsia"/>
        </w:rPr>
        <w:t xml:space="preserve">从</w:t>
      </w:r>
      <w:r>
        <w:rPr>
          <w:rFonts w:hint="eastAsia"/>
        </w:rPr>
        <w:t xml:space="preserve">“论文证据层”</w:t>
      </w:r>
      <w:r>
        <w:rPr>
          <w:rFonts w:hint="eastAsia"/>
        </w:rPr>
        <w:t xml:space="preserve">推进到</w:t>
      </w:r>
      <w:r>
        <w:rPr>
          <w:rFonts w:hint="eastAsia"/>
        </w:rPr>
        <w:t xml:space="preserve">“长期参数约束层”</w:t>
      </w:r>
      <w:r>
        <w:rPr>
          <w:rFonts w:hint="eastAsia"/>
        </w:rPr>
        <w:t xml:space="preserve">。具体做法不是用外部数据替代赛题参数，而是由</w:t>
      </w:r>
      <w:r>
        <w:t xml:space="preserve"> JODI </w:t>
      </w:r>
      <w:r>
        <w:rPr>
          <w:rFonts w:hint="eastAsia"/>
        </w:rPr>
        <w:t xml:space="preserve">多国同口径产量、库存、进出口、需求、炼厂产出、EIA</w:t>
      </w:r>
      <w:r>
        <w:t xml:space="preserve"> </w:t>
      </w:r>
      <w:r>
        <w:rPr>
          <w:rFonts w:hint="eastAsia"/>
        </w:rPr>
        <w:t xml:space="preserve">美国</w:t>
      </w:r>
      <w:r>
        <w:t xml:space="preserve"> SPR </w:t>
      </w:r>
      <w:r>
        <w:rPr>
          <w:rFonts w:hint="eastAsia"/>
        </w:rPr>
        <w:t xml:space="preserve">和商业库存变化，以及</w:t>
      </w:r>
      <w:r>
        <w:t xml:space="preserve"> OPEC </w:t>
      </w:r>
      <w:r>
        <w:rPr>
          <w:rFonts w:hint="eastAsia"/>
        </w:rPr>
        <w:t xml:space="preserve">全球供需平衡表中的需求增量、非</w:t>
      </w:r>
      <w:r>
        <w:t xml:space="preserve"> DoC </w:t>
      </w:r>
      <w:r>
        <w:rPr>
          <w:rFonts w:hint="eastAsia"/>
        </w:rPr>
        <w:t xml:space="preserve">供给增量和</w:t>
      </w:r>
      <w:r>
        <w:t xml:space="preserve"> DoC </w:t>
      </w:r>
      <w:r>
        <w:rPr>
          <w:rFonts w:hint="eastAsia"/>
        </w:rPr>
        <w:t xml:space="preserve">原油需求差额生成温和乘数，对绕道能力、库存缓冲、需求收缩、长期弹性、SPR</w:t>
      </w:r>
      <w:r>
        <w:t xml:space="preserve"> </w:t>
      </w:r>
      <w:r>
        <w:rPr>
          <w:rFonts w:hint="eastAsia"/>
        </w:rPr>
        <w:t xml:space="preserve">上限可信度和风险权重进行约束。得到的乘数见表</w:t>
      </w:r>
      <w:r>
        <w:t xml:space="preserve"> </w:t>
      </w:r>
      <w:hyperlink w:anchor="tab:official-factor-multipliers">
        <w:r>
          <w:rPr>
            <w:rStyle w:val="Hyperlink"/>
          </w:rPr>
          <w:t xml:space="preserve">5</w:t>
        </w:r>
      </w:hyperlink>
      <w:r>
        <w:t xml:space="preserve">。</w:t>
      </w:r>
    </w:p>
    <w:bookmarkStart w:id="108" w:name="tab:official-factor-multipliers"/>
    <w:p>
      <w:pPr>
        <w:pStyle w:val="TableCaption"/>
      </w:pPr>
      <w:r>
        <w:rPr>
          <w:rFonts w:hint="eastAsia"/>
        </w:rPr>
        <w:t xml:space="preserve">官方外生数据生成的长期参数约束因子</w:t>
      </w:r>
    </w:p>
    <w:tbl>
      <w:tblPr>
        <w:tblStyle w:val="Table"/>
        <w:tblW w:type="auto" w:w="0"/>
        <w:tblLook w:firstRow="1" w:lastRow="0" w:firstColumn="0" w:lastColumn="0" w:noHBand="0" w:noVBand="0" w:val="0020"/>
        <w:tblCaption w:val="官方外生数据生成的长期参数约束因子"/>
      </w:tblPr>
      <w:tblGrid>
        <w:gridCol w:w="2640"/>
        <w:gridCol w:w="2640"/>
        <w:gridCol w:w="2640"/>
      </w:tblGrid>
      <w:tr>
        <w:trPr>
          <w:tblHeader w:val="on"/>
        </w:trPr>
        <w:tc>
          <w:tcPr/>
          <w:p>
            <w:pPr>
              <w:pStyle w:val="Compact"/>
              <w:jc w:val="left"/>
            </w:pPr>
            <w:r>
              <w:rPr>
                <w:rFonts w:hint="eastAsia"/>
              </w:rPr>
              <w:t xml:space="preserve">约束因子</w:t>
            </w:r>
          </w:p>
        </w:tc>
        <w:tc>
          <w:tcPr/>
          <w:p>
            <w:pPr>
              <w:pStyle w:val="Compact"/>
              <w:jc w:val="right"/>
            </w:pPr>
            <w:r>
              <w:rPr>
                <w:rFonts w:hint="eastAsia"/>
              </w:rPr>
              <w:t xml:space="preserve">乘数</w:t>
            </w:r>
          </w:p>
        </w:tc>
        <w:tc>
          <w:tcPr/>
          <w:p>
            <w:pPr>
              <w:pStyle w:val="Compact"/>
              <w:jc w:val="left"/>
            </w:pPr>
            <w:r>
              <w:rPr>
                <w:rFonts w:hint="eastAsia"/>
              </w:rPr>
              <w:t xml:space="preserve">解释</w:t>
            </w:r>
          </w:p>
        </w:tc>
      </w:tr>
      <w:tr>
        <w:tc>
          <w:tcPr/>
          <w:p>
            <w:pPr>
              <w:pStyle w:val="Compact"/>
              <w:jc w:val="left"/>
            </w:pPr>
            <w:r>
              <w:rPr>
                <w:rFonts w:hint="eastAsia"/>
              </w:rPr>
              <w:t xml:space="preserve">绕道和替代贸易恢复能力</w:t>
            </w:r>
          </w:p>
        </w:tc>
        <w:tc>
          <w:tcPr/>
          <w:p>
            <w:pPr>
              <w:pStyle w:val="Compact"/>
              <w:jc w:val="right"/>
            </w:pPr>
            <w:r>
              <w:t xml:space="preserve">0.9725</w:t>
            </w:r>
          </w:p>
        </w:tc>
        <w:tc>
          <w:tcPr/>
          <w:p>
            <w:pPr>
              <w:pStyle w:val="Compact"/>
              <w:jc w:val="left"/>
            </w:pPr>
            <w:r>
              <w:t xml:space="preserve">JODI </w:t>
            </w:r>
            <w:r>
              <w:rPr>
                <w:rFonts w:hint="eastAsia"/>
              </w:rPr>
              <w:t xml:space="preserve">进出口同口径收缩，说明替代贸易恢复不宜过度乐观</w:t>
            </w:r>
          </w:p>
        </w:tc>
      </w:tr>
      <w:tr>
        <w:tc>
          <w:tcPr/>
          <w:p>
            <w:pPr>
              <w:pStyle w:val="Compact"/>
              <w:jc w:val="left"/>
            </w:pPr>
            <w:r>
              <w:rPr>
                <w:rFonts w:hint="eastAsia"/>
              </w:rPr>
              <w:t xml:space="preserve">商业库存日缓冲上限</w:t>
            </w:r>
          </w:p>
        </w:tc>
        <w:tc>
          <w:tcPr/>
          <w:p>
            <w:pPr>
              <w:pStyle w:val="Compact"/>
              <w:jc w:val="right"/>
            </w:pPr>
            <w:r>
              <w:t xml:space="preserve">1.0739</w:t>
            </w:r>
          </w:p>
        </w:tc>
        <w:tc>
          <w:tcPr/>
          <w:p>
            <w:pPr>
              <w:pStyle w:val="Compact"/>
              <w:jc w:val="left"/>
            </w:pPr>
            <w:r>
              <w:t xml:space="preserve">JODI </w:t>
            </w:r>
            <w:r>
              <w:rPr>
                <w:rFonts w:hint="eastAsia"/>
              </w:rPr>
              <w:t xml:space="preserve">原油/成品油库存和</w:t>
            </w:r>
            <w:r>
              <w:t xml:space="preserve"> EIA </w:t>
            </w:r>
            <w:r>
              <w:rPr>
                <w:rFonts w:hint="eastAsia"/>
              </w:rPr>
              <w:t xml:space="preserve">商业库存均提供缓冲数量级支撑</w:t>
            </w:r>
          </w:p>
        </w:tc>
      </w:tr>
      <w:tr>
        <w:tc>
          <w:tcPr/>
          <w:p>
            <w:pPr>
              <w:pStyle w:val="Compact"/>
              <w:jc w:val="left"/>
            </w:pPr>
            <w:r>
              <w:rPr>
                <w:rFonts w:hint="eastAsia"/>
              </w:rPr>
              <w:t xml:space="preserve">长期需求收缩幅度</w:t>
            </w:r>
          </w:p>
        </w:tc>
        <w:tc>
          <w:tcPr/>
          <w:p>
            <w:pPr>
              <w:pStyle w:val="Compact"/>
              <w:jc w:val="right"/>
            </w:pPr>
            <w:r>
              <w:t xml:space="preserve">0.9560</w:t>
            </w:r>
          </w:p>
        </w:tc>
        <w:tc>
          <w:tcPr/>
          <w:p>
            <w:pPr>
              <w:pStyle w:val="Compact"/>
              <w:jc w:val="left"/>
            </w:pPr>
            <w:r>
              <w:t xml:space="preserve">JODI </w:t>
            </w:r>
            <w:r>
              <w:rPr>
                <w:rFonts w:hint="eastAsia"/>
              </w:rPr>
              <w:t xml:space="preserve">与</w:t>
            </w:r>
            <w:r>
              <w:t xml:space="preserve"> OPEC </w:t>
            </w:r>
            <w:r>
              <w:rPr>
                <w:rFonts w:hint="eastAsia"/>
              </w:rPr>
              <w:t xml:space="preserve">均显示需求韧性，需求破坏不宜设得过强</w:t>
            </w:r>
          </w:p>
        </w:tc>
      </w:tr>
      <w:tr>
        <w:tc>
          <w:tcPr/>
          <w:p>
            <w:pPr>
              <w:pStyle w:val="Compact"/>
              <w:jc w:val="left"/>
            </w:pPr>
            <w:r>
              <w:rPr>
                <w:rFonts w:hint="eastAsia"/>
              </w:rPr>
              <w:t xml:space="preserve">长期需求弹性绝对值</w:t>
            </w:r>
          </w:p>
        </w:tc>
        <w:tc>
          <w:tcPr/>
          <w:p>
            <w:pPr>
              <w:pStyle w:val="Compact"/>
              <w:jc w:val="right"/>
            </w:pPr>
            <w:r>
              <w:t xml:space="preserve">0.9750</w:t>
            </w:r>
          </w:p>
        </w:tc>
        <w:tc>
          <w:tcPr/>
          <w:p>
            <w:pPr>
              <w:pStyle w:val="Compact"/>
              <w:jc w:val="left"/>
            </w:pPr>
            <w:r>
              <w:rPr>
                <w:rFonts w:hint="eastAsia"/>
              </w:rPr>
              <w:t xml:space="preserve">高价下需求会调整，但</w:t>
            </w:r>
            <w:r>
              <w:t xml:space="preserve"> OPEC </w:t>
            </w:r>
            <w:r>
              <w:rPr>
                <w:rFonts w:hint="eastAsia"/>
              </w:rPr>
              <w:t xml:space="preserve">正常需求增长使长期弹性略收敛</w:t>
            </w:r>
          </w:p>
        </w:tc>
      </w:tr>
      <w:tr>
        <w:tc>
          <w:tcPr/>
          <w:p>
            <w:pPr>
              <w:pStyle w:val="Compact"/>
              <w:jc w:val="left"/>
            </w:pPr>
            <w:r>
              <w:t xml:space="preserve">SPR </w:t>
            </w:r>
            <w:r>
              <w:rPr>
                <w:rFonts w:hint="eastAsia"/>
              </w:rPr>
              <w:t xml:space="preserve">释放上限可信度</w:t>
            </w:r>
          </w:p>
        </w:tc>
        <w:tc>
          <w:tcPr/>
          <w:p>
            <w:pPr>
              <w:pStyle w:val="Compact"/>
              <w:jc w:val="right"/>
            </w:pPr>
            <w:r>
              <w:t xml:space="preserve">0.9672</w:t>
            </w:r>
          </w:p>
        </w:tc>
        <w:tc>
          <w:tcPr/>
          <w:p>
            <w:pPr>
              <w:pStyle w:val="Compact"/>
              <w:jc w:val="left"/>
            </w:pPr>
            <w:r>
              <w:t xml:space="preserve">EIA </w:t>
            </w:r>
            <w:r>
              <w:rPr>
                <w:rFonts w:hint="eastAsia"/>
              </w:rPr>
              <w:t xml:space="preserve">美国</w:t>
            </w:r>
            <w:r>
              <w:t xml:space="preserve"> SPR </w:t>
            </w:r>
            <w:r>
              <w:rPr>
                <w:rFonts w:hint="eastAsia"/>
              </w:rPr>
              <w:t xml:space="preserve">实际释放较温和，因此全球协调释放上限作小幅折扣</w:t>
            </w:r>
          </w:p>
        </w:tc>
      </w:tr>
      <w:tr>
        <w:tc>
          <w:tcPr/>
          <w:p>
            <w:pPr>
              <w:pStyle w:val="Compact"/>
              <w:jc w:val="left"/>
            </w:pPr>
            <w:r>
              <w:rPr>
                <w:rFonts w:hint="eastAsia"/>
              </w:rPr>
              <w:t xml:space="preserve">贸易收缩风险权重</w:t>
            </w:r>
          </w:p>
        </w:tc>
        <w:tc>
          <w:tcPr/>
          <w:p>
            <w:pPr>
              <w:pStyle w:val="Compact"/>
              <w:jc w:val="right"/>
            </w:pPr>
            <w:r>
              <w:t xml:space="preserve">1.0543</w:t>
            </w:r>
          </w:p>
        </w:tc>
        <w:tc>
          <w:tcPr/>
          <w:p>
            <w:pPr>
              <w:pStyle w:val="Compact"/>
              <w:jc w:val="left"/>
            </w:pPr>
            <w:r>
              <w:t xml:space="preserve">JODI </w:t>
            </w:r>
            <w:r>
              <w:rPr>
                <w:rFonts w:hint="eastAsia"/>
              </w:rPr>
              <w:t xml:space="preserve">进出口收缩叠加</w:t>
            </w:r>
            <w:r>
              <w:t xml:space="preserve"> OPEC DoC </w:t>
            </w:r>
            <w:r>
              <w:rPr>
                <w:rFonts w:hint="eastAsia"/>
              </w:rPr>
              <w:t xml:space="preserve">需求差额上升，抬升尾部风险</w:t>
            </w:r>
          </w:p>
        </w:tc>
      </w:tr>
      <w:tr>
        <w:tc>
          <w:tcPr/>
          <w:p>
            <w:pPr>
              <w:pStyle w:val="Compact"/>
              <w:jc w:val="left"/>
            </w:pPr>
            <w:r>
              <w:rPr>
                <w:rFonts w:hint="eastAsia"/>
              </w:rPr>
              <w:t xml:space="preserve">长期不确定性强度</w:t>
            </w:r>
          </w:p>
        </w:tc>
        <w:tc>
          <w:tcPr/>
          <w:p>
            <w:pPr>
              <w:pStyle w:val="Compact"/>
              <w:jc w:val="right"/>
            </w:pPr>
            <w:r>
              <w:t xml:space="preserve">1.0303</w:t>
            </w:r>
          </w:p>
        </w:tc>
        <w:tc>
          <w:tcPr/>
          <w:p>
            <w:pPr>
              <w:pStyle w:val="Compact"/>
              <w:jc w:val="left"/>
            </w:pPr>
            <w:r>
              <w:rPr>
                <w:rFonts w:hint="eastAsia"/>
              </w:rPr>
              <w:t xml:space="preserve">贸易收缩和下半年需求差额峰值使制度风险略上调</w:t>
            </w:r>
          </w:p>
        </w:tc>
      </w:tr>
    </w:tbl>
    <w:bookmarkEnd w:id="108"/>
    <w:bookmarkEnd w:id="109"/>
    <w:bookmarkStart w:id="124" w:name="预测结果"/>
    <w:p>
      <w:pPr>
        <w:pStyle w:val="Heading2"/>
      </w:pPr>
      <w:r>
        <w:rPr>
          <w:rFonts w:hint="eastAsia"/>
        </w:rPr>
        <w:t xml:space="preserve">预测结果</w:t>
      </w:r>
    </w:p>
    <w:p>
      <w:pPr>
        <w:pStyle w:val="TableCaption"/>
      </w:pPr>
      <w:r>
        <w:t xml:space="preserve">60–180 </w:t>
      </w:r>
      <w:r>
        <w:rPr>
          <w:rFonts w:hint="eastAsia"/>
        </w:rPr>
        <w:t xml:space="preserve">天三情景预测结果</w:t>
      </w:r>
    </w:p>
    <w:tbl>
      <w:tblPr>
        <w:tblStyle w:val="Table"/>
        <w:tblW w:type="auto" w:w="0"/>
        <w:tblLook w:firstRow="1" w:lastRow="0" w:firstColumn="0" w:lastColumn="0" w:noHBand="0" w:noVBand="0" w:val="0020"/>
        <w:tblCaption w:val="60–180 天三情景预测结果"/>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第60天</w:t>
            </w:r>
          </w:p>
        </w:tc>
        <w:tc>
          <w:tcPr/>
          <w:p>
            <w:pPr>
              <w:pStyle w:val="Compact"/>
              <w:jc w:val="right"/>
            </w:pPr>
            <w:r>
              <w:rPr>
                <w:rFonts w:hint="eastAsia"/>
              </w:rPr>
              <w:t xml:space="preserve">第90天</w:t>
            </w:r>
          </w:p>
        </w:tc>
        <w:tc>
          <w:tcPr/>
          <w:p>
            <w:pPr>
              <w:pStyle w:val="Compact"/>
              <w:jc w:val="right"/>
            </w:pPr>
            <w:r>
              <w:rPr>
                <w:rFonts w:hint="eastAsia"/>
              </w:rPr>
              <w:t xml:space="preserve">第120天</w:t>
            </w:r>
          </w:p>
        </w:tc>
        <w:tc>
          <w:tcPr/>
          <w:p>
            <w:pPr>
              <w:pStyle w:val="Compact"/>
              <w:jc w:val="right"/>
            </w:pPr>
            <w:r>
              <w:rPr>
                <w:rFonts w:hint="eastAsia"/>
              </w:rPr>
              <w:t xml:space="preserve">第180天</w:t>
            </w:r>
          </w:p>
        </w:tc>
        <w:tc>
          <w:tcPr/>
          <w:p>
            <w:pPr>
              <w:pStyle w:val="Compact"/>
              <w:jc w:val="right"/>
            </w:pPr>
            <w:r>
              <w:rPr>
                <w:rFonts w:hint="eastAsia"/>
              </w:rPr>
              <w:t xml:space="preserve">外推期最高价</w:t>
            </w:r>
          </w:p>
        </w:tc>
        <w:tc>
          <w:tcPr/>
          <w:p>
            <w:pPr>
              <w:pStyle w:val="Compact"/>
              <w:jc w:val="right"/>
            </w:pPr>
            <w:r>
              <w:rPr>
                <w:rFonts w:hint="eastAsia"/>
              </w:rPr>
              <w:t xml:space="preserve">外推期均价</w:t>
            </w:r>
          </w:p>
        </w:tc>
        <w:tc>
          <w:tcPr/>
          <w:p>
            <w:pPr>
              <w:pStyle w:val="Compact"/>
              <w:jc w:val="right"/>
            </w:pPr>
            <w:r>
              <w:rPr>
                <w:rFonts w:hint="eastAsia"/>
              </w:rPr>
              <w:t xml:space="preserve">风险</w:t>
            </w:r>
          </w:p>
        </w:tc>
      </w:tr>
      <w:tr>
        <w:tc>
          <w:tcPr/>
          <w:p>
            <w:pPr>
              <w:pStyle w:val="Compact"/>
              <w:jc w:val="left"/>
            </w:pPr>
            <w:r>
              <w:rPr>
                <w:rFonts w:hint="eastAsia"/>
              </w:rPr>
              <w:t xml:space="preserve">乐观</w:t>
            </w:r>
          </w:p>
        </w:tc>
        <w:tc>
          <w:tcPr/>
          <w:p>
            <w:pPr>
              <w:pStyle w:val="Compact"/>
              <w:jc w:val="right"/>
            </w:pPr>
            <w:r>
              <w:t xml:space="preserve">109.77</w:t>
            </w:r>
          </w:p>
        </w:tc>
        <w:tc>
          <w:tcPr/>
          <w:p>
            <w:pPr>
              <w:pStyle w:val="Compact"/>
              <w:jc w:val="right"/>
            </w:pPr>
            <w:r>
              <w:t xml:space="preserve">94.36</w:t>
            </w:r>
          </w:p>
        </w:tc>
        <w:tc>
          <w:tcPr/>
          <w:p>
            <w:pPr>
              <w:pStyle w:val="Compact"/>
              <w:jc w:val="right"/>
            </w:pPr>
            <w:r>
              <w:t xml:space="preserve">92.79</w:t>
            </w:r>
          </w:p>
        </w:tc>
        <w:tc>
          <w:tcPr/>
          <w:p>
            <w:pPr>
              <w:pStyle w:val="Compact"/>
              <w:jc w:val="right"/>
            </w:pPr>
            <w:r>
              <w:t xml:space="preserve">87.78</w:t>
            </w:r>
          </w:p>
        </w:tc>
        <w:tc>
          <w:tcPr/>
          <w:p>
            <w:pPr>
              <w:pStyle w:val="Compact"/>
              <w:jc w:val="right"/>
            </w:pPr>
            <w:r>
              <w:t xml:space="preserve">103.79</w:t>
            </w:r>
          </w:p>
        </w:tc>
        <w:tc>
          <w:tcPr/>
          <w:p>
            <w:pPr>
              <w:pStyle w:val="Compact"/>
              <w:jc w:val="right"/>
            </w:pPr>
            <w:r>
              <w:t xml:space="preserve">92.16</w:t>
            </w:r>
          </w:p>
        </w:tc>
        <w:tc>
          <w:tcPr/>
          <w:p>
            <w:pPr>
              <w:pStyle w:val="Compact"/>
              <w:jc w:val="right"/>
            </w:pPr>
            <w:r>
              <w:rPr>
                <w:rFonts w:hint="eastAsia"/>
              </w:rPr>
              <w:t xml:space="preserve">低</w:t>
            </w:r>
          </w:p>
        </w:tc>
      </w:tr>
      <w:tr>
        <w:tc>
          <w:tcPr/>
          <w:p>
            <w:pPr>
              <w:pStyle w:val="Compact"/>
              <w:jc w:val="left"/>
            </w:pPr>
            <w:r>
              <w:rPr>
                <w:rFonts w:hint="eastAsia"/>
              </w:rPr>
              <w:t xml:space="preserve">中性</w:t>
            </w:r>
          </w:p>
        </w:tc>
        <w:tc>
          <w:tcPr/>
          <w:p>
            <w:pPr>
              <w:pStyle w:val="Compact"/>
              <w:jc w:val="right"/>
            </w:pPr>
            <w:r>
              <w:t xml:space="preserve">109.77</w:t>
            </w:r>
          </w:p>
        </w:tc>
        <w:tc>
          <w:tcPr/>
          <w:p>
            <w:pPr>
              <w:pStyle w:val="Compact"/>
              <w:jc w:val="right"/>
            </w:pPr>
            <w:r>
              <w:t xml:space="preserve">107.12</w:t>
            </w:r>
          </w:p>
        </w:tc>
        <w:tc>
          <w:tcPr/>
          <w:p>
            <w:pPr>
              <w:pStyle w:val="Compact"/>
              <w:jc w:val="right"/>
            </w:pPr>
            <w:r>
              <w:t xml:space="preserve">102.43</w:t>
            </w:r>
          </w:p>
        </w:tc>
        <w:tc>
          <w:tcPr/>
          <w:p>
            <w:pPr>
              <w:pStyle w:val="Compact"/>
              <w:jc w:val="right"/>
            </w:pPr>
            <w:r>
              <w:t xml:space="preserve">94.15</w:t>
            </w:r>
          </w:p>
        </w:tc>
        <w:tc>
          <w:tcPr/>
          <w:p>
            <w:pPr>
              <w:pStyle w:val="Compact"/>
              <w:jc w:val="right"/>
            </w:pPr>
            <w:r>
              <w:t xml:space="preserve">110.68</w:t>
            </w:r>
          </w:p>
        </w:tc>
        <w:tc>
          <w:tcPr/>
          <w:p>
            <w:pPr>
              <w:pStyle w:val="Compact"/>
              <w:jc w:val="right"/>
            </w:pPr>
            <w:r>
              <w:t xml:space="preserve">102.17</w:t>
            </w:r>
          </w:p>
        </w:tc>
        <w:tc>
          <w:tcPr/>
          <w:p>
            <w:pPr>
              <w:pStyle w:val="Compact"/>
              <w:jc w:val="right"/>
            </w:pPr>
            <w:r>
              <w:rPr>
                <w:rFonts w:hint="eastAsia"/>
              </w:rPr>
              <w:t xml:space="preserve">低</w:t>
            </w:r>
          </w:p>
        </w:tc>
      </w:tr>
      <w:tr>
        <w:tc>
          <w:tcPr/>
          <w:p>
            <w:pPr>
              <w:pStyle w:val="Compact"/>
              <w:jc w:val="left"/>
            </w:pPr>
            <w:r>
              <w:rPr>
                <w:rFonts w:hint="eastAsia"/>
              </w:rPr>
              <w:t xml:space="preserve">悲观</w:t>
            </w:r>
          </w:p>
        </w:tc>
        <w:tc>
          <w:tcPr/>
          <w:p>
            <w:pPr>
              <w:pStyle w:val="Compact"/>
              <w:jc w:val="right"/>
            </w:pPr>
            <w:r>
              <w:t xml:space="preserve">109.77</w:t>
            </w:r>
          </w:p>
        </w:tc>
        <w:tc>
          <w:tcPr/>
          <w:p>
            <w:pPr>
              <w:pStyle w:val="Compact"/>
              <w:jc w:val="right"/>
            </w:pPr>
            <w:r>
              <w:t xml:space="preserve">127.81</w:t>
            </w:r>
          </w:p>
        </w:tc>
        <w:tc>
          <w:tcPr/>
          <w:p>
            <w:pPr>
              <w:pStyle w:val="Compact"/>
              <w:jc w:val="right"/>
            </w:pPr>
            <w:r>
              <w:t xml:space="preserve">118.64</w:t>
            </w:r>
          </w:p>
        </w:tc>
        <w:tc>
          <w:tcPr/>
          <w:p>
            <w:pPr>
              <w:pStyle w:val="Compact"/>
              <w:jc w:val="right"/>
            </w:pPr>
            <w:r>
              <w:t xml:space="preserve">110.16</w:t>
            </w:r>
          </w:p>
        </w:tc>
        <w:tc>
          <w:tcPr/>
          <w:p>
            <w:pPr>
              <w:pStyle w:val="Compact"/>
              <w:jc w:val="right"/>
            </w:pPr>
            <w:r>
              <w:t xml:space="preserve">133.91</w:t>
            </w:r>
          </w:p>
        </w:tc>
        <w:tc>
          <w:tcPr/>
          <w:p>
            <w:pPr>
              <w:pStyle w:val="Compact"/>
              <w:jc w:val="right"/>
            </w:pPr>
            <w:r>
              <w:t xml:space="preserve">120.01</w:t>
            </w:r>
          </w:p>
        </w:tc>
        <w:tc>
          <w:tcPr/>
          <w:p>
            <w:pPr>
              <w:pStyle w:val="Compact"/>
              <w:jc w:val="right"/>
            </w:pPr>
            <w:r>
              <w:rPr>
                <w:rFonts w:hint="eastAsia"/>
              </w:rPr>
              <w:t xml:space="preserve">高</w:t>
            </w:r>
          </w:p>
        </w:tc>
      </w:tr>
    </w:tbl>
    <w:bookmarkStart w:id="113" w:name="fig:long-term-fan"/>
    <w:p>
      <w:pPr>
        <w:pStyle w:val="CaptionedFigure"/>
      </w:pPr>
      <w:r>
        <w:drawing>
          <wp:inline>
            <wp:extent cx="5227320" cy="2777013"/>
            <wp:effectExtent b="0" l="0" r="0" t="0"/>
            <wp:docPr descr="" title="" id="111" name="Picture"/>
            <a:graphic>
              <a:graphicData uri="http://schemas.openxmlformats.org/drawingml/2006/picture">
                <pic:pic>
                  <pic:nvPicPr>
                    <pic:cNvPr descr="蒙特卡洛情景树高级组合图.png" id="112" name="Picture"/>
                    <pic:cNvPicPr>
                      <a:picLocks noChangeArrowheads="1" noChangeAspect="1"/>
                    </pic:cNvPicPr>
                  </pic:nvPicPr>
                  <pic:blipFill>
                    <a:blip r:embed="rId110"/>
                    <a:stretch>
                      <a:fillRect/>
                    </a:stretch>
                  </pic:blipFill>
                  <pic:spPr bwMode="auto">
                    <a:xfrm>
                      <a:off x="0" y="0"/>
                      <a:ext cx="5227320" cy="2777013"/>
                    </a:xfrm>
                    <a:prstGeom prst="rect">
                      <a:avLst/>
                    </a:prstGeom>
                    <a:noFill/>
                    <a:ln w="9525">
                      <a:noFill/>
                      <a:headEnd/>
                      <a:tailEnd/>
                    </a:ln>
                  </pic:spPr>
                </pic:pic>
              </a:graphicData>
            </a:graphic>
          </wp:inline>
        </w:drawing>
      </w:r>
    </w:p>
    <w:p>
      <w:pPr>
        <w:pStyle w:val="ImageCaption"/>
      </w:pPr>
      <w:r>
        <w:rPr>
          <w:rFonts w:hint="eastAsia"/>
        </w:rPr>
        <w:t xml:space="preserve">长期情景预测主图：蒙特卡洛情景树高级组合图。左侧展示中心路径、抽样路径云和</w:t>
      </w:r>
      <w:r>
        <w:t xml:space="preserve"> 5%–95% / 25%–75% </w:t>
      </w:r>
      <w:r>
        <w:rPr>
          <w:rFonts w:hint="eastAsia"/>
        </w:rPr>
        <w:t xml:space="preserve">条件区间，右上展示第</w:t>
      </w:r>
      <w:r>
        <w:t xml:space="preserve"> 180 </w:t>
      </w:r>
      <w:r>
        <w:rPr>
          <w:rFonts w:hint="eastAsia"/>
        </w:rPr>
        <w:t xml:space="preserve">天终点分布，右下展示外推期突破</w:t>
      </w:r>
      <w:r>
        <w:t xml:space="preserve"> 120、130 </w:t>
      </w:r>
      <w:r>
        <w:rPr>
          <w:rFonts w:hint="eastAsia"/>
        </w:rPr>
        <w:t xml:space="preserve">美元/桶的累计概率曲线。</w:t>
      </w:r>
    </w:p>
    <w:bookmarkEnd w:id="113"/>
    <w:p>
      <w:pPr>
        <w:pStyle w:val="CaptionedFigure"/>
      </w:pPr>
      <w:r>
        <w:drawing>
          <wp:inline>
            <wp:extent cx="5013960" cy="2757678"/>
            <wp:effectExtent b="0" l="0" r="0" t="0"/>
            <wp:docPr descr="" title="" id="115" name="Picture"/>
            <a:graphic>
              <a:graphicData uri="http://schemas.openxmlformats.org/drawingml/2006/picture">
                <pic:pic>
                  <pic:nvPicPr>
                    <pic:cNvPr descr="短期拟合与长期预测总览.png" id="116" name="Picture"/>
                    <pic:cNvPicPr>
                      <a:picLocks noChangeArrowheads="1" noChangeAspect="1"/>
                    </pic:cNvPicPr>
                  </pic:nvPicPr>
                  <pic:blipFill>
                    <a:blip r:embed="rId114"/>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短期机制拟合与</w:t>
      </w:r>
      <w:r>
        <w:t xml:space="preserve"> 60–180 </w:t>
      </w:r>
      <w:r>
        <w:rPr>
          <w:rFonts w:hint="eastAsia"/>
        </w:rPr>
        <w:t xml:space="preserve">天三情景预测总览。竖线左侧为附件真实数据与短期模型拟合，竖线右侧为情景外推，不作为真实观测。</w:t>
      </w:r>
    </w:p>
    <w:p>
      <w:pPr>
        <w:pStyle w:val="BodyText"/>
      </w:pPr>
      <w:r>
        <w:rPr>
          <w:rFonts w:hint="eastAsia"/>
        </w:rPr>
        <w:t xml:space="preserve">为刻画中心路径之外的事件状态不确定性，本文额外建立状态转移扰动层。该层不改变三情景物理中心路径，而是让未来状态在缓和、维持和升级之间随机切换：缓和状态向乐观中心靠近，维持状态围绕中性中心，升级状态向悲观中心和跳涨方向移动；扰动强度由附件历史价格波动估计后进行保守折扣。进一步地，本文用</w:t>
      </w:r>
      <w:r>
        <w:t xml:space="preserve"> GPR </w:t>
      </w:r>
      <w:r>
        <w:rPr>
          <w:rFonts w:hint="eastAsia"/>
        </w:rPr>
        <w:t xml:space="preserve">事件月历史分位数、OVX</w:t>
      </w:r>
      <w:r>
        <w:t xml:space="preserve"> </w:t>
      </w:r>
      <w:r>
        <w:rPr>
          <w:rFonts w:hint="eastAsia"/>
        </w:rPr>
        <w:t xml:space="preserve">冲突窗口历史分位数以及滞后</w:t>
      </w:r>
      <w:r>
        <w:t xml:space="preserve"> OVX </w:t>
      </w:r>
      <w:r>
        <w:rPr>
          <w:rFonts w:hint="eastAsia"/>
        </w:rPr>
        <w:t xml:space="preserve">与实现波动率相关性生成综合状态转移压力，用于温和提高早中期升级概率。这样得到的长期图不再是一条孤立直线，而是中心路径、状态概率和尾部区间的组合。</w:t>
      </w:r>
    </w:p>
    <w:bookmarkStart w:id="120" w:name="fig:state-transition-fan"/>
    <w:p>
      <w:pPr>
        <w:pStyle w:val="CaptionedFigure"/>
      </w:pPr>
      <w:r>
        <w:drawing>
          <wp:inline>
            <wp:extent cx="5013960" cy="3654242"/>
            <wp:effectExtent b="0" l="0" r="0" t="0"/>
            <wp:docPr descr="" title="" id="118" name="Picture"/>
            <a:graphic>
              <a:graphicData uri="http://schemas.openxmlformats.org/drawingml/2006/picture">
                <pic:pic>
                  <pic:nvPicPr>
                    <pic:cNvPr descr="长期状态转移情景树.png" id="119" name="Picture"/>
                    <pic:cNvPicPr>
                      <a:picLocks noChangeArrowheads="1" noChangeAspect="1"/>
                    </pic:cNvPicPr>
                  </pic:nvPicPr>
                  <pic:blipFill>
                    <a:blip r:embed="rId117"/>
                    <a:stretch>
                      <a:fillRect/>
                    </a:stretch>
                  </pic:blipFill>
                  <pic:spPr bwMode="auto">
                    <a:xfrm>
                      <a:off x="0" y="0"/>
                      <a:ext cx="5013960" cy="3654242"/>
                    </a:xfrm>
                    <a:prstGeom prst="rect">
                      <a:avLst/>
                    </a:prstGeom>
                    <a:noFill/>
                    <a:ln w="9525">
                      <a:noFill/>
                      <a:headEnd/>
                      <a:tailEnd/>
                    </a:ln>
                  </pic:spPr>
                </pic:pic>
              </a:graphicData>
            </a:graphic>
          </wp:inline>
        </w:drawing>
      </w:r>
    </w:p>
    <w:p>
      <w:pPr>
        <w:pStyle w:val="ImageCaption"/>
      </w:pPr>
      <w:r>
        <w:rPr>
          <w:rFonts w:hint="eastAsia"/>
        </w:rPr>
        <w:t xml:space="preserve">长期状态转移情景树。上图为状态转移后的价格扇形区间，下图为缓和、维持、升级三类状态的样本占比。</w:t>
      </w:r>
    </w:p>
    <w:bookmarkEnd w:id="120"/>
    <w:p>
      <w:pPr>
        <w:pStyle w:val="BodyText"/>
      </w:pPr>
      <w:r>
        <w:rPr>
          <w:rFonts w:hint="eastAsia"/>
        </w:rPr>
        <w:t xml:space="preserve">结果显示，中性情景下价格在</w:t>
      </w:r>
      <w:r>
        <w:t xml:space="preserve"> 180 </w:t>
      </w:r>
      <w:r>
        <w:rPr>
          <w:rFonts w:hint="eastAsia"/>
        </w:rPr>
        <w:t xml:space="preserve">天附近回落至约</w:t>
      </w:r>
      <w:r>
        <w:t xml:space="preserve"> 94.15 </w:t>
      </w:r>
      <w:r>
        <w:rPr>
          <w:rFonts w:hint="eastAsia"/>
        </w:rPr>
        <w:t xml:space="preserve">美元/桶；悲观情景下，若供应中断偏大、SPR</w:t>
      </w:r>
      <w:r>
        <w:t xml:space="preserve"> </w:t>
      </w:r>
      <w:r>
        <w:rPr>
          <w:rFonts w:hint="eastAsia"/>
        </w:rPr>
        <w:t xml:space="preserve">释放弱、绕道恢复慢且风险溢价维持高位，价格仍可能再次升至</w:t>
      </w:r>
      <w:r>
        <w:t xml:space="preserve"> 120 </w:t>
      </w:r>
      <w:r>
        <w:rPr>
          <w:rFonts w:hint="eastAsia"/>
        </w:rPr>
        <w:t xml:space="preserve">美元/桶以上，并在外推期达到约</w:t>
      </w:r>
      <w:r>
        <w:t xml:space="preserve"> 133.91 </w:t>
      </w:r>
      <w:r>
        <w:rPr>
          <w:rFonts w:hint="eastAsia"/>
        </w:rPr>
        <w:t xml:space="preserve">美元/桶的高点。状态转移增强模型进一步给出第</w:t>
      </w:r>
      <w:r>
        <w:t xml:space="preserve"> 180 </w:t>
      </w:r>
      <w:r>
        <w:rPr>
          <w:rFonts w:hint="eastAsia"/>
        </w:rPr>
        <w:t xml:space="preserve">天</w:t>
      </w:r>
      <w:r>
        <w:t xml:space="preserve"> 5%–95% </w:t>
      </w:r>
      <w:r>
        <w:rPr>
          <w:rFonts w:hint="eastAsia"/>
        </w:rPr>
        <w:t xml:space="preserve">条件区间</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38.3%，说明长期中心路径的日度精度不能单独夸大，真正应关注的是尾部区间和状态切换风险。</w:t>
      </w:r>
    </w:p>
    <w:p>
      <w:pPr>
        <w:pStyle w:val="TableCaption"/>
      </w:pPr>
      <w:r>
        <w:rPr>
          <w:rFonts w:hint="eastAsia"/>
        </w:rPr>
        <w:t xml:space="preserve">长期情景预测的可信度评价框架</w:t>
      </w:r>
    </w:p>
    <w:tbl>
      <w:tblPr>
        <w:tblStyle w:val="Table"/>
        <w:tblW w:type="auto" w:w="0"/>
        <w:tblLook w:firstRow="1" w:lastRow="0" w:firstColumn="0" w:lastColumn="0" w:noHBand="0" w:noVBand="0" w:val="0020"/>
        <w:tblCaption w:val="长期情景预测的可信度评价框架"/>
      </w:tblPr>
      <w:tblGrid>
        <w:gridCol w:w="2640"/>
        <w:gridCol w:w="2640"/>
        <w:gridCol w:w="2640"/>
      </w:tblGrid>
      <w:tr>
        <w:trPr>
          <w:tblHeader w:val="on"/>
        </w:trPr>
        <w:tc>
          <w:tcPr/>
          <w:p>
            <w:pPr>
              <w:pStyle w:val="Compact"/>
              <w:jc w:val="left"/>
            </w:pPr>
            <w:r>
              <w:rPr>
                <w:rFonts w:hint="eastAsia"/>
              </w:rPr>
              <w:t xml:space="preserve">评价维度</w:t>
            </w:r>
          </w:p>
        </w:tc>
        <w:tc>
          <w:tcPr/>
          <w:p>
            <w:pPr>
              <w:pStyle w:val="Compact"/>
              <w:jc w:val="left"/>
            </w:pPr>
            <w:r>
              <w:rPr>
                <w:rFonts w:hint="eastAsia"/>
              </w:rPr>
              <w:t xml:space="preserve">本文证据</w:t>
            </w:r>
          </w:p>
        </w:tc>
        <w:tc>
          <w:tcPr/>
          <w:p>
            <w:pPr>
              <w:pStyle w:val="Compact"/>
              <w:jc w:val="left"/>
            </w:pPr>
            <w:r>
              <w:rPr>
                <w:rFonts w:hint="eastAsia"/>
              </w:rPr>
              <w:t xml:space="preserve">解释边界</w:t>
            </w:r>
          </w:p>
        </w:tc>
      </w:tr>
      <w:tr>
        <w:tc>
          <w:tcPr/>
          <w:p>
            <w:pPr>
              <w:pStyle w:val="Compact"/>
              <w:jc w:val="left"/>
            </w:pPr>
            <w:r>
              <w:rPr>
                <w:rFonts w:hint="eastAsia"/>
              </w:rPr>
              <w:t xml:space="preserve">机制一致性</w:t>
            </w:r>
          </w:p>
        </w:tc>
        <w:tc>
          <w:tcPr/>
          <w:p>
            <w:pPr>
              <w:pStyle w:val="Compact"/>
              <w:jc w:val="left"/>
            </w:pPr>
            <w:r>
              <w:t xml:space="preserve">SPR </w:t>
            </w:r>
            <w:r>
              <w:rPr>
                <w:rFonts w:hint="eastAsia"/>
              </w:rPr>
              <w:t xml:space="preserve">自适应收缩、长期需求弹性、供给恢复和风险溢价衰减进入同一递推式</w:t>
            </w:r>
          </w:p>
        </w:tc>
        <w:tc>
          <w:tcPr/>
          <w:p>
            <w:pPr>
              <w:pStyle w:val="Compact"/>
              <w:jc w:val="left"/>
            </w:pPr>
            <w:r>
              <w:rPr>
                <w:rFonts w:hint="eastAsia"/>
              </w:rPr>
              <w:t xml:space="preserve">检验情景逻辑是否自洽，不代表未来真实价格已经被验证</w:t>
            </w:r>
          </w:p>
        </w:tc>
      </w:tr>
      <w:tr>
        <w:tc>
          <w:tcPr/>
          <w:p>
            <w:pPr>
              <w:pStyle w:val="Compact"/>
              <w:jc w:val="left"/>
            </w:pPr>
            <w:r>
              <w:rPr>
                <w:rFonts w:hint="eastAsia"/>
              </w:rPr>
              <w:t xml:space="preserve">外部数量级校验</w:t>
            </w:r>
          </w:p>
        </w:tc>
        <w:tc>
          <w:tcPr/>
          <w:p>
            <w:pPr>
              <w:pStyle w:val="Compact"/>
              <w:jc w:val="left"/>
            </w:pPr>
            <w:r>
              <w:t xml:space="preserve">EIA </w:t>
            </w:r>
            <w:r>
              <w:rPr>
                <w:rFonts w:hint="eastAsia"/>
              </w:rPr>
              <w:t xml:space="preserve">周度</w:t>
            </w:r>
            <w:r>
              <w:t xml:space="preserve"> </w:t>
            </w:r>
            <w:r>
              <w:rPr>
                <w:rFonts w:hint="eastAsia"/>
              </w:rPr>
              <w:t xml:space="preserve">SPR、商业库存和美国原油产量，叠加</w:t>
            </w:r>
            <w:r>
              <w:t xml:space="preserve"> JODI </w:t>
            </w:r>
            <w:r>
              <w:rPr>
                <w:rFonts w:hint="eastAsia"/>
              </w:rPr>
              <w:t xml:space="preserve">多国月度产量、库存、进出口、需求和炼厂产出、OPEC</w:t>
            </w:r>
            <w:r>
              <w:t xml:space="preserve"> </w:t>
            </w:r>
            <w:r>
              <w:rPr>
                <w:rFonts w:hint="eastAsia"/>
              </w:rPr>
              <w:t xml:space="preserve">全球供需平衡表，以及</w:t>
            </w:r>
            <w:r>
              <w:t xml:space="preserve"> OVX </w:t>
            </w:r>
            <w:r>
              <w:rPr>
                <w:rFonts w:hint="eastAsia"/>
              </w:rPr>
              <w:t xml:space="preserve">隐含波动率</w:t>
            </w:r>
          </w:p>
        </w:tc>
        <w:tc>
          <w:tcPr/>
          <w:p>
            <w:pPr>
              <w:pStyle w:val="Compact"/>
              <w:jc w:val="left"/>
            </w:pPr>
            <w:r>
              <w:t xml:space="preserve">EIA </w:t>
            </w:r>
            <w:r>
              <w:rPr>
                <w:rFonts w:hint="eastAsia"/>
              </w:rPr>
              <w:t xml:space="preserve">为美国口径，JODI</w:t>
            </w:r>
            <w:r>
              <w:t xml:space="preserve"> </w:t>
            </w:r>
            <w:r>
              <w:rPr>
                <w:rFonts w:hint="eastAsia"/>
              </w:rPr>
              <w:t xml:space="preserve">为多国上报口径，OPEC</w:t>
            </w:r>
            <w:r>
              <w:t xml:space="preserve"> </w:t>
            </w:r>
            <w:r>
              <w:rPr>
                <w:rFonts w:hint="eastAsia"/>
              </w:rPr>
              <w:t xml:space="preserve">为正常基线预测，OVX</w:t>
            </w:r>
            <w:r>
              <w:t xml:space="preserve"> </w:t>
            </w:r>
            <w:r>
              <w:rPr>
                <w:rFonts w:hint="eastAsia"/>
              </w:rPr>
              <w:t xml:space="preserve">为期权市场波动预期；这些数据用于数量级和风险约束，不能直接替代赛题冲击参数</w:t>
            </w:r>
          </w:p>
        </w:tc>
      </w:tr>
      <w:tr>
        <w:tc>
          <w:tcPr/>
          <w:p>
            <w:pPr>
              <w:pStyle w:val="Compact"/>
              <w:jc w:val="left"/>
            </w:pPr>
            <w:r>
              <w:rPr>
                <w:rFonts w:hint="eastAsia"/>
              </w:rPr>
              <w:t xml:space="preserve">单因素敏感性</w:t>
            </w:r>
          </w:p>
        </w:tc>
        <w:tc>
          <w:tcPr/>
          <w:p>
            <w:pPr>
              <w:pStyle w:val="Compact"/>
              <w:jc w:val="left"/>
            </w:pPr>
            <w:r>
              <w:rPr>
                <w:rFonts w:hint="eastAsia"/>
              </w:rPr>
              <w:t xml:space="preserve">第</w:t>
            </w:r>
            <w:r>
              <w:t xml:space="preserve"> 180 </w:t>
            </w:r>
            <w:r>
              <w:rPr>
                <w:rFonts w:hint="eastAsia"/>
              </w:rPr>
              <w:t xml:space="preserve">天价格对封锁风险衰减速度、地缘风险权重和制度风险强度最敏感</w:t>
            </w:r>
          </w:p>
        </w:tc>
        <w:tc>
          <w:tcPr/>
          <w:p>
            <w:pPr>
              <w:pStyle w:val="Compact"/>
              <w:jc w:val="left"/>
            </w:pPr>
            <w:r>
              <w:rPr>
                <w:rFonts w:hint="eastAsia"/>
              </w:rPr>
              <w:t xml:space="preserve">识别关键变量，不给出联合概率</w:t>
            </w:r>
          </w:p>
        </w:tc>
      </w:tr>
      <w:tr>
        <w:tc>
          <w:tcPr/>
          <w:p>
            <w:pPr>
              <w:pStyle w:val="Compact"/>
              <w:jc w:val="left"/>
            </w:pPr>
            <w:r>
              <w:rPr>
                <w:rFonts w:hint="eastAsia"/>
              </w:rPr>
              <w:t xml:space="preserve">蒙特卡洛情景树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89.58–106.44 </w:t>
            </w:r>
            <w:r>
              <w:rPr>
                <w:rFonts w:hint="eastAsia"/>
              </w:rPr>
              <w:t xml:space="preserve">美元/桶，最高价突破</w:t>
            </w:r>
            <w:r>
              <w:t xml:space="preserve"> 120 </w:t>
            </w:r>
            <w:r>
              <w:rPr>
                <w:rFonts w:hint="eastAsia"/>
              </w:rPr>
              <w:t xml:space="preserve">概率约</w:t>
            </w:r>
            <w:r>
              <w:t xml:space="preserve"> 16.3%</w:t>
            </w:r>
          </w:p>
        </w:tc>
        <w:tc>
          <w:tcPr/>
          <w:p>
            <w:pPr>
              <w:pStyle w:val="Compact"/>
              <w:jc w:val="left"/>
            </w:pPr>
            <w:r>
              <w:rPr>
                <w:rFonts w:hint="eastAsia"/>
              </w:rPr>
              <w:t xml:space="preserve">条件概率，不是无条件市场概率</w:t>
            </w:r>
          </w:p>
        </w:tc>
      </w:tr>
      <w:tr>
        <w:tc>
          <w:tcPr/>
          <w:p>
            <w:pPr>
              <w:pStyle w:val="Compact"/>
              <w:jc w:val="left"/>
            </w:pPr>
            <w:r>
              <w:rPr>
                <w:rFonts w:hint="eastAsia"/>
              </w:rPr>
              <w:t xml:space="preserve">状态转移情景树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概率约</w:t>
            </w:r>
            <w:r>
              <w:t xml:space="preserve"> 38.3%</w:t>
            </w:r>
          </w:p>
        </w:tc>
        <w:tc>
          <w:tcPr/>
          <w:p>
            <w:pPr>
              <w:pStyle w:val="Compact"/>
              <w:jc w:val="left"/>
            </w:pPr>
            <w:r>
              <w:rPr>
                <w:rFonts w:hint="eastAsia"/>
              </w:rPr>
              <w:t xml:space="preserve">用于解释平滑中心线之外的事件状态切换和短期扰动，不代表未来真实价格已被观测</w:t>
            </w:r>
          </w:p>
        </w:tc>
      </w:tr>
    </w:tbl>
    <w:p>
      <w:pPr>
        <w:pStyle w:val="BodyText"/>
      </w:pPr>
      <w:r>
        <w:rPr>
          <w:rFonts w:hint="eastAsia"/>
        </w:rPr>
        <w:t xml:space="preserve">从价格平衡点看，乐观情景最终回落至约</w:t>
      </w:r>
      <w:r>
        <w:t xml:space="preserve"> 87.78 </w:t>
      </w:r>
      <w:r>
        <w:rPr>
          <w:rFonts w:hint="eastAsia"/>
        </w:rPr>
        <w:t xml:space="preserve">美元/桶，说明若</w:t>
      </w:r>
      <w:r>
        <w:t xml:space="preserve"> SPR </w:t>
      </w:r>
      <w:r>
        <w:rPr>
          <w:rFonts w:hint="eastAsia"/>
        </w:rPr>
        <w:t xml:space="preserve">可用上限较高、绕道运输恢复充分且长期需求弹性发挥作用，油价可以逐步脱离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94.15 </w:t>
      </w:r>
      <w:r>
        <w:rPr>
          <w:rFonts w:hint="eastAsia"/>
        </w:rPr>
        <w:t xml:space="preserve">美元/桶，更接近政策缓冲与市场风险重新平衡后的中心水平；此时实际</w:t>
      </w:r>
      <w:r>
        <w:t xml:space="preserve"> SPR </w:t>
      </w:r>
      <w:r>
        <w:rPr>
          <w:rFonts w:hint="eastAsia"/>
        </w:rPr>
        <w:t xml:space="preserve">释放已经从计划上限自动收缩，且物理缺口基本闭合，说明价格回落不是依赖政策变量机械满额托底。悲观情景第</w:t>
      </w:r>
      <w:r>
        <w:t xml:space="preserve"> 180 </w:t>
      </w:r>
      <w:r>
        <w:rPr>
          <w:rFonts w:hint="eastAsia"/>
        </w:rPr>
        <w:t xml:space="preserve">天仍为</w:t>
      </w:r>
      <w:r>
        <w:t xml:space="preserve"> 110.16 </w:t>
      </w:r>
      <w:r>
        <w:rPr>
          <w:rFonts w:hint="eastAsia"/>
        </w:rPr>
        <w:t xml:space="preserve">美元/桶，说明若供应中断规模接近上界、SPR</w:t>
      </w:r>
      <w:r>
        <w:t xml:space="preserve"> </w:t>
      </w:r>
      <w:r>
        <w:rPr>
          <w:rFonts w:hint="eastAsia"/>
        </w:rPr>
        <w:t xml:space="preserve">释放不足且制度风险溢价持续，市场仍可能维持相对高位，并保留二次跳涨尾部风险。</w:t>
      </w:r>
    </w:p>
    <w:p>
      <w:pPr>
        <w:pStyle w:val="BodyText"/>
      </w:pPr>
      <w:r>
        <w:rPr>
          <w:rFonts w:hint="eastAsia"/>
        </w:rPr>
        <w:t xml:space="preserve">需要主动说明的是，中性第</w:t>
      </w:r>
      <w:r>
        <w:t xml:space="preserve"> 180 </w:t>
      </w:r>
      <w:r>
        <w:rPr>
          <w:rFonts w:hint="eastAsia"/>
        </w:rPr>
        <w:t xml:space="preserve">天物理缺口已基本闭合，但价格仍高于战前</w:t>
      </w:r>
      <w:r>
        <w:t xml:space="preserve"> 75 </w:t>
      </w:r>
      <w:r>
        <w:rPr>
          <w:rFonts w:hint="eastAsia"/>
        </w:rPr>
        <w:t xml:space="preserve">美元/桶，并非供需项失效，而是模型中仍保留不确定性和制度风险溢价。该设定表示：即便物理缺口基本闭合，只要霍尔木兹封锁的制度状态没有完全解除，市场仍会对运输保险、航运安全、库存再补充和再次升级风险给出残余溢价。因此</w:t>
      </w:r>
      <w:r>
        <w:t xml:space="preserve"> 94.15 </w:t>
      </w:r>
      <w:r>
        <w:rPr>
          <w:rFonts w:hint="eastAsia"/>
        </w:rPr>
        <w:t xml:space="preserve">美元/桶不是模型声称的唯一真实价格，而是</w:t>
      </w:r>
      <w:r>
        <w:rPr>
          <w:rFonts w:hint="eastAsia"/>
        </w:rPr>
        <w:t xml:space="preserve">“物理缺口闭合但制度风险尚未完全消失”</w:t>
      </w:r>
      <w:r>
        <w:rPr>
          <w:rFonts w:hint="eastAsia"/>
        </w:rPr>
        <w:t xml:space="preserve">条件下的中心路径。</w:t>
      </w:r>
    </w:p>
    <w:p>
      <w:pPr>
        <w:pStyle w:val="CaptionedFigure"/>
      </w:pPr>
      <w:r>
        <w:drawing>
          <wp:inline>
            <wp:extent cx="4907280" cy="3413760"/>
            <wp:effectExtent b="0" l="0" r="0" t="0"/>
            <wp:docPr descr="" title="" id="122" name="Picture"/>
            <a:graphic>
              <a:graphicData uri="http://schemas.openxmlformats.org/drawingml/2006/picture">
                <pic:pic>
                  <pic:nvPicPr>
                    <pic:cNvPr descr="库存与供需缺口风险.png" id="123" name="Picture"/>
                    <pic:cNvPicPr>
                      <a:picLocks noChangeArrowheads="1" noChangeAspect="1"/>
                    </pic:cNvPicPr>
                  </pic:nvPicPr>
                  <pic:blipFill>
                    <a:blip r:embed="rId121"/>
                    <a:stretch>
                      <a:fillRect/>
                    </a:stretch>
                  </pic:blipFill>
                  <pic:spPr bwMode="auto">
                    <a:xfrm>
                      <a:off x="0" y="0"/>
                      <a:ext cx="4907280" cy="3413760"/>
                    </a:xfrm>
                    <a:prstGeom prst="rect">
                      <a:avLst/>
                    </a:prstGeom>
                    <a:noFill/>
                    <a:ln w="9525">
                      <a:noFill/>
                      <a:headEnd/>
                      <a:tailEnd/>
                    </a:ln>
                  </pic:spPr>
                </pic:pic>
              </a:graphicData>
            </a:graphic>
          </wp:inline>
        </w:drawing>
      </w:r>
    </w:p>
    <w:p>
      <w:pPr>
        <w:pStyle w:val="ImageCaption"/>
      </w:pPr>
      <w:r>
        <w:rPr>
          <w:rFonts w:hint="eastAsia"/>
        </w:rPr>
        <w:t xml:space="preserve">商业库存剩余量与剩余供需缺口变化。悲观情景下缓冲能力下降，二次跳涨风险上升。</w:t>
      </w:r>
    </w:p>
    <w:bookmarkEnd w:id="124"/>
    <w:bookmarkEnd w:id="125"/>
    <w:bookmarkStart w:id="164" w:name="敏感性分析"/>
    <w:p>
      <w:pPr>
        <w:pStyle w:val="Heading1"/>
      </w:pPr>
      <w:r>
        <w:rPr>
          <w:rFonts w:hint="eastAsia"/>
        </w:rPr>
        <w:t xml:space="preserve">敏感性分析</w:t>
      </w:r>
    </w:p>
    <w:bookmarkStart w:id="126" w:name="分析方法"/>
    <w:p>
      <w:pPr>
        <w:pStyle w:val="Heading2"/>
      </w:pPr>
      <w:r>
        <w:rPr>
          <w:rFonts w:hint="eastAsia"/>
        </w:rPr>
        <w:t xml:space="preserve">分析方法</w:t>
      </w:r>
    </w:p>
    <w:p>
      <w:pPr>
        <w:pStyle w:val="FirstParagraph"/>
      </w:pPr>
      <w:r>
        <w:rPr>
          <w:rFonts w:hint="eastAsia"/>
        </w:rPr>
        <w:t xml:space="preserve">敏感性分析以中性情景为基准，对</w:t>
      </w:r>
      <w:r>
        <w:t xml:space="preserve"> 16 </w:t>
      </w:r>
      <w:r>
        <w:rPr>
          <w:rFonts w:hint="eastAsia"/>
        </w:rPr>
        <w:t xml:space="preserve">个关键参数进行单因素扰动，观察第</w:t>
      </w:r>
      <w:r>
        <w:t xml:space="preserve"> 180 </w:t>
      </w:r>
      <w:r>
        <w:rPr>
          <w:rFonts w:hint="eastAsia"/>
        </w:rPr>
        <w:t xml:space="preserve">天价格、外推期最高价、剩余供需缺口和二次跳涨风险变化。除题面物理量和行为参数外，本阶段还把长期机制强度参数单独纳入检验，避免长期结论依赖隐藏常数。综合敏感度定义为</w:t>
      </w:r>
    </w:p>
    <w:p>
      <w:pPr>
        <w:pStyle w:val="BodyText"/>
      </w:pPr>
      <m:oMathPara>
        <m:oMathParaPr>
          <m:jc m:val="center"/>
        </m:oMathParaPr>
        <m:oMath>
          <m:r>
            <m:rPr>
              <m:scr m:val="script"/>
              <m:sty m:val="p"/>
            </m:rPr>
            <m:t>S</m:t>
          </m:r>
          <m:r>
            <m:rPr>
              <m:sty m:val="p"/>
            </m:rPr>
            <m:t>=</m:t>
          </m:r>
          <m:r>
            <m:rPr>
              <m:sty m:val="p"/>
            </m:rPr>
            <m:t>Δ</m:t>
          </m:r>
          <m:sSub>
            <m:e>
              <m:r>
                <m:t>P</m:t>
              </m:r>
            </m:e>
            <m:sub>
              <m:r>
                <m:t>180</m:t>
              </m:r>
            </m:sub>
          </m:sSub>
          <m:r>
            <m:rPr>
              <m:sty m:val="p"/>
            </m:rPr>
            <m:t>+</m:t>
          </m:r>
          <m:r>
            <m:t>0.45</m:t>
          </m:r>
          <m:r>
            <m:rPr>
              <m:sty m:val="p"/>
            </m:rPr>
            <m:t>Δ</m:t>
          </m:r>
          <m:sSub>
            <m:e>
              <m:r>
                <m:t>P</m:t>
              </m:r>
            </m:e>
            <m:sub>
              <m:r>
                <m:rPr>
                  <m:sty m:val="p"/>
                </m:rPr>
                <m:t>max</m:t>
              </m:r>
            </m:sub>
          </m:sSub>
          <m:r>
            <m:rPr>
              <m:sty m:val="p"/>
            </m:rPr>
            <m:t>+</m:t>
          </m:r>
          <m:r>
            <m:t>0.002</m:t>
          </m:r>
          <m:r>
            <m:rPr>
              <m:sty m:val="p"/>
            </m:rPr>
            <m:t>Δ</m:t>
          </m:r>
          <m:sSub>
            <m:e>
              <m:r>
                <m:t>G</m:t>
              </m:r>
            </m:e>
            <m:sub>
              <m:r>
                <m:t>180</m:t>
              </m:r>
            </m:sub>
          </m:sSub>
          <m:r>
            <m:rPr>
              <m:sty m:val="p"/>
            </m:rPr>
            <m:t>,</m:t>
          </m:r>
        </m:oMath>
      </m:oMathPara>
    </w:p>
    <w:p>
      <w:pPr>
        <w:pStyle w:val="FirstParagraph"/>
      </w:pPr>
      <w:r>
        <w:rPr>
          <w:rFonts w:hint="eastAsia"/>
        </w:rPr>
        <w:t xml:space="preserve">其中</w:t>
      </w:r>
      <w:r>
        <w:t xml:space="preserve"> </w:t>
      </w:r>
      <m:oMath>
        <m:r>
          <m:rPr>
            <m:sty m:val="p"/>
          </m:rPr>
          <m:t>Δ</m:t>
        </m:r>
        <m:sSub>
          <m:e>
            <m:r>
              <m:t>P</m:t>
            </m:r>
          </m:e>
          <m:sub>
            <m:r>
              <m:t>180</m:t>
            </m:r>
          </m:sub>
        </m:sSub>
      </m:oMath>
      <w:r>
        <w:t xml:space="preserve"> </w:t>
      </w:r>
      <w:r>
        <w:rPr>
          <w:rFonts w:hint="eastAsia"/>
        </w:rPr>
        <w:t xml:space="preserve">是第</w:t>
      </w:r>
      <w:r>
        <w:t xml:space="preserve"> 180 </w:t>
      </w:r>
      <w:r>
        <w:rPr>
          <w:rFonts w:hint="eastAsia"/>
        </w:rPr>
        <w:t xml:space="preserve">天价格波动范围，</w:t>
      </w:r>
      <m:oMath>
        <m:r>
          <m:rPr>
            <m:sty m:val="p"/>
          </m:rPr>
          <m:t>Δ</m:t>
        </m:r>
        <m:sSub>
          <m:e>
            <m:r>
              <m:t>P</m:t>
            </m:r>
          </m:e>
          <m:sub>
            <m:r>
              <m:rPr>
                <m:sty m:val="p"/>
              </m:rPr>
              <m:t>max</m:t>
            </m:r>
          </m:sub>
        </m:sSub>
      </m:oMath>
      <w:r>
        <w:t xml:space="preserve"> </w:t>
      </w:r>
      <w:r>
        <w:rPr>
          <w:rFonts w:hint="eastAsia"/>
        </w:rPr>
        <w:t xml:space="preserve">是外推期最高价波动范围，</w:t>
      </w:r>
      <m:oMath>
        <m:r>
          <m:rPr>
            <m:sty m:val="p"/>
          </m:rPr>
          <m:t>Δ</m:t>
        </m:r>
        <m:sSub>
          <m:e>
            <m:r>
              <m:t>G</m:t>
            </m:r>
          </m:e>
          <m:sub>
            <m:r>
              <m:t>180</m:t>
            </m:r>
          </m:sub>
        </m:sSub>
      </m:oMath>
      <w:r>
        <w:t xml:space="preserve"> </w:t>
      </w:r>
      <w:r>
        <w:rPr>
          <w:rFonts w:hint="eastAsia"/>
        </w:rPr>
        <w:t xml:space="preserve">是第</w:t>
      </w:r>
      <w:r>
        <w:t xml:space="preserve"> 180 </w:t>
      </w:r>
      <w:r>
        <w:rPr>
          <w:rFonts w:hint="eastAsia"/>
        </w:rPr>
        <w:t xml:space="preserve">天剩余缺口波动范围。该指标兼顾终点价格、阶段峰值和供需风险。</w:t>
      </w:r>
    </w:p>
    <w:bookmarkEnd w:id="126"/>
    <w:bookmarkStart w:id="130" w:name="参数重要性排序"/>
    <w:p>
      <w:pPr>
        <w:pStyle w:val="Heading2"/>
      </w:pPr>
      <w:r>
        <w:rPr>
          <w:rFonts w:hint="eastAsia"/>
        </w:rPr>
        <w:t xml:space="preserve">参数重要性排序</w:t>
      </w:r>
    </w:p>
    <w:p>
      <w:pPr>
        <w:pStyle w:val="TableCaption"/>
      </w:pPr>
      <w:r>
        <w:rPr>
          <w:rFonts w:hint="eastAsia"/>
        </w:rPr>
        <w:t xml:space="preserve">参数综合敏感度排序</w:t>
      </w:r>
    </w:p>
    <w:tbl>
      <w:tblPr>
        <w:tblStyle w:val="Table"/>
        <w:tblW w:type="auto" w:w="0"/>
        <w:tblLook w:firstRow="1" w:lastRow="0" w:firstColumn="0" w:lastColumn="0" w:noHBand="0" w:noVBand="0" w:val="0020"/>
        <w:tblCaption w:val="参数综合敏感度排序"/>
      </w:tblPr>
      <w:tblGrid>
        <w:gridCol w:w="1584"/>
        <w:gridCol w:w="1584"/>
        <w:gridCol w:w="1584"/>
        <w:gridCol w:w="1584"/>
        <w:gridCol w:w="1584"/>
      </w:tblGrid>
      <w:tr>
        <w:trPr>
          <w:tblHeader w:val="on"/>
        </w:trPr>
        <w:tc>
          <w:tcPr/>
          <w:p>
            <w:pPr>
              <w:pStyle w:val="Compact"/>
              <w:jc w:val="right"/>
            </w:pPr>
            <w:r>
              <w:rPr>
                <w:rFonts w:hint="eastAsia"/>
              </w:rPr>
              <w:t xml:space="preserve">排名</w:t>
            </w:r>
          </w:p>
        </w:tc>
        <w:tc>
          <w:tcPr/>
          <w:p>
            <w:pPr>
              <w:pStyle w:val="Compact"/>
              <w:jc w:val="left"/>
            </w:pPr>
            <w:r>
              <w:rPr>
                <w:rFonts w:hint="eastAsia"/>
              </w:rPr>
              <w:t xml:space="preserve">参数</w:t>
            </w:r>
          </w:p>
        </w:tc>
        <w:tc>
          <w:tcPr/>
          <w:p>
            <w:pPr>
              <w:pStyle w:val="Compact"/>
              <w:jc w:val="right"/>
            </w:pPr>
            <w:r>
              <w:rPr>
                <w:rFonts w:hint="eastAsia"/>
              </w:rPr>
              <w:t xml:space="preserve">综合敏感度</w:t>
            </w:r>
          </w:p>
        </w:tc>
        <w:tc>
          <w:tcPr/>
          <w:p>
            <w:pPr>
              <w:pStyle w:val="Compact"/>
              <w:jc w:val="right"/>
            </w:pPr>
            <w:r>
              <w:rPr>
                <w:rFonts w:hint="eastAsia"/>
              </w:rPr>
              <w:t xml:space="preserve">第180天波动</w:t>
            </w:r>
          </w:p>
        </w:tc>
        <w:tc>
          <w:tcPr/>
          <w:p>
            <w:pPr>
              <w:pStyle w:val="Compact"/>
              <w:jc w:val="right"/>
            </w:pPr>
            <w:r>
              <w:rPr>
                <w:rFonts w:hint="eastAsia"/>
              </w:rPr>
              <w:t xml:space="preserve">外推峰值波动</w:t>
            </w:r>
          </w:p>
        </w:tc>
      </w:tr>
      <w:tr>
        <w:tc>
          <w:tcPr/>
          <w:p>
            <w:pPr>
              <w:pStyle w:val="Compact"/>
              <w:jc w:val="right"/>
            </w:pPr>
            <w:r>
              <w:t xml:space="preserve">1</w:t>
            </w:r>
          </w:p>
        </w:tc>
        <w:tc>
          <w:tcPr/>
          <w:p>
            <w:pPr>
              <w:pStyle w:val="Compact"/>
              <w:jc w:val="left"/>
            </w:pPr>
            <w:r>
              <w:rPr>
                <w:rFonts w:hint="eastAsia"/>
              </w:rPr>
              <w:t xml:space="preserve">封锁风险衰减速度</w:t>
            </w:r>
          </w:p>
        </w:tc>
        <w:tc>
          <w:tcPr/>
          <w:p>
            <w:pPr>
              <w:pStyle w:val="Compact"/>
              <w:jc w:val="right"/>
            </w:pPr>
            <w:r>
              <w:t xml:space="preserve">18.37</w:t>
            </w:r>
          </w:p>
        </w:tc>
        <w:tc>
          <w:tcPr/>
          <w:p>
            <w:pPr>
              <w:pStyle w:val="Compact"/>
              <w:jc w:val="right"/>
            </w:pPr>
            <w:r>
              <w:t xml:space="preserve">14.93</w:t>
            </w:r>
          </w:p>
        </w:tc>
        <w:tc>
          <w:tcPr/>
          <w:p>
            <w:pPr>
              <w:pStyle w:val="Compact"/>
              <w:jc w:val="right"/>
            </w:pPr>
            <w:r>
              <w:t xml:space="preserve">7.65</w:t>
            </w:r>
          </w:p>
        </w:tc>
      </w:tr>
      <w:tr>
        <w:tc>
          <w:tcPr/>
          <w:p>
            <w:pPr>
              <w:pStyle w:val="Compact"/>
              <w:jc w:val="right"/>
            </w:pPr>
            <w:r>
              <w:t xml:space="preserve">2</w:t>
            </w:r>
          </w:p>
        </w:tc>
        <w:tc>
          <w:tcPr/>
          <w:p>
            <w:pPr>
              <w:pStyle w:val="Compact"/>
              <w:jc w:val="left"/>
            </w:pPr>
            <w:r>
              <w:rPr>
                <w:rFonts w:hint="eastAsia"/>
              </w:rPr>
              <w:t xml:space="preserve">地缘风险权重</w:t>
            </w:r>
          </w:p>
        </w:tc>
        <w:tc>
          <w:tcPr/>
          <w:p>
            <w:pPr>
              <w:pStyle w:val="Compact"/>
              <w:jc w:val="right"/>
            </w:pPr>
            <w:r>
              <w:t xml:space="preserve">13.58</w:t>
            </w:r>
          </w:p>
        </w:tc>
        <w:tc>
          <w:tcPr/>
          <w:p>
            <w:pPr>
              <w:pStyle w:val="Compact"/>
              <w:jc w:val="right"/>
            </w:pPr>
            <w:r>
              <w:t xml:space="preserve">8.41</w:t>
            </w:r>
          </w:p>
        </w:tc>
        <w:tc>
          <w:tcPr/>
          <w:p>
            <w:pPr>
              <w:pStyle w:val="Compact"/>
              <w:jc w:val="right"/>
            </w:pPr>
            <w:r>
              <w:t xml:space="preserve">11.48</w:t>
            </w:r>
          </w:p>
        </w:tc>
      </w:tr>
      <w:tr>
        <w:tc>
          <w:tcPr/>
          <w:p>
            <w:pPr>
              <w:pStyle w:val="Compact"/>
              <w:jc w:val="right"/>
            </w:pPr>
            <w:r>
              <w:t xml:space="preserve">3</w:t>
            </w:r>
          </w:p>
        </w:tc>
        <w:tc>
          <w:tcPr/>
          <w:p>
            <w:pPr>
              <w:pStyle w:val="Compact"/>
              <w:jc w:val="left"/>
            </w:pPr>
            <w:r>
              <w:rPr>
                <w:rFonts w:hint="eastAsia"/>
              </w:rPr>
              <w:t xml:space="preserve">不确定性与制度风险强度</w:t>
            </w:r>
          </w:p>
        </w:tc>
        <w:tc>
          <w:tcPr/>
          <w:p>
            <w:pPr>
              <w:pStyle w:val="Compact"/>
              <w:jc w:val="right"/>
            </w:pPr>
            <w:r>
              <w:t xml:space="preserve">10.04</w:t>
            </w:r>
          </w:p>
        </w:tc>
        <w:tc>
          <w:tcPr/>
          <w:p>
            <w:pPr>
              <w:pStyle w:val="Compact"/>
              <w:jc w:val="right"/>
            </w:pPr>
            <w:r>
              <w:t xml:space="preserve">4.94</w:t>
            </w:r>
          </w:p>
        </w:tc>
        <w:tc>
          <w:tcPr/>
          <w:p>
            <w:pPr>
              <w:pStyle w:val="Compact"/>
              <w:jc w:val="right"/>
            </w:pPr>
            <w:r>
              <w:t xml:space="preserve">11.33</w:t>
            </w:r>
          </w:p>
        </w:tc>
      </w:tr>
      <w:tr>
        <w:tc>
          <w:tcPr/>
          <w:p>
            <w:pPr>
              <w:pStyle w:val="Compact"/>
              <w:jc w:val="right"/>
            </w:pPr>
            <w:r>
              <w:t xml:space="preserve">4</w:t>
            </w:r>
          </w:p>
        </w:tc>
        <w:tc>
          <w:tcPr/>
          <w:p>
            <w:pPr>
              <w:pStyle w:val="Compact"/>
              <w:jc w:val="left"/>
            </w:pPr>
            <w:r>
              <w:rPr>
                <w:rFonts w:hint="eastAsia"/>
              </w:rPr>
              <w:t xml:space="preserve">制度风险占比</w:t>
            </w:r>
          </w:p>
        </w:tc>
        <w:tc>
          <w:tcPr/>
          <w:p>
            <w:pPr>
              <w:pStyle w:val="Compact"/>
              <w:jc w:val="right"/>
            </w:pPr>
            <w:r>
              <w:t xml:space="preserve">6.68</w:t>
            </w:r>
          </w:p>
        </w:tc>
        <w:tc>
          <w:tcPr/>
          <w:p>
            <w:pPr>
              <w:pStyle w:val="Compact"/>
              <w:jc w:val="right"/>
            </w:pPr>
            <w:r>
              <w:t xml:space="preserve">5.21</w:t>
            </w:r>
          </w:p>
        </w:tc>
        <w:tc>
          <w:tcPr/>
          <w:p>
            <w:pPr>
              <w:pStyle w:val="Compact"/>
              <w:jc w:val="right"/>
            </w:pPr>
            <w:r>
              <w:t xml:space="preserve">3.27</w:t>
            </w:r>
          </w:p>
        </w:tc>
      </w:tr>
      <w:tr>
        <w:tc>
          <w:tcPr/>
          <w:p>
            <w:pPr>
              <w:pStyle w:val="Compact"/>
              <w:jc w:val="right"/>
            </w:pPr>
            <w:r>
              <w:t xml:space="preserve">5</w:t>
            </w:r>
          </w:p>
        </w:tc>
        <w:tc>
          <w:tcPr/>
          <w:p>
            <w:pPr>
              <w:pStyle w:val="Compact"/>
              <w:jc w:val="left"/>
            </w:pPr>
            <w:r>
              <w:rPr>
                <w:rFonts w:hint="eastAsia"/>
              </w:rPr>
              <w:t xml:space="preserve">供应中断量</w:t>
            </w:r>
          </w:p>
        </w:tc>
        <w:tc>
          <w:tcPr/>
          <w:p>
            <w:pPr>
              <w:pStyle w:val="Compact"/>
              <w:jc w:val="right"/>
            </w:pPr>
            <w:r>
              <w:t xml:space="preserve">6.17</w:t>
            </w:r>
          </w:p>
        </w:tc>
        <w:tc>
          <w:tcPr/>
          <w:p>
            <w:pPr>
              <w:pStyle w:val="Compact"/>
              <w:jc w:val="right"/>
            </w:pPr>
            <w:r>
              <w:t xml:space="preserve">3.39</w:t>
            </w:r>
          </w:p>
        </w:tc>
        <w:tc>
          <w:tcPr/>
          <w:p>
            <w:pPr>
              <w:pStyle w:val="Compact"/>
              <w:jc w:val="right"/>
            </w:pPr>
            <w:r>
              <w:t xml:space="preserve">6.18</w:t>
            </w:r>
          </w:p>
        </w:tc>
      </w:tr>
      <w:tr>
        <w:tc>
          <w:tcPr/>
          <w:p>
            <w:pPr>
              <w:pStyle w:val="Compact"/>
              <w:jc w:val="right"/>
            </w:pPr>
            <w:r>
              <w:t xml:space="preserve">6</w:t>
            </w:r>
          </w:p>
        </w:tc>
        <w:tc>
          <w:tcPr/>
          <w:p>
            <w:pPr>
              <w:pStyle w:val="Compact"/>
              <w:jc w:val="left"/>
            </w:pPr>
            <w:r>
              <w:rPr>
                <w:rFonts w:hint="eastAsia"/>
              </w:rPr>
              <w:t xml:space="preserve">长期需求弹性</w:t>
            </w:r>
          </w:p>
        </w:tc>
        <w:tc>
          <w:tcPr/>
          <w:p>
            <w:pPr>
              <w:pStyle w:val="Compact"/>
              <w:jc w:val="right"/>
            </w:pPr>
            <w:r>
              <w:t xml:space="preserve">3.82</w:t>
            </w:r>
          </w:p>
        </w:tc>
        <w:tc>
          <w:tcPr/>
          <w:p>
            <w:pPr>
              <w:pStyle w:val="Compact"/>
              <w:jc w:val="right"/>
            </w:pPr>
            <w:r>
              <w:t xml:space="preserve">3.34</w:t>
            </w:r>
          </w:p>
        </w:tc>
        <w:tc>
          <w:tcPr/>
          <w:p>
            <w:pPr>
              <w:pStyle w:val="Compact"/>
              <w:jc w:val="right"/>
            </w:pPr>
            <w:r>
              <w:t xml:space="preserve">1.07</w:t>
            </w:r>
          </w:p>
        </w:tc>
      </w:tr>
      <w:tr>
        <w:tc>
          <w:tcPr/>
          <w:p>
            <w:pPr>
              <w:pStyle w:val="Compact"/>
              <w:jc w:val="right"/>
            </w:pPr>
            <w:r>
              <w:t xml:space="preserve">7</w:t>
            </w:r>
          </w:p>
        </w:tc>
        <w:tc>
          <w:tcPr/>
          <w:p>
            <w:pPr>
              <w:pStyle w:val="Compact"/>
              <w:jc w:val="left"/>
            </w:pPr>
            <w:r>
              <w:rPr>
                <w:rFonts w:hint="eastAsia"/>
              </w:rPr>
              <w:t xml:space="preserve">信心恢复后风险底座</w:t>
            </w:r>
          </w:p>
        </w:tc>
        <w:tc>
          <w:tcPr/>
          <w:p>
            <w:pPr>
              <w:pStyle w:val="Compact"/>
              <w:jc w:val="right"/>
            </w:pPr>
            <w:r>
              <w:t xml:space="preserve">2.36</w:t>
            </w:r>
          </w:p>
        </w:tc>
        <w:tc>
          <w:tcPr/>
          <w:p>
            <w:pPr>
              <w:pStyle w:val="Compact"/>
              <w:jc w:val="right"/>
            </w:pPr>
            <w:r>
              <w:t xml:space="preserve">2.34</w:t>
            </w:r>
          </w:p>
        </w:tc>
        <w:tc>
          <w:tcPr/>
          <w:p>
            <w:pPr>
              <w:pStyle w:val="Compact"/>
              <w:jc w:val="right"/>
            </w:pPr>
            <w:r>
              <w:t xml:space="preserve">0.05</w:t>
            </w:r>
          </w:p>
        </w:tc>
      </w:tr>
      <w:tr>
        <w:tc>
          <w:tcPr/>
          <w:p>
            <w:pPr>
              <w:pStyle w:val="Compact"/>
              <w:jc w:val="right"/>
            </w:pPr>
            <w:r>
              <w:t xml:space="preserve">8</w:t>
            </w:r>
          </w:p>
        </w:tc>
        <w:tc>
          <w:tcPr/>
          <w:p>
            <w:pPr>
              <w:pStyle w:val="Compact"/>
              <w:jc w:val="left"/>
            </w:pPr>
            <w:r>
              <w:rPr>
                <w:rFonts w:hint="eastAsia"/>
              </w:rPr>
              <w:t xml:space="preserve">冲击不确定性占比</w:t>
            </w:r>
          </w:p>
        </w:tc>
        <w:tc>
          <w:tcPr/>
          <w:p>
            <w:pPr>
              <w:pStyle w:val="Compact"/>
              <w:jc w:val="right"/>
            </w:pPr>
            <w:r>
              <w:t xml:space="preserve">2.13</w:t>
            </w:r>
          </w:p>
        </w:tc>
        <w:tc>
          <w:tcPr/>
          <w:p>
            <w:pPr>
              <w:pStyle w:val="Compact"/>
              <w:jc w:val="right"/>
            </w:pPr>
            <w:r>
              <w:t xml:space="preserve">1.29</w:t>
            </w:r>
          </w:p>
        </w:tc>
        <w:tc>
          <w:tcPr/>
          <w:p>
            <w:pPr>
              <w:pStyle w:val="Compact"/>
              <w:jc w:val="right"/>
            </w:pPr>
            <w:r>
              <w:t xml:space="preserve">1.86</w:t>
            </w:r>
          </w:p>
        </w:tc>
      </w:tr>
      <w:tr>
        <w:tc>
          <w:tcPr/>
          <w:p>
            <w:pPr>
              <w:pStyle w:val="Compact"/>
              <w:jc w:val="right"/>
            </w:pPr>
            <w:r>
              <w:t xml:space="preserve">9</w:t>
            </w:r>
          </w:p>
        </w:tc>
        <w:tc>
          <w:tcPr/>
          <w:p>
            <w:pPr>
              <w:pStyle w:val="Compact"/>
              <w:jc w:val="left"/>
            </w:pPr>
            <w:r>
              <w:t xml:space="preserve">SPR </w:t>
            </w:r>
            <w:r>
              <w:rPr>
                <w:rFonts w:hint="eastAsia"/>
              </w:rPr>
              <w:t xml:space="preserve">释放上限</w:t>
            </w:r>
          </w:p>
        </w:tc>
        <w:tc>
          <w:tcPr/>
          <w:p>
            <w:pPr>
              <w:pStyle w:val="Compact"/>
              <w:jc w:val="right"/>
            </w:pPr>
            <w:r>
              <w:t xml:space="preserve">0.94</w:t>
            </w:r>
          </w:p>
        </w:tc>
        <w:tc>
          <w:tcPr/>
          <w:p>
            <w:pPr>
              <w:pStyle w:val="Compact"/>
              <w:jc w:val="right"/>
            </w:pPr>
            <w:r>
              <w:t xml:space="preserve">0.69</w:t>
            </w:r>
          </w:p>
        </w:tc>
        <w:tc>
          <w:tcPr/>
          <w:p>
            <w:pPr>
              <w:pStyle w:val="Compact"/>
              <w:jc w:val="right"/>
            </w:pPr>
            <w:r>
              <w:t xml:space="preserve">0.49</w:t>
            </w:r>
          </w:p>
        </w:tc>
      </w:tr>
      <w:tr>
        <w:tc>
          <w:tcPr/>
          <w:p>
            <w:pPr>
              <w:pStyle w:val="Compact"/>
              <w:jc w:val="right"/>
            </w:pPr>
            <w:r>
              <w:t xml:space="preserve">10</w:t>
            </w:r>
          </w:p>
        </w:tc>
        <w:tc>
          <w:tcPr/>
          <w:p>
            <w:pPr>
              <w:pStyle w:val="Compact"/>
              <w:jc w:val="left"/>
            </w:pPr>
            <w:r>
              <w:rPr>
                <w:rFonts w:hint="eastAsia"/>
              </w:rPr>
              <w:t xml:space="preserve">绕道运输能力</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0.86</w:t>
            </w:r>
          </w:p>
        </w:tc>
      </w:tr>
      <w:tr>
        <w:tc>
          <w:tcPr/>
          <w:p>
            <w:pPr>
              <w:pStyle w:val="Compact"/>
              <w:jc w:val="right"/>
            </w:pPr>
            <w:r>
              <w:t xml:space="preserve">11</w:t>
            </w:r>
          </w:p>
        </w:tc>
        <w:tc>
          <w:tcPr/>
          <w:p>
            <w:pPr>
              <w:pStyle w:val="Compact"/>
              <w:jc w:val="left"/>
            </w:pPr>
            <w:r>
              <w:rPr>
                <w:rFonts w:hint="eastAsia"/>
              </w:rPr>
              <w:t xml:space="preserve">预期修复强度</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0.51</w:t>
            </w:r>
          </w:p>
        </w:tc>
      </w:tr>
      <w:tr>
        <w:tc>
          <w:tcPr/>
          <w:p>
            <w:pPr>
              <w:pStyle w:val="Compact"/>
              <w:jc w:val="right"/>
            </w:pPr>
            <w:r>
              <w:t xml:space="preserve">12</w:t>
            </w:r>
          </w:p>
        </w:tc>
        <w:tc>
          <w:tcPr/>
          <w:p>
            <w:pPr>
              <w:pStyle w:val="Compact"/>
              <w:jc w:val="left"/>
            </w:pPr>
            <w:r>
              <w:rPr>
                <w:rFonts w:hint="eastAsia"/>
              </w:rPr>
              <w:t xml:space="preserve">恐慌衰减速度</w:t>
            </w:r>
          </w:p>
        </w:tc>
        <w:tc>
          <w:tcPr/>
          <w:p>
            <w:pPr>
              <w:pStyle w:val="Compact"/>
              <w:jc w:val="right"/>
            </w:pPr>
            <w:r>
              <w:t xml:space="preserve">0.15</w:t>
            </w:r>
          </w:p>
        </w:tc>
        <w:tc>
          <w:tcPr/>
          <w:p>
            <w:pPr>
              <w:pStyle w:val="Compact"/>
              <w:jc w:val="right"/>
            </w:pPr>
            <w:r>
              <w:t xml:space="preserve">0.00</w:t>
            </w:r>
          </w:p>
        </w:tc>
        <w:tc>
          <w:tcPr/>
          <w:p>
            <w:pPr>
              <w:pStyle w:val="Compact"/>
              <w:jc w:val="right"/>
            </w:pPr>
            <w:r>
              <w:t xml:space="preserve">0.33</w:t>
            </w:r>
          </w:p>
        </w:tc>
      </w:tr>
      <w:tr>
        <w:tc>
          <w:tcPr/>
          <w:p>
            <w:pPr>
              <w:pStyle w:val="Compact"/>
              <w:jc w:val="right"/>
            </w:pPr>
            <w:r>
              <w:t xml:space="preserve">13</w:t>
            </w:r>
          </w:p>
        </w:tc>
        <w:tc>
          <w:tcPr/>
          <w:p>
            <w:pPr>
              <w:pStyle w:val="Compact"/>
              <w:jc w:val="left"/>
            </w:pPr>
            <w:r>
              <w:rPr>
                <w:rFonts w:hint="eastAsia"/>
              </w:rPr>
              <w:t xml:space="preserve">过剩供给回归强度</w:t>
            </w:r>
          </w:p>
        </w:tc>
        <w:tc>
          <w:tcPr/>
          <w:p>
            <w:pPr>
              <w:pStyle w:val="Compact"/>
              <w:jc w:val="right"/>
            </w:pPr>
            <w:r>
              <w:t xml:space="preserve">0.12</w:t>
            </w:r>
          </w:p>
        </w:tc>
        <w:tc>
          <w:tcPr/>
          <w:p>
            <w:pPr>
              <w:pStyle w:val="Compact"/>
              <w:jc w:val="right"/>
            </w:pPr>
            <w:r>
              <w:t xml:space="preserve">0.07</w:t>
            </w:r>
          </w:p>
        </w:tc>
        <w:tc>
          <w:tcPr/>
          <w:p>
            <w:pPr>
              <w:pStyle w:val="Compact"/>
              <w:jc w:val="right"/>
            </w:pPr>
            <w:r>
              <w:t xml:space="preserve">0.12</w:t>
            </w:r>
          </w:p>
        </w:tc>
      </w:tr>
      <w:tr>
        <w:tc>
          <w:tcPr/>
          <w:p>
            <w:pPr>
              <w:pStyle w:val="Compact"/>
              <w:jc w:val="right"/>
            </w:pPr>
            <w:r>
              <w:t xml:space="preserve">14</w:t>
            </w:r>
          </w:p>
        </w:tc>
        <w:tc>
          <w:tcPr/>
          <w:p>
            <w:pPr>
              <w:pStyle w:val="Compact"/>
              <w:jc w:val="left"/>
            </w:pPr>
            <w:r>
              <w:t xml:space="preserve">SPR </w:t>
            </w:r>
            <w:r>
              <w:rPr>
                <w:rFonts w:hint="eastAsia"/>
              </w:rPr>
              <w:t xml:space="preserve">启动延迟</w:t>
            </w:r>
          </w:p>
        </w:tc>
        <w:tc>
          <w:tcPr/>
          <w:p>
            <w:pPr>
              <w:pStyle w:val="Compact"/>
              <w:jc w:val="right"/>
            </w:pPr>
            <w:r>
              <w:t xml:space="preserve">0.06</w:t>
            </w:r>
          </w:p>
        </w:tc>
        <w:tc>
          <w:tcPr/>
          <w:p>
            <w:pPr>
              <w:pStyle w:val="Compact"/>
              <w:jc w:val="right"/>
            </w:pPr>
            <w:r>
              <w:t xml:space="preserve">0.00</w:t>
            </w:r>
          </w:p>
        </w:tc>
        <w:tc>
          <w:tcPr/>
          <w:p>
            <w:pPr>
              <w:pStyle w:val="Compact"/>
              <w:jc w:val="right"/>
            </w:pPr>
            <w:r>
              <w:t xml:space="preserve">0.13</w:t>
            </w:r>
          </w:p>
        </w:tc>
      </w:tr>
      <w:tr>
        <w:tc>
          <w:tcPr/>
          <w:p>
            <w:pPr>
              <w:pStyle w:val="Compact"/>
              <w:jc w:val="right"/>
            </w:pPr>
            <w:r>
              <w:t xml:space="preserve">15</w:t>
            </w:r>
          </w:p>
        </w:tc>
        <w:tc>
          <w:tcPr/>
          <w:p>
            <w:pPr>
              <w:pStyle w:val="Compact"/>
              <w:jc w:val="left"/>
            </w:pPr>
            <w:r>
              <w:rPr>
                <w:rFonts w:hint="eastAsia"/>
              </w:rPr>
              <w:t xml:space="preserve">绕道恢复耗时</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0.05</w:t>
            </w:r>
          </w:p>
        </w:tc>
      </w:tr>
      <w:tr>
        <w:tc>
          <w:tcPr/>
          <w:p>
            <w:pPr>
              <w:pStyle w:val="Compact"/>
              <w:jc w:val="right"/>
            </w:pPr>
            <w:r>
              <w:t xml:space="preserve">16</w:t>
            </w:r>
          </w:p>
        </w:tc>
        <w:tc>
          <w:tcPr/>
          <w:p>
            <w:pPr>
              <w:pStyle w:val="Compact"/>
              <w:jc w:val="left"/>
            </w:pPr>
            <w:r>
              <w:t xml:space="preserve">SPR </w:t>
            </w:r>
            <w:r>
              <w:rPr>
                <w:rFonts w:hint="eastAsia"/>
              </w:rPr>
              <w:t xml:space="preserve">收缩起点</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0.04</w:t>
            </w:r>
          </w:p>
        </w:tc>
      </w:tr>
    </w:tbl>
    <w:p>
      <w:pPr>
        <w:pStyle w:val="CaptionedFigure"/>
      </w:pPr>
      <w:r>
        <w:drawing>
          <wp:inline>
            <wp:extent cx="4907280" cy="2998893"/>
            <wp:effectExtent b="0" l="0" r="0" t="0"/>
            <wp:docPr descr="" title="" id="128" name="Picture"/>
            <a:graphic>
              <a:graphicData uri="http://schemas.openxmlformats.org/drawingml/2006/picture">
                <pic:pic>
                  <pic:nvPicPr>
                    <pic:cNvPr descr="参数敏感性龙卷风图.png" id="129" name="Picture"/>
                    <pic:cNvPicPr>
                      <a:picLocks noChangeArrowheads="1" noChangeAspect="1"/>
                    </pic:cNvPicPr>
                  </pic:nvPicPr>
                  <pic:blipFill>
                    <a:blip r:embed="rId127"/>
                    <a:stretch>
                      <a:fillRect/>
                    </a:stretch>
                  </pic:blipFill>
                  <pic:spPr bwMode="auto">
                    <a:xfrm>
                      <a:off x="0" y="0"/>
                      <a:ext cx="4907280" cy="2998893"/>
                    </a:xfrm>
                    <a:prstGeom prst="rect">
                      <a:avLst/>
                    </a:prstGeom>
                    <a:noFill/>
                    <a:ln w="9525">
                      <a:noFill/>
                      <a:headEnd/>
                      <a:tailEnd/>
                    </a:ln>
                  </pic:spPr>
                </pic:pic>
              </a:graphicData>
            </a:graphic>
          </wp:inline>
        </w:drawing>
      </w:r>
    </w:p>
    <w:p>
      <w:pPr>
        <w:pStyle w:val="ImageCaption"/>
      </w:pPr>
      <w:r>
        <w:rPr>
          <w:rFonts w:hint="eastAsia"/>
        </w:rPr>
        <w:t xml:space="preserve">关键参数综合敏感度排序。</w:t>
      </w:r>
    </w:p>
    <w:p>
      <w:pPr>
        <w:pStyle w:val="BodyText"/>
      </w:pPr>
      <w:r>
        <w:rPr>
          <w:rFonts w:hint="eastAsia"/>
        </w:rPr>
        <w:t xml:space="preserve">敏感性分析表明，第</w:t>
      </w:r>
      <w:r>
        <w:t xml:space="preserve"> 180 </w:t>
      </w:r>
      <w:r>
        <w:rPr>
          <w:rFonts w:hint="eastAsia"/>
        </w:rPr>
        <w:t xml:space="preserve">天终点价格对市场风险吸收速度最敏感。封锁风险衰减速度从</w:t>
      </w:r>
      <w:r>
        <w:t xml:space="preserve"> 0.002 </w:t>
      </w:r>
      <w:r>
        <w:rPr>
          <w:rFonts w:hint="eastAsia"/>
        </w:rPr>
        <w:t xml:space="preserve">扰动到</w:t>
      </w:r>
      <w:r>
        <w:t xml:space="preserve"> 0.008 </w:t>
      </w:r>
      <w:r>
        <w:rPr>
          <w:rFonts w:hint="eastAsia"/>
        </w:rPr>
        <w:t xml:space="preserve">时，第</w:t>
      </w:r>
      <w:r>
        <w:t xml:space="preserve"> 180 </w:t>
      </w:r>
      <w:r>
        <w:rPr>
          <w:rFonts w:hint="eastAsia"/>
        </w:rPr>
        <w:t xml:space="preserve">天价格波动范围达到</w:t>
      </w:r>
      <w:r>
        <w:t xml:space="preserve"> 14.93 </w:t>
      </w:r>
      <w:r>
        <w:rPr>
          <w:rFonts w:hint="eastAsia"/>
        </w:rPr>
        <w:t xml:space="preserve">美元/桶，说明长期中心路径的关键不只是物理缺口何时闭合，而是市场多快把封锁状态从突发风险重新定价为可管理的制度风险。地缘风险权重和不确定性与制度风险强度仍保持高敏感，供应中断量决定价格上行压力的物理底座。新增的长期机制透明层中，制度风险占比和信心恢复后风险底座具有可观影响；过剩供给回归强度和</w:t>
      </w:r>
      <w:r>
        <w:t xml:space="preserve"> SPR </w:t>
      </w:r>
      <w:r>
        <w:rPr>
          <w:rFonts w:hint="eastAsia"/>
        </w:rPr>
        <w:t xml:space="preserve">收缩起点敏感度很低，说明当前中性路径的价格回落主要来自风险溢价衰减和需求再平衡，而不是依靠轻微供给过剩或人为设定的</w:t>
      </w:r>
      <w:r>
        <w:t xml:space="preserve"> SPR </w:t>
      </w:r>
      <w:r>
        <w:rPr>
          <w:rFonts w:hint="eastAsia"/>
        </w:rPr>
        <w:t xml:space="preserve">时间开关。SPR</w:t>
      </w:r>
      <w:r>
        <w:t xml:space="preserve"> </w:t>
      </w:r>
      <w:r>
        <w:rPr>
          <w:rFonts w:hint="eastAsia"/>
        </w:rPr>
        <w:t xml:space="preserve">释放、启动延迟和绕道运输在中性路径下对第</w:t>
      </w:r>
      <w:r>
        <w:t xml:space="preserve"> 180 </w:t>
      </w:r>
      <w:r>
        <w:rPr>
          <w:rFonts w:hint="eastAsia"/>
        </w:rPr>
        <w:t xml:space="preserve">天终点价影响相对较小，但会改变外推期峰值、缺口闭合速度和二次跳涨幅度，因此更适合被解释为</w:t>
      </w:r>
      <w:r>
        <w:rPr>
          <w:rFonts w:hint="eastAsia"/>
        </w:rPr>
        <w:t xml:space="preserve">“削峰”</w:t>
      </w:r>
      <w:r>
        <w:rPr>
          <w:rFonts w:hint="eastAsia"/>
        </w:rPr>
        <w:t xml:space="preserve">和</w:t>
      </w:r>
      <w:r>
        <w:rPr>
          <w:rFonts w:hint="eastAsia"/>
        </w:rPr>
        <w:t xml:space="preserve">“争取恢复时间”</w:t>
      </w:r>
      <w:r>
        <w:rPr>
          <w:rFonts w:hint="eastAsia"/>
        </w:rPr>
        <w:t xml:space="preserve">的政策缓冲变量。</w:t>
      </w:r>
    </w:p>
    <w:bookmarkEnd w:id="130"/>
    <w:bookmarkStart w:id="141" w:name="sec:monte-carlo"/>
    <w:p>
      <w:pPr>
        <w:pStyle w:val="Heading2"/>
      </w:pPr>
      <w:r>
        <w:rPr>
          <w:rFonts w:hint="eastAsia"/>
        </w:rPr>
        <w:t xml:space="preserve">蒙特卡洛情景树</w:t>
      </w:r>
    </w:p>
    <w:p>
      <w:pPr>
        <w:pStyle w:val="FirstParagraph"/>
      </w:pPr>
      <w:r>
        <w:rPr>
          <w:rFonts w:hint="eastAsia"/>
        </w:rPr>
        <w:t xml:space="preserve">单因素敏感性分析可以说明某个参数单独变化时的边际影响，但封锁长期化的真实风险往往来自多个因素同时恶化：供应中断偏大、SPR</w:t>
      </w:r>
      <w:r>
        <w:t xml:space="preserve"> </w:t>
      </w:r>
      <w:r>
        <w:rPr>
          <w:rFonts w:hint="eastAsia"/>
        </w:rPr>
        <w:t xml:space="preserve">释放不足、绕道运输恢复慢、长期需求弹性偏低、制度风险溢价偏高等因素可能共同出现。因此，本文进一步建立蒙特卡洛情景树，在赛题边界和敏感性扰动范围内对关键参数进行</w:t>
      </w:r>
      <w:r>
        <w:t xml:space="preserve"> 2000 </w:t>
      </w:r>
      <w:r>
        <w:rPr>
          <w:rFonts w:hint="eastAsia"/>
        </w:rPr>
        <w:t xml:space="preserve">次联合抽样。</w:t>
      </w:r>
    </w:p>
    <w:p>
      <w:pPr>
        <w:pStyle w:val="BodyText"/>
      </w:pPr>
      <w:r>
        <w:rPr>
          <w:rFonts w:hint="eastAsia"/>
        </w:rPr>
        <w:t xml:space="preserve">抽样设计采用一个综合压力指数</w:t>
      </w:r>
      <w:r>
        <w:t xml:space="preserve"> </w:t>
      </w:r>
      <m:oMath>
        <m:r>
          <m:t>z</m:t>
        </m:r>
        <m:r>
          <m:rPr>
            <m:sty m:val="p"/>
          </m:rPr>
          <m:t>∈</m:t>
        </m:r>
        <m:r>
          <m:rPr>
            <m:sty m:val="p"/>
          </m:rPr>
          <m:t>[</m:t>
        </m:r>
        <m:r>
          <m:t>0</m:t>
        </m:r>
        <m:r>
          <m:rPr>
            <m:sty m:val="p"/>
          </m:rPr>
          <m:t>,</m:t>
        </m:r>
        <m:r>
          <m:t>1</m:t>
        </m:r>
        <m:r>
          <m:rPr>
            <m:sty m:val="p"/>
          </m:rPr>
          <m:t>]</m:t>
        </m:r>
      </m:oMath>
      <w:r>
        <w:t xml:space="preserve"> </w:t>
      </w:r>
      <w:r>
        <w:rPr>
          <w:rFonts w:hint="eastAsia"/>
        </w:rPr>
        <w:t xml:space="preserve">表示外部压力状态。随着</w:t>
      </w:r>
      <w:r>
        <w:t xml:space="preserve"> </w:t>
      </w:r>
      <m:oMath>
        <m:r>
          <m:t>z</m:t>
        </m:r>
      </m:oMath>
      <w:r>
        <w:t xml:space="preserve"> </w:t>
      </w:r>
      <w:r>
        <w:rPr>
          <w:rFonts w:hint="eastAsia"/>
        </w:rPr>
        <w:t xml:space="preserve">增大，供应中断量、地缘风险权重和制度风险强度上升，而</w:t>
      </w:r>
      <w:r>
        <w:t xml:space="preserve"> SPR </w:t>
      </w:r>
      <w:r>
        <w:rPr>
          <w:rFonts w:hint="eastAsia"/>
        </w:rPr>
        <w:t xml:space="preserve">可用释放量、绕道运输能力、需求调整速度和预期修复强度下降。每次抽样后均调用同一套长期递推模型，得到一条</w:t>
      </w:r>
      <w:r>
        <w:t xml:space="preserve"> 60–180 </w:t>
      </w:r>
      <w:r>
        <w:rPr>
          <w:rFonts w:hint="eastAsia"/>
        </w:rPr>
        <w:t xml:space="preserve">天价格路径。这样做的目的不是生成未来真实价格，而是回答：在合理参数联合扰动下，价格路径大概率落在哪个区间，尾部风险有多大。</w:t>
      </w:r>
    </w:p>
    <w:p>
      <w:pPr>
        <w:pStyle w:val="BodyText"/>
      </w:pPr>
      <w:r>
        <w:rPr>
          <w:rFonts w:hint="eastAsia"/>
        </w:rPr>
        <w:t xml:space="preserve">需要说明的是，蒙特卡洛抽样并不把所有参数视为彼此独立。本文通过综合压力指数引入方向一致的相关结构：高压状态下，供应中断更大、政策缓冲更弱、运输恢复更慢、风险溢价更高；低压状态下则相反。因此，蒙特卡洛结果应理解为基于题面机制和历史波动尺度的条件先验分布，而不是从未来市场中估计出来的真实协方差矩阵。表中突破概率也是在这些条件假设下的尾部概率，不是无条件历史频率。</w:t>
      </w:r>
    </w:p>
    <w:p>
      <w:pPr>
        <w:pStyle w:val="BodyText"/>
      </w:pPr>
      <w:r>
        <w:rPr>
          <w:rFonts w:hint="eastAsia"/>
        </w:rPr>
        <w:t xml:space="preserve">为避免蒙特卡洛区间完全依赖主观设定，本文进一步利用</w:t>
      </w:r>
      <w:r>
        <w:t xml:space="preserve"> 2017–2025 </w:t>
      </w:r>
      <w:r>
        <w:rPr>
          <w:rFonts w:hint="eastAsia"/>
        </w:rPr>
        <w:t xml:space="preserve">年附件历史数据构造</w:t>
      </w:r>
      <w:r>
        <w:t xml:space="preserve"> 2146 </w:t>
      </w:r>
      <w:r>
        <w:rPr>
          <w:rFonts w:hint="eastAsia"/>
        </w:rPr>
        <w:t xml:space="preserve">个同长度窗口，校准长期扰动尺度。2026</w:t>
      </w:r>
      <w:r>
        <w:t xml:space="preserve"> </w:t>
      </w:r>
      <w:r>
        <w:rPr>
          <w:rFonts w:hint="eastAsia"/>
        </w:rPr>
        <w:t xml:space="preserve">冲突窗口的日收益波动率位于历史约</w:t>
      </w:r>
      <w:r>
        <w:t xml:space="preserve"> 95.5% </w:t>
      </w:r>
      <w:r>
        <w:rPr>
          <w:rFonts w:hint="eastAsia"/>
        </w:rPr>
        <w:t xml:space="preserve">分位，最大单日跳变位于约</w:t>
      </w:r>
      <w:r>
        <w:t xml:space="preserve"> 89.4% </w:t>
      </w:r>
      <w:r>
        <w:rPr>
          <w:rFonts w:hint="eastAsia"/>
        </w:rPr>
        <w:t xml:space="preserve">分位；据此设定压力指数噪声标准差为</w:t>
      </w:r>
      <w:r>
        <w:t xml:space="preserve"> </w:t>
      </w:r>
      <w:r>
        <w:rPr>
          <w:rFonts w:hint="eastAsia"/>
        </w:rPr>
        <w:t xml:space="preserve">0.073，并将状态转移日度扰动波动率校准为</w:t>
      </w:r>
      <w:r>
        <w:t xml:space="preserve"> </w:t>
      </w:r>
      <w:r>
        <w:rPr>
          <w:rFonts w:hint="eastAsia"/>
        </w:rPr>
        <w:t xml:space="preserve">0.0132。历史数据因此进入长期模型的不确定性参数层，而不直接替代霍尔木兹封锁机制。</w:t>
      </w:r>
    </w:p>
    <w:p>
      <w:pPr>
        <w:pStyle w:val="CaptionedFigure"/>
      </w:pPr>
      <w:r>
        <w:drawing>
          <wp:inline>
            <wp:extent cx="4587240" cy="1761500"/>
            <wp:effectExtent b="0" l="0" r="0" t="0"/>
            <wp:docPr descr="" title="" id="132" name="Picture"/>
            <a:graphic>
              <a:graphicData uri="http://schemas.openxmlformats.org/drawingml/2006/picture">
                <pic:pic>
                  <pic:nvPicPr>
                    <pic:cNvPr descr="历史波动参数校准.png" id="133" name="Picture"/>
                    <pic:cNvPicPr>
                      <a:picLocks noChangeArrowheads="1" noChangeAspect="1"/>
                    </pic:cNvPicPr>
                  </pic:nvPicPr>
                  <pic:blipFill>
                    <a:blip r:embed="rId131"/>
                    <a:stretch>
                      <a:fillRect/>
                    </a:stretch>
                  </pic:blipFill>
                  <pic:spPr bwMode="auto">
                    <a:xfrm>
                      <a:off x="0" y="0"/>
                      <a:ext cx="4587240" cy="1761500"/>
                    </a:xfrm>
                    <a:prstGeom prst="rect">
                      <a:avLst/>
                    </a:prstGeom>
                    <a:noFill/>
                    <a:ln w="9525">
                      <a:noFill/>
                      <a:headEnd/>
                      <a:tailEnd/>
                    </a:ln>
                  </pic:spPr>
                </pic:pic>
              </a:graphicData>
            </a:graphic>
          </wp:inline>
        </w:drawing>
      </w:r>
    </w:p>
    <w:p>
      <w:pPr>
        <w:pStyle w:val="ImageCaption"/>
      </w:pPr>
      <w:r>
        <w:rPr>
          <w:rFonts w:hint="eastAsia"/>
        </w:rPr>
        <w:t xml:space="preserve">历史波动参数校准。2017–2025</w:t>
      </w:r>
      <w:r>
        <w:t xml:space="preserve"> </w:t>
      </w:r>
      <w:r>
        <w:rPr>
          <w:rFonts w:hint="eastAsia"/>
        </w:rPr>
        <w:t xml:space="preserve">同长度窗口为长期蒙特卡洛和状态转移扰动提供历史尺度。</w:t>
      </w:r>
    </w:p>
    <w:bookmarkStart w:id="137" w:name="fig:mc-path-cloud"/>
    <w:p>
      <w:pPr>
        <w:pStyle w:val="CaptionedFigure"/>
      </w:pPr>
      <w:r>
        <w:drawing>
          <wp:inline>
            <wp:extent cx="4907280" cy="2661575"/>
            <wp:effectExtent b="0" l="0" r="0" t="0"/>
            <wp:docPr descr="" title="" id="135" name="Picture"/>
            <a:graphic>
              <a:graphicData uri="http://schemas.openxmlformats.org/drawingml/2006/picture">
                <pic:pic>
                  <pic:nvPicPr>
                    <pic:cNvPr descr="传统蒙特卡洛路径云图.png" id="136" name="Picture"/>
                    <pic:cNvPicPr>
                      <a:picLocks noChangeArrowheads="1" noChangeAspect="1"/>
                    </pic:cNvPicPr>
                  </pic:nvPicPr>
                  <pic:blipFill>
                    <a:blip r:embed="rId134"/>
                    <a:stretch>
                      <a:fillRect/>
                    </a:stretch>
                  </pic:blipFill>
                  <pic:spPr bwMode="auto">
                    <a:xfrm>
                      <a:off x="0" y="0"/>
                      <a:ext cx="4907280" cy="2661575"/>
                    </a:xfrm>
                    <a:prstGeom prst="rect">
                      <a:avLst/>
                    </a:prstGeom>
                    <a:noFill/>
                    <a:ln w="9525">
                      <a:noFill/>
                      <a:headEnd/>
                      <a:tailEnd/>
                    </a:ln>
                  </pic:spPr>
                </pic:pic>
              </a:graphicData>
            </a:graphic>
          </wp:inline>
        </w:drawing>
      </w:r>
    </w:p>
    <w:p>
      <w:pPr>
        <w:pStyle w:val="ImageCaption"/>
      </w:pPr>
      <w:r>
        <w:rPr>
          <w:rFonts w:hint="eastAsia"/>
        </w:rPr>
        <w:t xml:space="preserve">传统蒙特卡洛路径云图。图中从</w:t>
      </w:r>
      <w:r>
        <w:t xml:space="preserve"> 2000 </w:t>
      </w:r>
      <w:r>
        <w:rPr>
          <w:rFonts w:hint="eastAsia"/>
        </w:rPr>
        <w:t xml:space="preserve">条模拟路径中分层抽取代表路径，黑线为中位数路径，蓝色虚线为</w:t>
      </w:r>
      <w:r>
        <w:t xml:space="preserve"> P05/P95 </w:t>
      </w:r>
      <w:r>
        <w:rPr>
          <w:rFonts w:hint="eastAsia"/>
        </w:rPr>
        <w:t xml:space="preserve">条件边界，红色虚线为</w:t>
      </w:r>
      <w:r>
        <w:t xml:space="preserve"> 120 </w:t>
      </w:r>
      <w:r>
        <w:rPr>
          <w:rFonts w:hint="eastAsia"/>
        </w:rPr>
        <w:t xml:space="preserve">美元/桶风险线。</w:t>
      </w:r>
    </w:p>
    <w:bookmarkEnd w:id="137"/>
    <w:p>
      <w:pPr>
        <w:pStyle w:val="TableCaption"/>
      </w:pPr>
      <w:r>
        <w:rPr>
          <w:rFonts w:hint="eastAsia"/>
        </w:rPr>
        <w:t xml:space="preserve">蒙特卡洛情景树尾部风险结果</w:t>
      </w:r>
    </w:p>
    <w:tbl>
      <w:tblPr>
        <w:tblStyle w:val="Table"/>
        <w:tblW w:type="auto" w:w="0"/>
        <w:tblLook w:firstRow="1" w:lastRow="0" w:firstColumn="0" w:lastColumn="0" w:noHBand="0" w:noVBand="0" w:val="0020"/>
        <w:tblCaption w:val="蒙特卡洛情景树尾部风险结果"/>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外推期最高价突破</w:t>
            </w:r>
            <w:r>
              <w:t xml:space="preserve"> 120 </w:t>
            </w:r>
            <w:r>
              <w:rPr>
                <w:rFonts w:hint="eastAsia"/>
              </w:rPr>
              <w:t xml:space="preserve">美元/桶概率</w:t>
            </w:r>
          </w:p>
        </w:tc>
        <w:tc>
          <w:tcPr/>
          <w:p>
            <w:pPr>
              <w:pStyle w:val="Compact"/>
              <w:jc w:val="right"/>
            </w:pPr>
            <w:r>
              <w:t xml:space="preserve">16.3%</w:t>
            </w:r>
          </w:p>
        </w:tc>
      </w:tr>
      <w:tr>
        <w:tc>
          <w:tcPr/>
          <w:p>
            <w:pPr>
              <w:pStyle w:val="Compact"/>
              <w:jc w:val="left"/>
            </w:pPr>
            <w:r>
              <w:rPr>
                <w:rFonts w:hint="eastAsia"/>
              </w:rPr>
              <w:t xml:space="preserve">外推期最高价突破</w:t>
            </w:r>
            <w:r>
              <w:t xml:space="preserve"> 130 </w:t>
            </w:r>
            <w:r>
              <w:rPr>
                <w:rFonts w:hint="eastAsia"/>
              </w:rPr>
              <w:t xml:space="preserve">美元/桶概率</w:t>
            </w:r>
          </w:p>
        </w:tc>
        <w:tc>
          <w:tcPr/>
          <w:p>
            <w:pPr>
              <w:pStyle w:val="Compact"/>
              <w:jc w:val="right"/>
            </w:pPr>
            <w:r>
              <w:t xml:space="preserve">3.9%</w:t>
            </w:r>
          </w:p>
        </w:tc>
      </w:tr>
      <w:tr>
        <w:tc>
          <w:tcPr/>
          <w:p>
            <w:pPr>
              <w:pStyle w:val="Compact"/>
              <w:jc w:val="left"/>
            </w:pPr>
            <w:r>
              <w:rPr>
                <w:rFonts w:hint="eastAsia"/>
              </w:rPr>
              <w:t xml:space="preserve">第</w:t>
            </w:r>
            <w:r>
              <w:t xml:space="preserve"> 180 </w:t>
            </w:r>
            <w:r>
              <w:rPr>
                <w:rFonts w:hint="eastAsia"/>
              </w:rPr>
              <w:t xml:space="preserve">天剩余缺口超过</w:t>
            </w:r>
            <w:r>
              <w:t xml:space="preserve"> 500 </w:t>
            </w:r>
            <w:r>
              <w:rPr>
                <w:rFonts w:hint="eastAsia"/>
              </w:rPr>
              <w:t xml:space="preserve">万桶/日概率</w:t>
            </w:r>
          </w:p>
        </w:tc>
        <w:tc>
          <w:tcPr/>
          <w:p>
            <w:pPr>
              <w:pStyle w:val="Compact"/>
              <w:jc w:val="right"/>
            </w:pPr>
            <w:r>
              <w:t xml:space="preserve">0.1%</w:t>
            </w:r>
          </w:p>
        </w:tc>
      </w:tr>
      <w:tr>
        <w:tc>
          <w:tcPr/>
          <w:p>
            <w:pPr>
              <w:pStyle w:val="Compact"/>
              <w:jc w:val="left"/>
            </w:pPr>
            <w:r>
              <w:rPr>
                <w:rFonts w:hint="eastAsia"/>
              </w:rPr>
              <w:t xml:space="preserve">二次跳涨风险为高概率</w:t>
            </w:r>
          </w:p>
        </w:tc>
        <w:tc>
          <w:tcPr/>
          <w:p>
            <w:pPr>
              <w:pStyle w:val="Compact"/>
              <w:jc w:val="right"/>
            </w:pPr>
            <w:r>
              <w:t xml:space="preserve">8.4%</w:t>
            </w:r>
          </w:p>
        </w:tc>
      </w:tr>
      <w:tr>
        <w:tc>
          <w:tcPr/>
          <w:p>
            <w:pPr>
              <w:pStyle w:val="Compact"/>
              <w:jc w:val="left"/>
            </w:pPr>
            <w:r>
              <w:rPr>
                <w:rFonts w:hint="eastAsia"/>
              </w:rPr>
              <w:t xml:space="preserve">第</w:t>
            </w:r>
            <w:r>
              <w:t xml:space="preserve"> 180 </w:t>
            </w:r>
            <w:r>
              <w:rPr>
                <w:rFonts w:hint="eastAsia"/>
              </w:rPr>
              <w:t xml:space="preserve">天价格</w:t>
            </w:r>
            <w:r>
              <w:t xml:space="preserve"> P05</w:t>
            </w:r>
          </w:p>
        </w:tc>
        <w:tc>
          <w:tcPr/>
          <w:p>
            <w:pPr>
              <w:pStyle w:val="Compact"/>
              <w:jc w:val="right"/>
            </w:pPr>
            <w:r>
              <w:t xml:space="preserve">89.58</w:t>
            </w:r>
          </w:p>
        </w:tc>
      </w:tr>
      <w:tr>
        <w:tc>
          <w:tcPr/>
          <w:p>
            <w:pPr>
              <w:pStyle w:val="Compact"/>
              <w:jc w:val="left"/>
            </w:pPr>
            <w:r>
              <w:rPr>
                <w:rFonts w:hint="eastAsia"/>
              </w:rPr>
              <w:t xml:space="preserve">第</w:t>
            </w:r>
            <w:r>
              <w:t xml:space="preserve"> 180 </w:t>
            </w:r>
            <w:r>
              <w:rPr>
                <w:rFonts w:hint="eastAsia"/>
              </w:rPr>
              <w:t xml:space="preserve">天价格</w:t>
            </w:r>
            <w:r>
              <w:t xml:space="preserve"> P50</w:t>
            </w:r>
          </w:p>
        </w:tc>
        <w:tc>
          <w:tcPr/>
          <w:p>
            <w:pPr>
              <w:pStyle w:val="Compact"/>
              <w:jc w:val="right"/>
            </w:pPr>
            <w:r>
              <w:t xml:space="preserve">96.69</w:t>
            </w:r>
          </w:p>
        </w:tc>
      </w:tr>
      <w:tr>
        <w:tc>
          <w:tcPr/>
          <w:p>
            <w:pPr>
              <w:pStyle w:val="Compact"/>
              <w:jc w:val="left"/>
            </w:pPr>
            <w:r>
              <w:rPr>
                <w:rFonts w:hint="eastAsia"/>
              </w:rPr>
              <w:t xml:space="preserve">第</w:t>
            </w:r>
            <w:r>
              <w:t xml:space="preserve"> 180 </w:t>
            </w:r>
            <w:r>
              <w:rPr>
                <w:rFonts w:hint="eastAsia"/>
              </w:rPr>
              <w:t xml:space="preserve">天价格</w:t>
            </w:r>
            <w:r>
              <w:t xml:space="preserve"> P95</w:t>
            </w:r>
          </w:p>
        </w:tc>
        <w:tc>
          <w:tcPr/>
          <w:p>
            <w:pPr>
              <w:pStyle w:val="Compact"/>
              <w:jc w:val="right"/>
            </w:pPr>
            <w:r>
              <w:t xml:space="preserve">106.44</w:t>
            </w:r>
          </w:p>
        </w:tc>
      </w:tr>
      <w:tr>
        <w:tc>
          <w:tcPr/>
          <w:p>
            <w:pPr>
              <w:pStyle w:val="Compact"/>
              <w:jc w:val="left"/>
            </w:pPr>
            <w:r>
              <w:rPr>
                <w:rFonts w:hint="eastAsia"/>
              </w:rPr>
              <w:t xml:space="preserve">外推期最高价</w:t>
            </w:r>
            <w:r>
              <w:t xml:space="preserve"> P95</w:t>
            </w:r>
          </w:p>
        </w:tc>
        <w:tc>
          <w:tcPr/>
          <w:p>
            <w:pPr>
              <w:pStyle w:val="Compact"/>
              <w:jc w:val="right"/>
            </w:pPr>
            <w:r>
              <w:t xml:space="preserve">128.53</w:t>
            </w:r>
          </w:p>
        </w:tc>
      </w:tr>
    </w:tbl>
    <w:p>
      <w:pPr>
        <w:pStyle w:val="CaptionedFigure"/>
      </w:pPr>
      <w:r>
        <w:drawing>
          <wp:inline>
            <wp:extent cx="4160520" cy="2352876"/>
            <wp:effectExtent b="0" l="0" r="0" t="0"/>
            <wp:docPr descr="" title="" id="139" name="Picture"/>
            <a:graphic>
              <a:graphicData uri="http://schemas.openxmlformats.org/drawingml/2006/picture">
                <pic:pic>
                  <pic:nvPicPr>
                    <pic:cNvPr descr="蒙特卡洛尾部风险概率.png" id="140" name="Picture"/>
                    <pic:cNvPicPr>
                      <a:picLocks noChangeArrowheads="1" noChangeAspect="1"/>
                    </pic:cNvPicPr>
                  </pic:nvPicPr>
                  <pic:blipFill>
                    <a:blip r:embed="rId138"/>
                    <a:stretch>
                      <a:fillRect/>
                    </a:stretch>
                  </pic:blipFill>
                  <pic:spPr bwMode="auto">
                    <a:xfrm>
                      <a:off x="0" y="0"/>
                      <a:ext cx="4160520" cy="2352876"/>
                    </a:xfrm>
                    <a:prstGeom prst="rect">
                      <a:avLst/>
                    </a:prstGeom>
                    <a:noFill/>
                    <a:ln w="9525">
                      <a:noFill/>
                      <a:headEnd/>
                      <a:tailEnd/>
                    </a:ln>
                  </pic:spPr>
                </pic:pic>
              </a:graphicData>
            </a:graphic>
          </wp:inline>
        </w:drawing>
      </w:r>
    </w:p>
    <w:p>
      <w:pPr>
        <w:pStyle w:val="ImageCaption"/>
      </w:pPr>
      <w:r>
        <w:rPr>
          <w:rFonts w:hint="eastAsia"/>
        </w:rPr>
        <w:t xml:space="preserve">蒙特卡洛尾部风险概率。</w:t>
      </w:r>
    </w:p>
    <w:p>
      <w:pPr>
        <w:pStyle w:val="BodyText"/>
      </w:pPr>
      <w:r>
        <w:rPr>
          <w:rFonts w:hint="eastAsia"/>
        </w:rPr>
        <w:t xml:space="preserve">结果表明，蒙特卡洛路径的第</w:t>
      </w:r>
      <w:r>
        <w:t xml:space="preserve"> 180 </w:t>
      </w:r>
      <w:r>
        <w:rPr>
          <w:rFonts w:hint="eastAsia"/>
        </w:rPr>
        <w:t xml:space="preserve">天中位数价格为</w:t>
      </w:r>
      <w:r>
        <w:t xml:space="preserve"> 96.69 </w:t>
      </w:r>
      <w:r>
        <w:rPr>
          <w:rFonts w:hint="eastAsia"/>
        </w:rPr>
        <w:t xml:space="preserve">美元/桶，与接入官方外生约束和</w:t>
      </w:r>
      <w:r>
        <w:t xml:space="preserve"> OVX </w:t>
      </w:r>
      <w:r>
        <w:rPr>
          <w:rFonts w:hint="eastAsia"/>
        </w:rPr>
        <w:t xml:space="preserve">后的中性情景</w:t>
      </w:r>
      <w:r>
        <w:t xml:space="preserve"> 94.15 </w:t>
      </w:r>
      <w:r>
        <w:rPr>
          <w:rFonts w:hint="eastAsia"/>
        </w:rPr>
        <w:t xml:space="preserve">美元/桶处在同一数量级，说明中性路径不是孤立的单点调参结果。与此同时，外推期最高价突破</w:t>
      </w:r>
      <w:r>
        <w:t xml:space="preserve"> 120 </w:t>
      </w:r>
      <w:r>
        <w:rPr>
          <w:rFonts w:hint="eastAsia"/>
        </w:rPr>
        <w:t xml:space="preserve">美元/桶的概率为</w:t>
      </w:r>
      <w:r>
        <w:t xml:space="preserve"> </w:t>
      </w:r>
      <w:r>
        <w:rPr>
          <w:rFonts w:hint="eastAsia"/>
        </w:rPr>
        <w:t xml:space="preserve">16.3%，突破</w:t>
      </w:r>
      <w:r>
        <w:t xml:space="preserve"> 130 </w:t>
      </w:r>
      <w:r>
        <w:rPr>
          <w:rFonts w:hint="eastAsia"/>
        </w:rPr>
        <w:t xml:space="preserve">美元/桶的概率为</w:t>
      </w:r>
      <w:r>
        <w:t xml:space="preserve"> </w:t>
      </w:r>
      <w:r>
        <w:rPr>
          <w:rFonts w:hint="eastAsia"/>
        </w:rPr>
        <w:t xml:space="preserve">3.9%。这说明长期风险的重点不是中性点预测本身，而是多因素联动恶化下的尾部组合风险；OVX</w:t>
      </w:r>
      <w:r>
        <w:t xml:space="preserve"> </w:t>
      </w:r>
      <w:r>
        <w:rPr>
          <w:rFonts w:hint="eastAsia"/>
        </w:rPr>
        <w:t xml:space="preserve">接入后，模型对市场隐含波动率给出的尾部定价更加敏感。</w:t>
      </w:r>
    </w:p>
    <w:bookmarkEnd w:id="141"/>
    <w:bookmarkStart w:id="145" w:name="状态转移扰动检验"/>
    <w:p>
      <w:pPr>
        <w:pStyle w:val="Heading2"/>
      </w:pPr>
      <w:r>
        <w:rPr>
          <w:rFonts w:hint="eastAsia"/>
        </w:rPr>
        <w:t xml:space="preserve">状态转移扰动检验</w:t>
      </w:r>
    </w:p>
    <w:p>
      <w:pPr>
        <w:pStyle w:val="FirstParagraph"/>
      </w:pPr>
      <w:r>
        <w:rPr>
          <w:rFonts w:hint="eastAsia"/>
        </w:rPr>
        <w:t xml:space="preserve">蒙特卡洛情景树主要扰动参数，而状态转移情景树主要扰动事件状态。设长期状态变量</w:t>
      </w:r>
      <w:r>
        <w:t xml:space="preserve"> </w:t>
      </w:r>
      <m:oMath>
        <m:sSub>
          <m:e>
            <m:r>
              <m:t>Z</m:t>
            </m:r>
          </m:e>
          <m:sub>
            <m:r>
              <m:t>t</m:t>
            </m:r>
          </m:sub>
        </m:sSub>
        <m:r>
          <m:rPr>
            <m:sty m:val="p"/>
          </m:rPr>
          <m:t>∈</m:t>
        </m:r>
        <m:r>
          <m:rPr>
            <m:sty m:val="p"/>
          </m:rPr>
          <m:t>{</m:t>
        </m:r>
        <m:r>
          <m:t>E</m:t>
        </m:r>
        <m:r>
          <m:rPr>
            <m:sty m:val="p"/>
          </m:rPr>
          <m:t>,</m:t>
        </m:r>
        <m:r>
          <m:t>N</m:t>
        </m:r>
        <m:r>
          <m:rPr>
            <m:sty m:val="p"/>
          </m:rPr>
          <m:t>,</m:t>
        </m:r>
        <m:r>
          <m:t>U</m:t>
        </m:r>
        <m:r>
          <m:rPr>
            <m:sty m:val="p"/>
          </m:rPr>
          <m:t>}</m:t>
        </m:r>
      </m:oMath>
      <w:r>
        <w:rPr>
          <w:rFonts w:hint="eastAsia"/>
        </w:rPr>
        <w:t xml:space="preserve">，分别表示缓和、维持和升级三类状态，其转移概率满足</w:t>
      </w:r>
    </w:p>
    <w:p>
      <w:pPr>
        <w:pStyle w:val="BodyText"/>
      </w:pPr>
      <m:oMathPara>
        <m:oMathParaPr>
          <m:jc m:val="center"/>
        </m:oMathParaPr>
        <m:oMath>
          <m:r>
            <m:rPr>
              <m:sty m:val="p"/>
            </m:rPr>
            <m:t>Pr</m:t>
          </m:r>
          <m:r>
            <m:rPr>
              <m:sty m:val="p"/>
            </m:rPr>
            <m:t>(</m:t>
          </m:r>
          <m:sSub>
            <m:e>
              <m:r>
                <m:t>Z</m:t>
              </m:r>
            </m:e>
            <m:sub>
              <m:r>
                <m:t>t</m:t>
              </m:r>
              <m:r>
                <m:rPr>
                  <m:sty m:val="p"/>
                </m:rPr>
                <m:t>+</m:t>
              </m:r>
              <m:r>
                <m:t>1</m:t>
              </m:r>
            </m:sub>
          </m:sSub>
          <m:r>
            <m:rPr>
              <m:sty m:val="p"/>
            </m:rPr>
            <m:t>=</m:t>
          </m:r>
          <m:r>
            <m:t>j</m:t>
          </m:r>
          <m:r>
            <m:rPr>
              <m:sty m:val="p"/>
            </m:rPr>
            <m:t>∣</m:t>
          </m:r>
          <m:sSub>
            <m:e>
              <m:r>
                <m:t>Z</m:t>
              </m:r>
            </m:e>
            <m:sub>
              <m:r>
                <m:t>t</m:t>
              </m:r>
            </m:sub>
          </m:sSub>
          <m:r>
            <m:rPr>
              <m:sty m:val="p"/>
            </m:rPr>
            <m:t>=</m:t>
          </m:r>
          <m:r>
            <m:t>i</m:t>
          </m:r>
          <m:r>
            <m:rPr>
              <m:sty m:val="p"/>
            </m:rPr>
            <m:t>)</m:t>
          </m:r>
          <m:r>
            <m:rPr>
              <m:sty m:val="p"/>
            </m:rPr>
            <m:t>=</m:t>
          </m:r>
          <m:sSub>
            <m:e>
              <m:r>
                <m:t>m</m:t>
              </m:r>
            </m:e>
            <m:sub>
              <m:r>
                <m:t>i</m:t>
              </m:r>
              <m:r>
                <m:t>j</m:t>
              </m:r>
            </m:sub>
          </m:sSub>
          <m:r>
            <m:rPr>
              <m:sty m:val="p"/>
            </m:rPr>
            <m:t>(</m:t>
          </m:r>
          <m:r>
            <m:t>t</m:t>
          </m:r>
          <m:r>
            <m:rPr>
              <m:sty m:val="p"/>
            </m:rPr>
            <m:t>)</m:t>
          </m:r>
          <m:r>
            <m:rPr>
              <m:sty m:val="p"/>
            </m:rPr>
            <m:t>,</m:t>
          </m:r>
        </m:oMath>
      </m:oMathPara>
    </w:p>
    <w:p>
      <w:pPr>
        <w:pStyle w:val="FirstParagraph"/>
      </w:pPr>
      <w:r>
        <w:rPr>
          <w:rFonts w:hint="eastAsia"/>
        </w:rPr>
        <w:t xml:space="preserve">其中</w:t>
      </w:r>
      <w:r>
        <w:t xml:space="preserve"> </w:t>
      </w:r>
      <m:oMath>
        <m:sSub>
          <m:e>
            <m:r>
              <m:t>m</m:t>
            </m:r>
          </m:e>
          <m:sub>
            <m:r>
              <m:t>i</m:t>
            </m:r>
            <m:r>
              <m:t>j</m:t>
            </m:r>
          </m:sub>
        </m:sSub>
        <m:r>
          <m:rPr>
            <m:sty m:val="p"/>
          </m:rPr>
          <m:t>(</m:t>
        </m:r>
        <m:r>
          <m:t>t</m:t>
        </m:r>
        <m:r>
          <m:rPr>
            <m:sty m:val="p"/>
          </m:rPr>
          <m:t>)</m:t>
        </m:r>
      </m:oMath>
      <w:r>
        <w:t xml:space="preserve"> </w:t>
      </w:r>
      <w:r>
        <w:rPr>
          <w:rFonts w:hint="eastAsia"/>
        </w:rPr>
        <w:t xml:space="preserve">允许随封锁持续时间缓慢偏向缓和状态，表示市场逐步观察到政策缓冲和替代运输效果。给定状态</w:t>
      </w:r>
      <w:r>
        <w:t xml:space="preserve"> </w:t>
      </w:r>
      <m:oMath>
        <m:sSub>
          <m:e>
            <m:r>
              <m:t>Z</m:t>
            </m:r>
          </m:e>
          <m:sub>
            <m:r>
              <m:t>t</m:t>
            </m:r>
          </m:sub>
        </m:sSub>
      </m:oMath>
      <w:r>
        <w:t xml:space="preserve"> </w:t>
      </w:r>
      <w:r>
        <w:rPr>
          <w:rFonts w:hint="eastAsia"/>
        </w:rPr>
        <w:t xml:space="preserve">后，价格不直接等于某条三情景曲线，而是向相应中心路径</w:t>
      </w:r>
      <w:r>
        <w:t xml:space="preserve"> </w:t>
      </w:r>
      <m:oMath>
        <m:sSub>
          <m:e>
            <m:acc>
              <m:accPr>
                <m:chr m:val="‾"/>
              </m:accPr>
              <m:e>
                <m:r>
                  <m:t>P</m:t>
                </m:r>
              </m:e>
            </m:acc>
          </m:e>
          <m:sub>
            <m:r>
              <m:t>t</m:t>
            </m:r>
          </m:sub>
        </m:sSub>
        <m:r>
          <m:rPr>
            <m:sty m:val="p"/>
          </m:rPr>
          <m:t>(</m:t>
        </m:r>
        <m:sSub>
          <m:e>
            <m:r>
              <m:t>Z</m:t>
            </m:r>
          </m:e>
          <m:sub>
            <m:r>
              <m:t>t</m:t>
            </m:r>
          </m:sub>
        </m:sSub>
        <m:r>
          <m:rPr>
            <m:sty m:val="p"/>
          </m:rPr>
          <m:t>)</m:t>
        </m:r>
      </m:oMath>
      <w:r>
        <w:t xml:space="preserve"> </w:t>
      </w:r>
      <w:r>
        <w:rPr>
          <w:rFonts w:hint="eastAsia"/>
        </w:rPr>
        <w:t xml:space="preserve">均值回复：</w:t>
      </w:r>
    </w:p>
    <w:p>
      <w:pPr>
        <w:pStyle w:val="BodyText"/>
      </w:pPr>
      <m:oMathPara>
        <m:oMathParaPr>
          <m:jc m:val="center"/>
        </m:oMathParaPr>
        <m:oMath>
          <m:sSubSup>
            <m:e>
              <m:r>
                <m:t>P</m:t>
              </m:r>
            </m:e>
            <m:sub>
              <m:r>
                <m:t>t</m:t>
              </m:r>
            </m:sub>
            <m:sup>
              <m:r>
                <m:rPr>
                  <m:sty m:val="p"/>
                </m:rPr>
                <m:t>(</m:t>
              </m:r>
              <m:r>
                <m:t>s</m:t>
              </m:r>
              <m:r>
                <m:rPr>
                  <m:sty m:val="p"/>
                </m:rPr>
                <m:t>)</m:t>
              </m:r>
            </m:sup>
          </m:sSubSup>
          <m:r>
            <m:rPr>
              <m:sty m:val="p"/>
            </m:rPr>
            <m:t>=</m:t>
          </m:r>
          <m:r>
            <m:t>0.82</m:t>
          </m:r>
          <m:sSubSup>
            <m:e>
              <m:r>
                <m:t>P</m:t>
              </m:r>
            </m:e>
            <m:sub>
              <m:r>
                <m:t>t</m:t>
              </m:r>
              <m:r>
                <m:rPr>
                  <m:sty m:val="p"/>
                </m:rPr>
                <m:t>−</m:t>
              </m:r>
              <m:r>
                <m:t>1</m:t>
              </m:r>
            </m:sub>
            <m:sup>
              <m:r>
                <m:rPr>
                  <m:sty m:val="p"/>
                </m:rPr>
                <m:t>(</m:t>
              </m:r>
              <m:r>
                <m:t>s</m:t>
              </m:r>
              <m:r>
                <m:rPr>
                  <m:sty m:val="p"/>
                </m:rPr>
                <m:t>)</m:t>
              </m:r>
            </m:sup>
          </m:sSubSup>
          <m:r>
            <m:rPr>
              <m:sty m:val="p"/>
            </m:rPr>
            <m:t>+</m:t>
          </m:r>
          <m:r>
            <m:t>0.18</m:t>
          </m:r>
          <m:sSub>
            <m:e>
              <m:acc>
                <m:accPr>
                  <m:chr m:val="‾"/>
                </m:accPr>
                <m:e>
                  <m:r>
                    <m:t>P</m:t>
                  </m:r>
                </m:e>
              </m:acc>
            </m:e>
            <m:sub>
              <m:r>
                <m:t>t</m:t>
              </m:r>
            </m:sub>
          </m:sSub>
          <m:r>
            <m:rPr>
              <m:sty m:val="p"/>
            </m:rPr>
            <m:t>(</m:t>
          </m:r>
          <m:sSub>
            <m:e>
              <m:r>
                <m:t>Z</m:t>
              </m:r>
            </m:e>
            <m:sub>
              <m:r>
                <m:t>t</m:t>
              </m:r>
            </m:sub>
          </m:sSub>
          <m:r>
            <m:rPr>
              <m:sty m:val="p"/>
            </m:rPr>
            <m:t>)</m:t>
          </m:r>
          <m:r>
            <m:rPr>
              <m:sty m:val="p"/>
            </m:rPr>
            <m:t>+</m:t>
          </m:r>
          <m:sSub>
            <m:e>
              <m:r>
                <m:t>u</m:t>
              </m:r>
            </m:e>
            <m:sub>
              <m:r>
                <m:t>t</m:t>
              </m:r>
            </m:sub>
          </m:sSub>
          <m:r>
            <m:rPr>
              <m:sty m:val="p"/>
            </m:rPr>
            <m:t>(</m:t>
          </m:r>
          <m:sSub>
            <m:e>
              <m:r>
                <m:t>Z</m:t>
              </m:r>
            </m:e>
            <m:sub>
              <m:r>
                <m:t>t</m:t>
              </m:r>
            </m:sub>
          </m:sSub>
          <m:r>
            <m:rPr>
              <m:sty m:val="p"/>
            </m:rPr>
            <m:t>)</m:t>
          </m:r>
          <m:r>
            <m:rPr>
              <m:sty m:val="p"/>
            </m:rPr>
            <m:t>+</m:t>
          </m:r>
          <m:sSub>
            <m:e>
              <m:r>
                <m:t>η</m:t>
              </m:r>
            </m:e>
            <m:sub>
              <m:r>
                <m:t>t</m:t>
              </m:r>
            </m:sub>
          </m:sSub>
          <m:r>
            <m:rPr>
              <m:sty m:val="p"/>
            </m:rPr>
            <m:t>(</m:t>
          </m:r>
          <m:sSub>
            <m:e>
              <m:r>
                <m:t>Z</m:t>
              </m:r>
            </m:e>
            <m:sub>
              <m:r>
                <m:t>t</m:t>
              </m:r>
              <m:r>
                <m:rPr>
                  <m:sty m:val="p"/>
                </m:rPr>
                <m:t>−</m:t>
              </m:r>
              <m:r>
                <m:t>1</m:t>
              </m:r>
            </m:sub>
          </m:sSub>
          <m:r>
            <m:rPr>
              <m:sty m:val="p"/>
            </m:rPr>
            <m:t>,</m:t>
          </m:r>
          <m:sSub>
            <m:e>
              <m:r>
                <m:t>Z</m:t>
              </m:r>
            </m:e>
            <m:sub>
              <m:r>
                <m:t>t</m:t>
              </m:r>
            </m:sub>
          </m:sSub>
          <m:r>
            <m:rPr>
              <m:sty m:val="p"/>
            </m:rPr>
            <m:t>)</m:t>
          </m:r>
          <m:r>
            <m:rPr>
              <m:sty m:val="p"/>
            </m:rPr>
            <m:t>,</m:t>
          </m:r>
        </m:oMath>
      </m:oMathPara>
    </w:p>
    <w:p>
      <w:pPr>
        <w:pStyle w:val="FirstParagraph"/>
      </w:pPr>
      <w:r>
        <w:rPr>
          <w:rFonts w:hint="eastAsia"/>
        </w:rPr>
        <w:t xml:space="preserve">其中</w:t>
      </w:r>
      <w:r>
        <w:t xml:space="preserve"> </w:t>
      </w:r>
      <m:oMath>
        <m:sSub>
          <m:e>
            <m:r>
              <m:t>u</m:t>
            </m:r>
          </m:e>
          <m:sub>
            <m:r>
              <m:t>t</m:t>
            </m:r>
          </m:sub>
        </m:sSub>
      </m:oMath>
      <w:r>
        <w:t xml:space="preserve"> </w:t>
      </w:r>
      <w:r>
        <w:rPr>
          <w:rFonts w:hint="eastAsia"/>
        </w:rPr>
        <w:t xml:space="preserve">为由附件历史波动估计的保守扰动项，</w:t>
      </w:r>
      <m:oMath>
        <m:sSub>
          <m:e>
            <m:r>
              <m:t>η</m:t>
            </m:r>
          </m:e>
          <m:sub>
            <m:r>
              <m:t>t</m:t>
            </m:r>
          </m:sub>
        </m:sSub>
      </m:oMath>
      <w:r>
        <w:t xml:space="preserve"> </w:t>
      </w:r>
      <w:r>
        <w:rPr>
          <w:rFonts w:hint="eastAsia"/>
        </w:rPr>
        <w:t xml:space="preserve">为状态切换时的跳变项。状态转移概率</w:t>
      </w:r>
      <w:r>
        <w:t xml:space="preserve"> </w:t>
      </w:r>
      <m:oMath>
        <m:sSub>
          <m:e>
            <m:r>
              <m:t>m</m:t>
            </m:r>
          </m:e>
          <m:sub>
            <m:r>
              <m:t>i</m:t>
            </m:r>
            <m:r>
              <m:t>j</m:t>
            </m:r>
          </m:sub>
        </m:sSub>
        <m:r>
          <m:rPr>
            <m:sty m:val="p"/>
          </m:rPr>
          <m:t>(</m:t>
        </m:r>
        <m:r>
          <m:t>t</m:t>
        </m:r>
        <m:r>
          <m:rPr>
            <m:sty m:val="p"/>
          </m:rPr>
          <m:t>)</m:t>
        </m:r>
      </m:oMath>
      <w:r>
        <w:t xml:space="preserve"> </w:t>
      </w:r>
      <w:r>
        <w:rPr>
          <w:rFonts w:hint="eastAsia"/>
        </w:rPr>
        <w:t xml:space="preserve">还受到</w:t>
      </w:r>
      <w:r>
        <w:t xml:space="preserve"> GPR </w:t>
      </w:r>
      <w:r>
        <w:rPr>
          <w:rFonts w:hint="eastAsia"/>
        </w:rPr>
        <w:t xml:space="preserve">与</w:t>
      </w:r>
      <w:r>
        <w:t xml:space="preserve"> OVX </w:t>
      </w:r>
      <w:r>
        <w:rPr>
          <w:rFonts w:hint="eastAsia"/>
        </w:rPr>
        <w:t xml:space="preserve">生成的综合状态转移压力约束：GPR</w:t>
      </w:r>
      <w:r>
        <w:t xml:space="preserve"> </w:t>
      </w:r>
      <w:r>
        <w:rPr>
          <w:rFonts w:hint="eastAsia"/>
        </w:rPr>
        <w:t xml:space="preserve">反映地缘风险高位，OVX</w:t>
      </w:r>
      <w:r>
        <w:t xml:space="preserve"> </w:t>
      </w:r>
      <w:r>
        <w:rPr>
          <w:rFonts w:hint="eastAsia"/>
        </w:rPr>
        <w:t xml:space="preserve">反映期权市场对未来波动的定价，二者只温和提高早中期升级概率，并随外推时间衰减。该设定的含义是：长期物理机制决定价格中枢，事件状态切换决定价格围绕中枢的震荡和局部跳变。</w:t>
      </w:r>
    </w:p>
    <w:p>
      <w:pPr>
        <w:pStyle w:val="BodyText"/>
      </w:pPr>
      <w:r>
        <w:rPr>
          <w:rFonts w:hint="eastAsia"/>
        </w:rPr>
        <w:t xml:space="preserve">本检验共生成</w:t>
      </w:r>
      <w:r>
        <w:t xml:space="preserve"> 3000 </w:t>
      </w:r>
      <w:r>
        <w:rPr>
          <w:rFonts w:hint="eastAsia"/>
        </w:rPr>
        <w:t xml:space="preserve">条状态转移路径。结果显示，第</w:t>
      </w:r>
      <w:r>
        <w:t xml:space="preserve"> 180 </w:t>
      </w:r>
      <w:r>
        <w:rPr>
          <w:rFonts w:hint="eastAsia"/>
        </w:rPr>
        <w:t xml:space="preserve">天价格中位数为</w:t>
      </w:r>
      <w:r>
        <w:t xml:space="preserve"> 89.58 </w:t>
      </w:r>
      <w:r>
        <w:rPr>
          <w:rFonts w:hint="eastAsia"/>
        </w:rPr>
        <w:t xml:space="preserve">美元/桶，5%–95%</w:t>
      </w:r>
      <w:r>
        <w:t xml:space="preserve"> </w:t>
      </w:r>
      <w:r>
        <w:rPr>
          <w:rFonts w:hint="eastAsia"/>
        </w:rPr>
        <w:t xml:space="preserve">条件区间为</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38.3%，突破</w:t>
      </w:r>
      <w:r>
        <w:t xml:space="preserve"> 130 </w:t>
      </w:r>
      <w:r>
        <w:rPr>
          <w:rFonts w:hint="eastAsia"/>
        </w:rPr>
        <w:t xml:space="preserve">美元/桶的条件概率为</w:t>
      </w:r>
      <w:r>
        <w:t xml:space="preserve"> </w:t>
      </w:r>
      <w:r>
        <w:rPr>
          <w:rFonts w:hint="eastAsia"/>
        </w:rPr>
        <w:t xml:space="preserve">5.7%。这说明状态切换和市场风险约束确实会放大外推期局部峰值，但不会推翻</w:t>
      </w:r>
      <w:r>
        <w:rPr>
          <w:rFonts w:hint="eastAsia"/>
        </w:rPr>
        <w:t xml:space="preserve">“中性平衡点回落、悲观尾部保留”</w:t>
      </w:r>
      <w:r>
        <w:rPr>
          <w:rFonts w:hint="eastAsia"/>
        </w:rPr>
        <w:t xml:space="preserve">的主结论。也就是说，长期模型的可信表达不应是</w:t>
      </w:r>
      <w:r>
        <w:rPr>
          <w:rFonts w:hint="eastAsia"/>
        </w:rPr>
        <w:t xml:space="preserve">“我能精确预测每天油价”</w:t>
      </w:r>
      <w:r>
        <w:rPr>
          <w:rFonts w:hint="eastAsia"/>
        </w:rPr>
        <w:t xml:space="preserve">，而应是</w:t>
      </w:r>
      <w:r>
        <w:rPr>
          <w:rFonts w:hint="eastAsia"/>
        </w:rPr>
        <w:t xml:space="preserve">“在不同冲突状态下给出可解释的中心、区间和尾部风险”</w:t>
      </w:r>
      <w:r>
        <w:t xml:space="preserve">。</w:t>
      </w:r>
    </w:p>
    <w:p>
      <w:pPr>
        <w:pStyle w:val="CaptionedFigure"/>
      </w:pPr>
      <w:r>
        <w:drawing>
          <wp:inline>
            <wp:extent cx="4907280" cy="2846222"/>
            <wp:effectExtent b="0" l="0" r="0" t="0"/>
            <wp:docPr descr="" title="" id="143" name="Picture"/>
            <a:graphic>
              <a:graphicData uri="http://schemas.openxmlformats.org/drawingml/2006/picture">
                <pic:pic>
                  <pic:nvPicPr>
                    <pic:cNvPr descr="R长期状态转移扇形图.png" id="144" name="Picture"/>
                    <pic:cNvPicPr>
                      <a:picLocks noChangeArrowheads="1" noChangeAspect="1"/>
                    </pic:cNvPicPr>
                  </pic:nvPicPr>
                  <pic:blipFill>
                    <a:blip r:embed="rId142"/>
                    <a:stretch>
                      <a:fillRect/>
                    </a:stretch>
                  </pic:blipFill>
                  <pic:spPr bwMode="auto">
                    <a:xfrm>
                      <a:off x="0" y="0"/>
                      <a:ext cx="4907280" cy="284622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长期状态转移区间预测。双层阴影分别表示</w:t>
      </w:r>
      <w:r>
        <w:t xml:space="preserve"> 5%–95% </w:t>
      </w:r>
      <w:r>
        <w:rPr>
          <w:rFonts w:hint="eastAsia"/>
        </w:rPr>
        <w:t xml:space="preserve">和</w:t>
      </w:r>
      <w:r>
        <w:t xml:space="preserve"> 25%–75% </w:t>
      </w:r>
      <w:r>
        <w:rPr>
          <w:rFonts w:hint="eastAsia"/>
        </w:rPr>
        <w:t xml:space="preserve">条件区间，虚线为原中性中心路径。</w:t>
      </w:r>
    </w:p>
    <w:bookmarkEnd w:id="145"/>
    <w:bookmarkStart w:id="152" w:name="滞后地缘风险指数检验"/>
    <w:p>
      <w:pPr>
        <w:pStyle w:val="Heading2"/>
      </w:pPr>
      <w:r>
        <w:rPr>
          <w:rFonts w:hint="eastAsia"/>
        </w:rPr>
        <w:t xml:space="preserve">滞后地缘风险指数检验</w:t>
      </w:r>
    </w:p>
    <w:p>
      <w:pPr>
        <w:pStyle w:val="FirstParagraph"/>
      </w:pPr>
      <w:r>
        <w:rPr>
          <w:rFonts w:hint="eastAsia"/>
        </w:rPr>
        <w:t xml:space="preserve">综合机制递推模型中包含地缘风险权重和恐慌衰减项。若直接用新闻情绪或风险指数解释同日油价，可能存在反向因果：油价上涨可能先刺激媒体报道增加，随后模型又用新闻恐慌解释油价上涨。为避免这种内生性循环，本文不把新闻爬虫数据作为短期模型输入，而是使用</w:t>
      </w:r>
      <w:r>
        <w:t xml:space="preserve"> Caldara-Iacoviello GPR </w:t>
      </w:r>
      <w:r>
        <w:rPr>
          <w:rFonts w:hint="eastAsia"/>
        </w:rPr>
        <w:t xml:space="preserve">月度指数做外部校验，并采用滞后一期口径。</w:t>
      </w:r>
    </w:p>
    <w:p>
      <w:pPr>
        <w:pStyle w:val="TableCaption"/>
      </w:pPr>
      <w:r>
        <w:rPr>
          <w:rFonts w:hint="eastAsia"/>
        </w:rPr>
        <w:t xml:space="preserve">滞后</w:t>
      </w:r>
      <w:r>
        <w:t xml:space="preserve"> GPR </w:t>
      </w:r>
      <w:r>
        <w:rPr>
          <w:rFonts w:hint="eastAsia"/>
        </w:rPr>
        <w:t xml:space="preserve">风险检验指标</w:t>
      </w:r>
    </w:p>
    <w:tbl>
      <w:tblPr>
        <w:tblStyle w:val="Table"/>
        <w:tblW w:type="auto" w:w="0"/>
        <w:tblLook w:firstRow="1" w:lastRow="0" w:firstColumn="0" w:lastColumn="0" w:noHBand="0" w:noVBand="0" w:val="0020"/>
        <w:tblCaption w:val="滞后 GPR 风险检验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同期</w:t>
            </w:r>
            <w:r>
              <w:t xml:space="preserve"> GPR </w:t>
            </w:r>
            <w:r>
              <w:rPr>
                <w:rFonts w:hint="eastAsia"/>
              </w:rPr>
              <w:t xml:space="preserve">与本月油价收益相关系数</w:t>
            </w:r>
          </w:p>
        </w:tc>
        <w:tc>
          <w:tcPr/>
          <w:p>
            <w:pPr>
              <w:pStyle w:val="Compact"/>
              <w:jc w:val="right"/>
            </w:pPr>
            <w:r>
              <w:t xml:space="preserve">0.156</w:t>
            </w:r>
          </w:p>
        </w:tc>
        <w:tc>
          <w:tcPr/>
          <w:p>
            <w:pPr>
              <w:pStyle w:val="Compact"/>
              <w:jc w:val="left"/>
            </w:pPr>
            <w:r>
              <w:rPr>
                <w:rFonts w:hint="eastAsia"/>
              </w:rPr>
              <w:t xml:space="preserve">只作为描述性同步关系，不用于预测</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与本月油价收益相关系数</w:t>
            </w:r>
          </w:p>
        </w:tc>
        <w:tc>
          <w:tcPr/>
          <w:p>
            <w:pPr>
              <w:pStyle w:val="Compact"/>
              <w:jc w:val="right"/>
            </w:pPr>
            <w:r>
              <w:t xml:space="preserve">0.030</w:t>
            </w:r>
          </w:p>
        </w:tc>
        <w:tc>
          <w:tcPr/>
          <w:p>
            <w:pPr>
              <w:pStyle w:val="Compact"/>
              <w:jc w:val="left"/>
            </w:pPr>
            <w:r>
              <w:rPr>
                <w:rFonts w:hint="eastAsia"/>
              </w:rPr>
              <w:t xml:space="preserve">避免同月新闻–价格反馈循环的核心检验</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与本月实现波动率相关系数</w:t>
            </w:r>
          </w:p>
        </w:tc>
        <w:tc>
          <w:tcPr/>
          <w:p>
            <w:pPr>
              <w:pStyle w:val="Compact"/>
              <w:jc w:val="right"/>
            </w:pPr>
            <w:r>
              <w:t xml:space="preserve">0.107</w:t>
            </w:r>
          </w:p>
        </w:tc>
        <w:tc>
          <w:tcPr/>
          <w:p>
            <w:pPr>
              <w:pStyle w:val="Compact"/>
              <w:jc w:val="left"/>
            </w:pPr>
            <w:r>
              <w:rPr>
                <w:rFonts w:hint="eastAsia"/>
              </w:rPr>
              <w:t xml:space="preserve">风险指数更适合解释波动和尾部风险</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收益回归</w:t>
            </w:r>
            <w:r>
              <w:t xml:space="preserve"> </w:t>
            </w:r>
            <m:oMath>
              <m:sSup>
                <m:e>
                  <m:r>
                    <m:t>R</m:t>
                  </m:r>
                </m:e>
                <m:sup>
                  <m:r>
                    <m:t>2</m:t>
                  </m:r>
                </m:sup>
              </m:sSup>
            </m:oMath>
          </w:p>
        </w:tc>
        <w:tc>
          <w:tcPr/>
          <w:p>
            <w:pPr>
              <w:pStyle w:val="Compact"/>
              <w:jc w:val="right"/>
            </w:pPr>
            <w:r>
              <w:t xml:space="preserve">0.001</w:t>
            </w:r>
          </w:p>
        </w:tc>
        <w:tc>
          <w:tcPr/>
          <w:p>
            <w:pPr>
              <w:pStyle w:val="Compact"/>
              <w:jc w:val="left"/>
            </w:pPr>
            <w:r>
              <w:rPr>
                <w:rFonts w:hint="eastAsia"/>
              </w:rPr>
              <w:t xml:space="preserve">不支持把</w:t>
            </w:r>
            <w:r>
              <w:t xml:space="preserve"> GPR </w:t>
            </w:r>
            <w:r>
              <w:rPr>
                <w:rFonts w:hint="eastAsia"/>
              </w:rPr>
              <w:t xml:space="preserve">包装成强短期收益预测器</w:t>
            </w:r>
          </w:p>
        </w:tc>
      </w:tr>
      <w:tr>
        <w:tc>
          <w:tcPr/>
          <w:p>
            <w:pPr>
              <w:pStyle w:val="Compact"/>
              <w:jc w:val="left"/>
            </w:pPr>
            <w:r>
              <w:t xml:space="preserve">2026 </w:t>
            </w:r>
            <w:r>
              <w:rPr>
                <w:rFonts w:hint="eastAsia"/>
              </w:rPr>
              <w:t xml:space="preserve">年</w:t>
            </w:r>
            <w:r>
              <w:t xml:space="preserve"> 3 </w:t>
            </w:r>
            <w:r>
              <w:rPr>
                <w:rFonts w:hint="eastAsia"/>
              </w:rPr>
              <w:t xml:space="preserve">月</w:t>
            </w:r>
            <w:r>
              <w:t xml:space="preserve"> GPR </w:t>
            </w:r>
            <w:r>
              <w:rPr>
                <w:rFonts w:hint="eastAsia"/>
              </w:rPr>
              <w:t xml:space="preserve">历史分位数</w:t>
            </w:r>
          </w:p>
        </w:tc>
        <w:tc>
          <w:tcPr/>
          <w:p>
            <w:pPr>
              <w:pStyle w:val="Compact"/>
              <w:jc w:val="right"/>
            </w:pPr>
            <w:r>
              <w:t xml:space="preserve">98.98%</w:t>
            </w:r>
          </w:p>
        </w:tc>
        <w:tc>
          <w:tcPr/>
          <w:p>
            <w:pPr>
              <w:pStyle w:val="Compact"/>
              <w:jc w:val="left"/>
            </w:pPr>
            <w:r>
              <w:rPr>
                <w:rFonts w:hint="eastAsia"/>
              </w:rPr>
              <w:t xml:space="preserve">冲突爆发月风险读数处于罕见高位</w:t>
            </w:r>
          </w:p>
        </w:tc>
      </w:tr>
      <w:tr>
        <w:tc>
          <w:tcPr/>
          <w:p>
            <w:pPr>
              <w:pStyle w:val="Compact"/>
              <w:jc w:val="left"/>
            </w:pPr>
            <w:r>
              <w:t xml:space="preserve">2026 </w:t>
            </w:r>
            <w:r>
              <w:rPr>
                <w:rFonts w:hint="eastAsia"/>
              </w:rPr>
              <w:t xml:space="preserve">年</w:t>
            </w:r>
            <w:r>
              <w:t xml:space="preserve"> 4 </w:t>
            </w:r>
            <w:r>
              <w:rPr>
                <w:rFonts w:hint="eastAsia"/>
              </w:rPr>
              <w:t xml:space="preserve">月</w:t>
            </w:r>
            <w:r>
              <w:t xml:space="preserve"> GPR </w:t>
            </w:r>
            <w:r>
              <w:rPr>
                <w:rFonts w:hint="eastAsia"/>
              </w:rPr>
              <w:t xml:space="preserve">历史分位数</w:t>
            </w:r>
          </w:p>
        </w:tc>
        <w:tc>
          <w:tcPr/>
          <w:p>
            <w:pPr>
              <w:pStyle w:val="Compact"/>
              <w:jc w:val="right"/>
            </w:pPr>
            <w:r>
              <w:t xml:space="preserve">97.76%</w:t>
            </w:r>
          </w:p>
        </w:tc>
        <w:tc>
          <w:tcPr/>
          <w:p>
            <w:pPr>
              <w:pStyle w:val="Compact"/>
              <w:jc w:val="left"/>
            </w:pPr>
            <w:r>
              <w:rPr>
                <w:rFonts w:hint="eastAsia"/>
              </w:rPr>
              <w:t xml:space="preserve">冲突延续月风险读数仍处于历史高位</w:t>
            </w:r>
          </w:p>
        </w:tc>
      </w:tr>
    </w:tbl>
    <w:p>
      <w:pPr>
        <w:pStyle w:val="CaptionedFigure"/>
      </w:pPr>
      <w:r>
        <w:drawing>
          <wp:inline>
            <wp:extent cx="4907280" cy="2628899"/>
            <wp:effectExtent b="0" l="0" r="0" t="0"/>
            <wp:docPr descr="" title="" id="147" name="Picture"/>
            <a:graphic>
              <a:graphicData uri="http://schemas.openxmlformats.org/drawingml/2006/picture">
                <pic:pic>
                  <pic:nvPicPr>
                    <pic:cNvPr descr="地缘风险指数滞后审计.png" id="148" name="Picture"/>
                    <pic:cNvPicPr>
                      <a:picLocks noChangeArrowheads="1" noChangeAspect="1"/>
                    </pic:cNvPicPr>
                  </pic:nvPicPr>
                  <pic:blipFill>
                    <a:blip r:embed="rId146"/>
                    <a:stretch>
                      <a:fillRect/>
                    </a:stretch>
                  </pic:blipFill>
                  <pic:spPr bwMode="auto">
                    <a:xfrm>
                      <a:off x="0" y="0"/>
                      <a:ext cx="4907280" cy="2628899"/>
                    </a:xfrm>
                    <a:prstGeom prst="rect">
                      <a:avLst/>
                    </a:prstGeom>
                    <a:noFill/>
                    <a:ln w="9525">
                      <a:noFill/>
                      <a:headEnd/>
                      <a:tailEnd/>
                    </a:ln>
                  </pic:spPr>
                </pic:pic>
              </a:graphicData>
            </a:graphic>
          </wp:inline>
        </w:drawing>
      </w:r>
    </w:p>
    <w:p>
      <w:pPr>
        <w:pStyle w:val="ImageCaption"/>
      </w:pPr>
      <w:r>
        <w:rPr>
          <w:rFonts w:hint="eastAsia"/>
        </w:rPr>
        <w:t xml:space="preserve">地缘风险指数检验：同步</w:t>
      </w:r>
      <w:r>
        <w:t xml:space="preserve"> GPR </w:t>
      </w:r>
      <w:r>
        <w:rPr>
          <w:rFonts w:hint="eastAsia"/>
        </w:rPr>
        <w:t xml:space="preserve">与滞后可用</w:t>
      </w:r>
      <w:r>
        <w:t xml:space="preserve"> GPR。3 </w:t>
      </w:r>
      <w:r>
        <w:rPr>
          <w:rFonts w:hint="eastAsia"/>
        </w:rPr>
        <w:t xml:space="preserve">月油价解释不能使用</w:t>
      </w:r>
      <w:r>
        <w:t xml:space="preserve"> 3 </w:t>
      </w:r>
      <w:r>
        <w:rPr>
          <w:rFonts w:hint="eastAsia"/>
        </w:rPr>
        <w:t xml:space="preserve">月同步</w:t>
      </w:r>
      <w:r>
        <w:t xml:space="preserve"> </w:t>
      </w:r>
      <w:r>
        <w:rPr>
          <w:rFonts w:hint="eastAsia"/>
        </w:rPr>
        <w:t xml:space="preserve">GPR，4</w:t>
      </w:r>
      <w:r>
        <w:t xml:space="preserve"> </w:t>
      </w:r>
      <w:r>
        <w:rPr>
          <w:rFonts w:hint="eastAsia"/>
        </w:rPr>
        <w:t xml:space="preserve">月以后才可使用已实现的</w:t>
      </w:r>
      <w:r>
        <w:t xml:space="preserve"> 3 </w:t>
      </w:r>
      <w:r>
        <w:rPr>
          <w:rFonts w:hint="eastAsia"/>
        </w:rPr>
        <w:t xml:space="preserve">月风险读数。</w:t>
      </w:r>
    </w:p>
    <w:p>
      <w:pPr>
        <w:pStyle w:val="CaptionedFigure"/>
      </w:pPr>
      <w:r>
        <w:drawing>
          <wp:inline>
            <wp:extent cx="4480560" cy="3054927"/>
            <wp:effectExtent b="0" l="0" r="0" t="0"/>
            <wp:docPr descr="" title="" id="150" name="Picture"/>
            <a:graphic>
              <a:graphicData uri="http://schemas.openxmlformats.org/drawingml/2006/picture">
                <pic:pic>
                  <pic:nvPicPr>
                    <pic:cNvPr descr="滞后GPR与布伦特收益关系.png" id="151" name="Picture"/>
                    <pic:cNvPicPr>
                      <a:picLocks noChangeArrowheads="1" noChangeAspect="1"/>
                    </pic:cNvPicPr>
                  </pic:nvPicPr>
                  <pic:blipFill>
                    <a:blip r:embed="rId149"/>
                    <a:stretch>
                      <a:fillRect/>
                    </a:stretch>
                  </pic:blipFill>
                  <pic:spPr bwMode="auto">
                    <a:xfrm>
                      <a:off x="0" y="0"/>
                      <a:ext cx="4480560" cy="3054927"/>
                    </a:xfrm>
                    <a:prstGeom prst="rect">
                      <a:avLst/>
                    </a:prstGeom>
                    <a:noFill/>
                    <a:ln w="9525">
                      <a:noFill/>
                      <a:headEnd/>
                      <a:tailEnd/>
                    </a:ln>
                  </pic:spPr>
                </pic:pic>
              </a:graphicData>
            </a:graphic>
          </wp:inline>
        </w:drawing>
      </w:r>
    </w:p>
    <w:p>
      <w:pPr>
        <w:pStyle w:val="ImageCaption"/>
      </w:pPr>
      <w:r>
        <w:rPr>
          <w:rFonts w:hint="eastAsia"/>
        </w:rPr>
        <w:t xml:space="preserve">滞后</w:t>
      </w:r>
      <w:r>
        <w:t xml:space="preserve"> 1 </w:t>
      </w:r>
      <w:r>
        <w:rPr>
          <w:rFonts w:hint="eastAsia"/>
        </w:rPr>
        <w:t xml:space="preserve">月</w:t>
      </w:r>
      <w:r>
        <w:t xml:space="preserve"> GPR </w:t>
      </w:r>
      <w:r>
        <w:rPr>
          <w:rFonts w:hint="eastAsia"/>
        </w:rPr>
        <w:t xml:space="preserve">与布伦特月度收益关系。散点关系较弱，说明</w:t>
      </w:r>
      <w:r>
        <w:t xml:space="preserve"> GPR </w:t>
      </w:r>
      <w:r>
        <w:rPr>
          <w:rFonts w:hint="eastAsia"/>
        </w:rPr>
        <w:t xml:space="preserve">更适合作为风险溢价外部校验，而非单独点预测模型。</w:t>
      </w:r>
    </w:p>
    <w:p>
      <w:pPr>
        <w:pStyle w:val="BodyText"/>
      </w:pPr>
      <w:r>
        <w:rPr>
          <w:rFonts w:hint="eastAsia"/>
        </w:rPr>
        <w:t xml:space="preserve">该结果对本文有两层含义。第一，2026</w:t>
      </w:r>
      <w:r>
        <w:t xml:space="preserve"> </w:t>
      </w:r>
      <w:r>
        <w:rPr>
          <w:rFonts w:hint="eastAsia"/>
        </w:rPr>
        <w:t xml:space="preserve">年</w:t>
      </w:r>
      <w:r>
        <w:t xml:space="preserve"> 3–4 </w:t>
      </w:r>
      <w:r>
        <w:rPr>
          <w:rFonts w:hint="eastAsia"/>
        </w:rPr>
        <w:t xml:space="preserve">月</w:t>
      </w:r>
      <w:r>
        <w:t xml:space="preserve"> GPR </w:t>
      </w:r>
      <w:r>
        <w:rPr>
          <w:rFonts w:hint="eastAsia"/>
        </w:rPr>
        <w:t xml:space="preserve">处于历史高分位，说明模型中的地缘风险溢价具有外部风险指数支撑。第二，滞后</w:t>
      </w:r>
      <w:r>
        <w:t xml:space="preserve"> GPR </w:t>
      </w:r>
      <w:r>
        <w:rPr>
          <w:rFonts w:hint="eastAsia"/>
        </w:rPr>
        <w:t xml:space="preserve">对月度收益的解释力有限，因此本文不将其直接加入短期拟合，也不把风险指数写成强点预测变量。这使模型在风险解释和内生性边界之间保持较稳妥的定位。</w:t>
      </w:r>
    </w:p>
    <w:bookmarkEnd w:id="152"/>
    <w:bookmarkStart w:id="156" w:name="市场隐含波动率检验"/>
    <w:p>
      <w:pPr>
        <w:pStyle w:val="Heading2"/>
      </w:pPr>
      <w:r>
        <w:rPr>
          <w:rFonts w:hint="eastAsia"/>
        </w:rPr>
        <w:t xml:space="preserve">市场隐含波动率检验</w:t>
      </w:r>
    </w:p>
    <w:p>
      <w:pPr>
        <w:pStyle w:val="FirstParagraph"/>
      </w:pPr>
      <w:r>
        <w:t xml:space="preserve">GPR </w:t>
      </w:r>
      <w:r>
        <w:rPr>
          <w:rFonts w:hint="eastAsia"/>
        </w:rPr>
        <w:t xml:space="preserve">的优势是覆盖长期地缘政治风险叙事，但它来自新闻文本，天然存在内生性边界。为补充更接近市场交易定价的风险变量，本文接入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隐含波动率日度序列，并与附件布伦特主力合约价格进行滞后检验。</w:t>
      </w:r>
    </w:p>
    <w:p>
      <w:pPr>
        <w:pStyle w:val="TableCaption"/>
      </w:pPr>
      <w:r>
        <w:t xml:space="preserve">OVX </w:t>
      </w:r>
      <w:r>
        <w:rPr>
          <w:rFonts w:hint="eastAsia"/>
        </w:rPr>
        <w:t xml:space="preserve">市场隐含波动率检验指标</w:t>
      </w:r>
    </w:p>
    <w:tbl>
      <w:tblPr>
        <w:tblStyle w:val="Table"/>
        <w:tblW w:type="auto" w:w="0"/>
        <w:tblLook w:firstRow="1" w:lastRow="0" w:firstColumn="0" w:lastColumn="0" w:noHBand="0" w:noVBand="0" w:val="0020"/>
        <w:tblCaption w:val="OVX 市场隐含波动率检验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冲突窗口</w:t>
            </w:r>
            <w:r>
              <w:t xml:space="preserve"> OVX </w:t>
            </w:r>
            <w:r>
              <w:rPr>
                <w:rFonts w:hint="eastAsia"/>
              </w:rPr>
              <w:t xml:space="preserve">均值</w:t>
            </w:r>
          </w:p>
        </w:tc>
        <w:tc>
          <w:tcPr/>
          <w:p>
            <w:pPr>
              <w:pStyle w:val="Compact"/>
              <w:jc w:val="right"/>
            </w:pPr>
            <w:r>
              <w:t xml:space="preserve">87.07</w:t>
            </w:r>
          </w:p>
        </w:tc>
        <w:tc>
          <w:tcPr/>
          <w:p>
            <w:pPr>
              <w:pStyle w:val="Compact"/>
              <w:jc w:val="left"/>
            </w:pPr>
            <w:r>
              <w:rPr>
                <w:rFonts w:hint="eastAsia"/>
              </w:rPr>
              <w:t xml:space="preserve">期权市场定价出的冲突窗口平均预期波动率</w:t>
            </w:r>
          </w:p>
        </w:tc>
      </w:tr>
      <w:tr>
        <w:tc>
          <w:tcPr/>
          <w:p>
            <w:pPr>
              <w:pStyle w:val="Compact"/>
              <w:jc w:val="left"/>
            </w:pPr>
            <w:r>
              <w:rPr>
                <w:rFonts w:hint="eastAsia"/>
              </w:rPr>
              <w:t xml:space="preserve">冲突窗口</w:t>
            </w:r>
            <w:r>
              <w:t xml:space="preserve"> OVX </w:t>
            </w:r>
            <w:r>
              <w:rPr>
                <w:rFonts w:hint="eastAsia"/>
              </w:rPr>
              <w:t xml:space="preserve">最大值</w:t>
            </w:r>
          </w:p>
        </w:tc>
        <w:tc>
          <w:tcPr/>
          <w:p>
            <w:pPr>
              <w:pStyle w:val="Compact"/>
              <w:jc w:val="right"/>
            </w:pPr>
            <w:r>
              <w:t xml:space="preserve">120.91</w:t>
            </w:r>
          </w:p>
        </w:tc>
        <w:tc>
          <w:tcPr/>
          <w:p>
            <w:pPr>
              <w:pStyle w:val="Compact"/>
              <w:jc w:val="left"/>
            </w:pPr>
            <w:r>
              <w:rPr>
                <w:rFonts w:hint="eastAsia"/>
              </w:rPr>
              <w:t xml:space="preserve">冲突窗口内市场隐含波动率峰值</w:t>
            </w:r>
          </w:p>
        </w:tc>
      </w:tr>
      <w:tr>
        <w:tc>
          <w:tcPr/>
          <w:p>
            <w:pPr>
              <w:pStyle w:val="Compact"/>
              <w:jc w:val="left"/>
            </w:pPr>
            <w:r>
              <w:rPr>
                <w:rFonts w:hint="eastAsia"/>
              </w:rPr>
              <w:t xml:space="preserve">冲突窗口</w:t>
            </w:r>
            <w:r>
              <w:t xml:space="preserve"> OVX </w:t>
            </w:r>
            <w:r>
              <w:rPr>
                <w:rFonts w:hint="eastAsia"/>
              </w:rPr>
              <w:t xml:space="preserve">均值历史分位</w:t>
            </w:r>
          </w:p>
        </w:tc>
        <w:tc>
          <w:tcPr/>
          <w:p>
            <w:pPr>
              <w:pStyle w:val="Compact"/>
              <w:jc w:val="right"/>
            </w:pPr>
            <w:r>
              <w:t xml:space="preserve">97.3%</w:t>
            </w:r>
          </w:p>
        </w:tc>
        <w:tc>
          <w:tcPr/>
          <w:p>
            <w:pPr>
              <w:pStyle w:val="Compact"/>
              <w:jc w:val="left"/>
            </w:pPr>
            <w:r>
              <w:rPr>
                <w:rFonts w:hint="eastAsia"/>
              </w:rPr>
              <w:t xml:space="preserve">同长度历史窗口均值口径下的异常程度</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与绝对收益相关系数</w:t>
            </w:r>
          </w:p>
        </w:tc>
        <w:tc>
          <w:tcPr/>
          <w:p>
            <w:pPr>
              <w:pStyle w:val="Compact"/>
              <w:jc w:val="right"/>
            </w:pPr>
            <w:r>
              <w:t xml:space="preserve">0.422</w:t>
            </w:r>
          </w:p>
        </w:tc>
        <w:tc>
          <w:tcPr/>
          <w:p>
            <w:pPr>
              <w:pStyle w:val="Compact"/>
              <w:jc w:val="left"/>
            </w:pPr>
            <w:r>
              <w:rPr>
                <w:rFonts w:hint="eastAsia"/>
              </w:rPr>
              <w:t xml:space="preserve">隐含波动率对未来波动强度有解释力</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与</w:t>
            </w:r>
            <w:r>
              <w:t xml:space="preserve"> 7 </w:t>
            </w:r>
            <w:r>
              <w:rPr>
                <w:rFonts w:hint="eastAsia"/>
              </w:rPr>
              <w:t xml:space="preserve">日实现波动率相关系数</w:t>
            </w:r>
          </w:p>
        </w:tc>
        <w:tc>
          <w:tcPr/>
          <w:p>
            <w:pPr>
              <w:pStyle w:val="Compact"/>
              <w:jc w:val="right"/>
            </w:pPr>
            <w:r>
              <w:t xml:space="preserve">0.790</w:t>
            </w:r>
          </w:p>
        </w:tc>
        <w:tc>
          <w:tcPr/>
          <w:p>
            <w:pPr>
              <w:pStyle w:val="Compact"/>
              <w:jc w:val="left"/>
            </w:pPr>
            <w:r>
              <w:t xml:space="preserve">OVX </w:t>
            </w:r>
            <w:r>
              <w:rPr>
                <w:rFonts w:hint="eastAsia"/>
              </w:rPr>
              <w:t xml:space="preserve">更适合约束波动和尾部风险</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变化与收益相关系数</w:t>
            </w:r>
          </w:p>
        </w:tc>
        <w:tc>
          <w:tcPr/>
          <w:p>
            <w:pPr>
              <w:pStyle w:val="Compact"/>
              <w:jc w:val="right"/>
            </w:pPr>
            <w:r>
              <w:t xml:space="preserve">-0.074</w:t>
            </w:r>
          </w:p>
        </w:tc>
        <w:tc>
          <w:tcPr/>
          <w:p>
            <w:pPr>
              <w:pStyle w:val="Compact"/>
              <w:jc w:val="left"/>
            </w:pPr>
            <w:r>
              <w:rPr>
                <w:rFonts w:hint="eastAsia"/>
              </w:rPr>
              <w:t xml:space="preserve">不支持把</w:t>
            </w:r>
            <w:r>
              <w:t xml:space="preserve"> OVX </w:t>
            </w:r>
            <w:r>
              <w:rPr>
                <w:rFonts w:hint="eastAsia"/>
              </w:rPr>
              <w:t xml:space="preserve">包装成强方向预测变量</w:t>
            </w:r>
          </w:p>
        </w:tc>
      </w:tr>
    </w:tbl>
    <w:p>
      <w:pPr>
        <w:pStyle w:val="CaptionedFigure"/>
      </w:pPr>
      <w:r>
        <w:drawing>
          <wp:inline>
            <wp:extent cx="4907280" cy="3141983"/>
            <wp:effectExtent b="0" l="0" r="0" t="0"/>
            <wp:docPr descr="" title="" id="154" name="Picture"/>
            <a:graphic>
              <a:graphicData uri="http://schemas.openxmlformats.org/drawingml/2006/picture">
                <pic:pic>
                  <pic:nvPicPr>
                    <pic:cNvPr descr="OVX隐含波动率滞后检验.png" id="155" name="Picture"/>
                    <pic:cNvPicPr>
                      <a:picLocks noChangeArrowheads="1" noChangeAspect="1"/>
                    </pic:cNvPicPr>
                  </pic:nvPicPr>
                  <pic:blipFill>
                    <a:blip r:embed="rId153"/>
                    <a:stretch>
                      <a:fillRect/>
                    </a:stretch>
                  </pic:blipFill>
                  <pic:spPr bwMode="auto">
                    <a:xfrm>
                      <a:off x="0" y="0"/>
                      <a:ext cx="4907280" cy="3141983"/>
                    </a:xfrm>
                    <a:prstGeom prst="rect">
                      <a:avLst/>
                    </a:prstGeom>
                    <a:noFill/>
                    <a:ln w="9525">
                      <a:noFill/>
                      <a:headEnd/>
                      <a:tailEnd/>
                    </a:ln>
                  </pic:spPr>
                </pic:pic>
              </a:graphicData>
            </a:graphic>
          </wp:inline>
        </w:drawing>
      </w:r>
    </w:p>
    <w:p>
      <w:pPr>
        <w:pStyle w:val="ImageCaption"/>
      </w:pPr>
      <w:r>
        <w:t xml:space="preserve">OVX </w:t>
      </w:r>
      <w:r>
        <w:rPr>
          <w:rFonts w:hint="eastAsia"/>
        </w:rPr>
        <w:t xml:space="preserve">隐含波动率滞后检验。冲突窗口内</w:t>
      </w:r>
      <w:r>
        <w:t xml:space="preserve"> OVX </w:t>
      </w:r>
      <w:r>
        <w:rPr>
          <w:rFonts w:hint="eastAsia"/>
        </w:rPr>
        <w:t xml:space="preserve">明显升高，说明期权市场也对原油尾部风险重新定价。</w:t>
      </w:r>
    </w:p>
    <w:p>
      <w:pPr>
        <w:pStyle w:val="BodyText"/>
      </w:pPr>
      <w:r>
        <w:t xml:space="preserve">OVX </w:t>
      </w:r>
      <w:r>
        <w:rPr>
          <w:rFonts w:hint="eastAsia"/>
        </w:rPr>
        <w:t xml:space="preserve">接入长期模型的方式是克制的：它只作为长期风险权重和不确定性强度的附加乘数，而不进入短期同日拟合。具体而言，OVX</w:t>
      </w:r>
      <w:r>
        <w:t xml:space="preserve"> </w:t>
      </w:r>
      <w:r>
        <w:rPr>
          <w:rFonts w:hint="eastAsia"/>
        </w:rPr>
        <w:t xml:space="preserve">冲突窗口历史分位数和滞后</w:t>
      </w:r>
      <w:r>
        <w:t xml:space="preserve"> 1 </w:t>
      </w:r>
      <w:r>
        <w:rPr>
          <w:rFonts w:hint="eastAsia"/>
        </w:rPr>
        <w:t xml:space="preserve">日</w:t>
      </w:r>
      <w:r>
        <w:t xml:space="preserve"> OVX </w:t>
      </w:r>
      <w:r>
        <w:rPr>
          <w:rFonts w:hint="eastAsia"/>
        </w:rPr>
        <w:t xml:space="preserve">与实现波动率相关性共同生成市场风险压力，进而得到</w:t>
      </w:r>
      <w:r>
        <w:t xml:space="preserve"> OVX </w:t>
      </w:r>
      <w:r>
        <w:rPr>
          <w:rFonts w:hint="eastAsia"/>
        </w:rPr>
        <w:t xml:space="preserve">市场风险权重附加乘数</w:t>
      </w:r>
      <w:r>
        <w:t xml:space="preserve"> 1.0275 </w:t>
      </w:r>
      <w:r>
        <w:rPr>
          <w:rFonts w:hint="eastAsia"/>
        </w:rPr>
        <w:t xml:space="preserve">和</w:t>
      </w:r>
      <w:r>
        <w:t xml:space="preserve"> OVX </w:t>
      </w:r>
      <w:r>
        <w:rPr>
          <w:rFonts w:hint="eastAsia"/>
        </w:rPr>
        <w:t xml:space="preserve">不确定性强度附加乘数</w:t>
      </w:r>
      <w:r>
        <w:t xml:space="preserve"> </w:t>
      </w:r>
      <w:r>
        <w:rPr>
          <w:rFonts w:hint="eastAsia"/>
        </w:rPr>
        <w:t xml:space="preserve">1.0433。这样既利用了期权市场对风险的定价信息，又避免把隐含波动率误写成油价方向预测器。</w:t>
      </w:r>
    </w:p>
    <w:bookmarkEnd w:id="156"/>
    <w:bookmarkStart w:id="163" w:name="历史样本稳健性检验"/>
    <w:p>
      <w:pPr>
        <w:pStyle w:val="Heading2"/>
      </w:pPr>
      <w:r>
        <w:rPr>
          <w:rFonts w:hint="eastAsia"/>
        </w:rPr>
        <w:t xml:space="preserve">历史样本稳健性检验</w:t>
      </w:r>
    </w:p>
    <w:p>
      <w:pPr>
        <w:pStyle w:val="FirstParagraph"/>
      </w:pPr>
      <w:r>
        <w:rPr>
          <w:rFonts w:hint="eastAsia"/>
        </w:rPr>
        <w:t xml:space="preserve">附件数据覆盖</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月。除用于绘制长期价格和波动背景外，完整历史数据还可以检验</w:t>
      </w:r>
      <w:r>
        <w:t xml:space="preserve"> 2026 </w:t>
      </w:r>
      <w:r>
        <w:rPr>
          <w:rFonts w:hint="eastAsia"/>
        </w:rPr>
        <w:t xml:space="preserve">冲突窗口在历史分布中的位置。本文采用与冲突窗口相同的</w:t>
      </w:r>
      <w:r>
        <w:t xml:space="preserve"> 46 </w:t>
      </w:r>
      <w:r>
        <w:rPr>
          <w:rFonts w:hint="eastAsia"/>
        </w:rPr>
        <w:t xml:space="preserve">个交易日长度，在全样本中滚动构造历史窗口，并比较累计收益率、实现波动率、价格区间、最大单日跳变和朴素上一日基准误差。</w:t>
      </w:r>
    </w:p>
    <w:p>
      <w:pPr>
        <w:pStyle w:val="TableCaption"/>
      </w:pPr>
      <w:r>
        <w:t xml:space="preserve">2026 </w:t>
      </w:r>
      <w:r>
        <w:rPr>
          <w:rFonts w:hint="eastAsia"/>
        </w:rPr>
        <w:t xml:space="preserve">冲突窗口在历史同长度窗口中的位置</w:t>
      </w:r>
    </w:p>
    <w:tbl>
      <w:tblPr>
        <w:tblStyle w:val="Table"/>
        <w:tblW w:type="auto" w:w="0"/>
        <w:tblLook w:firstRow="1" w:lastRow="0" w:firstColumn="0" w:lastColumn="0" w:noHBand="0" w:noVBand="0" w:val="0020"/>
        <w:tblCaption w:val="2026 冲突窗口在历史同长度窗口中的位置"/>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冲突窗口数值</w:t>
            </w:r>
          </w:p>
        </w:tc>
        <w:tc>
          <w:tcPr/>
          <w:p>
            <w:pPr>
              <w:pStyle w:val="Compact"/>
              <w:jc w:val="right"/>
            </w:pPr>
            <w:r>
              <w:rPr>
                <w:rFonts w:hint="eastAsia"/>
              </w:rPr>
              <w:t xml:space="preserve">历史分位数</w:t>
            </w:r>
          </w:p>
        </w:tc>
        <w:tc>
          <w:tcPr/>
          <w:p>
            <w:pPr>
              <w:pStyle w:val="Compact"/>
              <w:jc w:val="left"/>
            </w:pPr>
            <w:r>
              <w:rPr>
                <w:rFonts w:hint="eastAsia"/>
              </w:rPr>
              <w:t xml:space="preserve">含义</w:t>
            </w:r>
          </w:p>
        </w:tc>
      </w:tr>
      <w:tr>
        <w:tc>
          <w:tcPr/>
          <w:p>
            <w:pPr>
              <w:pStyle w:val="Compact"/>
              <w:jc w:val="left"/>
            </w:pPr>
            <w:r>
              <w:rPr>
                <w:rFonts w:hint="eastAsia"/>
              </w:rPr>
              <w:t xml:space="preserve">累计收益率</w:t>
            </w:r>
          </w:p>
        </w:tc>
        <w:tc>
          <w:tcPr/>
          <w:p>
            <w:pPr>
              <w:pStyle w:val="Compact"/>
              <w:jc w:val="right"/>
            </w:pPr>
            <w:r>
              <w:t xml:space="preserve">50.7%</w:t>
            </w:r>
          </w:p>
        </w:tc>
        <w:tc>
          <w:tcPr/>
          <w:p>
            <w:pPr>
              <w:pStyle w:val="Compact"/>
              <w:jc w:val="right"/>
            </w:pPr>
            <w:r>
              <w:t xml:space="preserve">99.3%</w:t>
            </w:r>
          </w:p>
        </w:tc>
        <w:tc>
          <w:tcPr/>
          <w:p>
            <w:pPr>
              <w:pStyle w:val="Compact"/>
              <w:jc w:val="left"/>
            </w:pPr>
            <w:r>
              <w:rPr>
                <w:rFonts w:hint="eastAsia"/>
              </w:rPr>
              <w:t xml:space="preserve">同长度窗口内价格上行幅度</w:t>
            </w:r>
          </w:p>
        </w:tc>
      </w:tr>
      <w:tr>
        <w:tc>
          <w:tcPr/>
          <w:p>
            <w:pPr>
              <w:pStyle w:val="Compact"/>
              <w:jc w:val="left"/>
            </w:pPr>
            <w:r>
              <w:rPr>
                <w:rFonts w:hint="eastAsia"/>
              </w:rPr>
              <w:t xml:space="preserve">实现波动率</w:t>
            </w:r>
          </w:p>
        </w:tc>
        <w:tc>
          <w:tcPr/>
          <w:p>
            <w:pPr>
              <w:pStyle w:val="Compact"/>
              <w:jc w:val="right"/>
            </w:pPr>
            <w:r>
              <w:t xml:space="preserve">30.4%</w:t>
            </w:r>
          </w:p>
        </w:tc>
        <w:tc>
          <w:tcPr/>
          <w:p>
            <w:pPr>
              <w:pStyle w:val="Compact"/>
              <w:jc w:val="right"/>
            </w:pPr>
            <w:r>
              <w:t xml:space="preserve">95.7%</w:t>
            </w:r>
          </w:p>
        </w:tc>
        <w:tc>
          <w:tcPr/>
          <w:p>
            <w:pPr>
              <w:pStyle w:val="Compact"/>
              <w:jc w:val="left"/>
            </w:pPr>
            <w:r>
              <w:rPr>
                <w:rFonts w:hint="eastAsia"/>
              </w:rPr>
              <w:t xml:space="preserve">同长度窗口内波动强度</w:t>
            </w:r>
          </w:p>
        </w:tc>
      </w:tr>
      <w:tr>
        <w:tc>
          <w:tcPr/>
          <w:p>
            <w:pPr>
              <w:pStyle w:val="Compact"/>
              <w:jc w:val="left"/>
            </w:pPr>
            <w:r>
              <w:rPr>
                <w:rFonts w:hint="eastAsia"/>
              </w:rPr>
              <w:t xml:space="preserve">平均绝对日收益率</w:t>
            </w:r>
          </w:p>
        </w:tc>
        <w:tc>
          <w:tcPr/>
          <w:p>
            <w:pPr>
              <w:pStyle w:val="Compact"/>
              <w:jc w:val="right"/>
            </w:pPr>
            <w:r>
              <w:t xml:space="preserve">3.74%</w:t>
            </w:r>
          </w:p>
        </w:tc>
        <w:tc>
          <w:tcPr/>
          <w:p>
            <w:pPr>
              <w:pStyle w:val="Compact"/>
              <w:jc w:val="right"/>
            </w:pPr>
            <w:r>
              <w:t xml:space="preserve">97.3%</w:t>
            </w:r>
          </w:p>
        </w:tc>
        <w:tc>
          <w:tcPr/>
          <w:p>
            <w:pPr>
              <w:pStyle w:val="Compact"/>
              <w:jc w:val="left"/>
            </w:pPr>
            <w:r>
              <w:rPr>
                <w:rFonts w:hint="eastAsia"/>
              </w:rPr>
              <w:t xml:space="preserve">日常波动强度</w:t>
            </w:r>
          </w:p>
        </w:tc>
      </w:tr>
      <w:tr>
        <w:tc>
          <w:tcPr/>
          <w:p>
            <w:pPr>
              <w:pStyle w:val="Compact"/>
              <w:jc w:val="left"/>
            </w:pPr>
            <w:r>
              <w:rPr>
                <w:rFonts w:hint="eastAsia"/>
              </w:rPr>
              <w:t xml:space="preserve">最大单日绝对收益</w:t>
            </w:r>
          </w:p>
        </w:tc>
        <w:tc>
          <w:tcPr/>
          <w:p>
            <w:pPr>
              <w:pStyle w:val="Compact"/>
              <w:jc w:val="right"/>
            </w:pPr>
            <w:r>
              <w:t xml:space="preserve">11.9%</w:t>
            </w:r>
          </w:p>
        </w:tc>
        <w:tc>
          <w:tcPr/>
          <w:p>
            <w:pPr>
              <w:pStyle w:val="Compact"/>
              <w:jc w:val="right"/>
            </w:pPr>
            <w:r>
              <w:t xml:space="preserve">91.4%</w:t>
            </w:r>
          </w:p>
        </w:tc>
        <w:tc>
          <w:tcPr/>
          <w:p>
            <w:pPr>
              <w:pStyle w:val="Compact"/>
              <w:jc w:val="left"/>
            </w:pPr>
            <w:r>
              <w:rPr>
                <w:rFonts w:hint="eastAsia"/>
              </w:rPr>
              <w:t xml:space="preserve">局部跳变强度</w:t>
            </w:r>
          </w:p>
        </w:tc>
      </w:tr>
      <w:tr>
        <w:tc>
          <w:tcPr/>
          <w:p>
            <w:pPr>
              <w:pStyle w:val="Compact"/>
              <w:jc w:val="left"/>
            </w:pPr>
            <w:r>
              <w:rPr>
                <w:rFonts w:hint="eastAsia"/>
              </w:rPr>
              <w:t xml:space="preserve">价格区间比例</w:t>
            </w:r>
          </w:p>
        </w:tc>
        <w:tc>
          <w:tcPr/>
          <w:p>
            <w:pPr>
              <w:pStyle w:val="Compact"/>
              <w:jc w:val="right"/>
            </w:pPr>
            <w:r>
              <w:t xml:space="preserve">36.1%</w:t>
            </w:r>
          </w:p>
        </w:tc>
        <w:tc>
          <w:tcPr/>
          <w:p>
            <w:pPr>
              <w:pStyle w:val="Compact"/>
              <w:jc w:val="right"/>
            </w:pPr>
            <w:r>
              <w:t xml:space="preserve">93.2%</w:t>
            </w:r>
          </w:p>
        </w:tc>
        <w:tc>
          <w:tcPr/>
          <w:p>
            <w:pPr>
              <w:pStyle w:val="Compact"/>
              <w:jc w:val="left"/>
            </w:pPr>
            <w:r>
              <w:rPr>
                <w:rFonts w:hint="eastAsia"/>
              </w:rPr>
              <w:t xml:space="preserve">窗口内价格振幅</w:t>
            </w:r>
          </w:p>
        </w:tc>
      </w:tr>
      <w:tr>
        <w:tc>
          <w:tcPr/>
          <w:p>
            <w:pPr>
              <w:pStyle w:val="Compact"/>
              <w:jc w:val="left"/>
            </w:pPr>
            <w:r>
              <w:rPr>
                <w:rFonts w:hint="eastAsia"/>
              </w:rPr>
              <w:t xml:space="preserve">朴素上一日基准</w:t>
            </w:r>
            <w:r>
              <w:t xml:space="preserve"> RMSE</w:t>
            </w:r>
          </w:p>
        </w:tc>
        <w:tc>
          <w:tcPr/>
          <w:p>
            <w:pPr>
              <w:pStyle w:val="Compact"/>
              <w:jc w:val="right"/>
            </w:pPr>
            <w:r>
              <w:t xml:space="preserve">4.52</w:t>
            </w:r>
          </w:p>
        </w:tc>
        <w:tc>
          <w:tcPr/>
          <w:p>
            <w:pPr>
              <w:pStyle w:val="Compact"/>
              <w:jc w:val="right"/>
            </w:pPr>
            <w:r>
              <w:t xml:space="preserve">98.5%</w:t>
            </w:r>
          </w:p>
        </w:tc>
        <w:tc>
          <w:tcPr/>
          <w:p>
            <w:pPr>
              <w:pStyle w:val="Compact"/>
              <w:jc w:val="left"/>
            </w:pPr>
            <w:r>
              <w:rPr>
                <w:rFonts w:hint="eastAsia"/>
              </w:rPr>
              <w:t xml:space="preserve">随机游走基准在该窗口是否变难</w:t>
            </w:r>
          </w:p>
        </w:tc>
      </w:tr>
      <w:tr>
        <w:tc>
          <w:tcPr/>
          <w:p>
            <w:pPr>
              <w:pStyle w:val="Compact"/>
              <w:jc w:val="left"/>
            </w:pPr>
            <w:r>
              <w:rPr>
                <w:rFonts w:hint="eastAsia"/>
              </w:rPr>
              <w:t xml:space="preserve">本文机制模型</w:t>
            </w:r>
            <w:r>
              <w:t xml:space="preserve"> RMSE</w:t>
            </w:r>
          </w:p>
        </w:tc>
        <w:tc>
          <w:tcPr/>
          <w:p>
            <w:pPr>
              <w:pStyle w:val="Compact"/>
              <w:jc w:val="right"/>
            </w:pPr>
            <w:r>
              <w:t xml:space="preserve">3.44</w:t>
            </w:r>
          </w:p>
        </w:tc>
        <w:tc>
          <w:tcPr/>
          <w:p>
            <w:pPr>
              <w:pStyle w:val="Compact"/>
              <w:jc w:val="right"/>
            </w:pPr>
            <w:r>
              <w:t xml:space="preserve">97.4%</w:t>
            </w:r>
          </w:p>
        </w:tc>
        <w:tc>
          <w:tcPr/>
          <w:p>
            <w:pPr>
              <w:pStyle w:val="Compact"/>
              <w:jc w:val="left"/>
            </w:pPr>
            <w:r>
              <w:rPr>
                <w:rFonts w:hint="eastAsia"/>
              </w:rPr>
              <w:t xml:space="preserve">对比历史朴素误差分布</w:t>
            </w:r>
          </w:p>
        </w:tc>
      </w:tr>
    </w:tbl>
    <w:p>
      <w:pPr>
        <w:pStyle w:val="CaptionedFigure"/>
      </w:pPr>
      <w:r>
        <w:drawing>
          <wp:inline>
            <wp:extent cx="4907280" cy="2685115"/>
            <wp:effectExtent b="0" l="0" r="0" t="0"/>
            <wp:docPr descr="" title="" id="158" name="Picture"/>
            <a:graphic>
              <a:graphicData uri="http://schemas.openxmlformats.org/drawingml/2006/picture">
                <pic:pic>
                  <pic:nvPicPr>
                    <pic:cNvPr descr="历史窗口极端性检验.png" id="159" name="Picture"/>
                    <pic:cNvPicPr>
                      <a:picLocks noChangeArrowheads="1" noChangeAspect="1"/>
                    </pic:cNvPicPr>
                  </pic:nvPicPr>
                  <pic:blipFill>
                    <a:blip r:embed="rId157"/>
                    <a:stretch>
                      <a:fillRect/>
                    </a:stretch>
                  </pic:blipFill>
                  <pic:spPr bwMode="auto">
                    <a:xfrm>
                      <a:off x="0" y="0"/>
                      <a:ext cx="4907280" cy="2685115"/>
                    </a:xfrm>
                    <a:prstGeom prst="rect">
                      <a:avLst/>
                    </a:prstGeom>
                    <a:noFill/>
                    <a:ln w="9525">
                      <a:noFill/>
                      <a:headEnd/>
                      <a:tailEnd/>
                    </a:ln>
                  </pic:spPr>
                </pic:pic>
              </a:graphicData>
            </a:graphic>
          </wp:inline>
        </w:drawing>
      </w:r>
    </w:p>
    <w:p>
      <w:pPr>
        <w:pStyle w:val="ImageCaption"/>
      </w:pPr>
      <w:r>
        <w:t xml:space="preserve">2026 </w:t>
      </w:r>
      <w:r>
        <w:rPr>
          <w:rFonts w:hint="eastAsia"/>
        </w:rPr>
        <w:t xml:space="preserve">冲突窗口在历史同长度窗口中的极端性。累计涨幅、波动率和朴素基准误差均处于历史高分位。</w:t>
      </w:r>
    </w:p>
    <w:p>
      <w:pPr>
        <w:pStyle w:val="CaptionedFigure"/>
      </w:pPr>
      <w:r>
        <w:drawing>
          <wp:inline>
            <wp:extent cx="4800600" cy="2351314"/>
            <wp:effectExtent b="0" l="0" r="0" t="0"/>
            <wp:docPr descr="" title="" id="161" name="Picture"/>
            <a:graphic>
              <a:graphicData uri="http://schemas.openxmlformats.org/drawingml/2006/picture">
                <pic:pic>
                  <pic:nvPicPr>
                    <pic:cNvPr descr="R历史基准误差分布图.png" id="162" name="Picture"/>
                    <pic:cNvPicPr>
                      <a:picLocks noChangeArrowheads="1" noChangeAspect="1"/>
                    </pic:cNvPicPr>
                  </pic:nvPicPr>
                  <pic:blipFill>
                    <a:blip r:embed="rId160"/>
                    <a:stretch>
                      <a:fillRect/>
                    </a:stretch>
                  </pic:blipFill>
                  <pic:spPr bwMode="auto">
                    <a:xfrm>
                      <a:off x="0" y="0"/>
                      <a:ext cx="4800600" cy="2351314"/>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历史同长度窗口基准误差分布。蓝色区间表示历史分位带，红点表示</w:t>
      </w:r>
      <w:r>
        <w:t xml:space="preserve"> 2026 </w:t>
      </w:r>
      <w:r>
        <w:rPr>
          <w:rFonts w:hint="eastAsia"/>
        </w:rPr>
        <w:t xml:space="preserve">冲突窗口，说明该窗口对普通基准模型显著更难。</w:t>
      </w:r>
    </w:p>
    <w:p>
      <w:pPr>
        <w:pStyle w:val="BodyText"/>
      </w:pPr>
      <w:r>
        <w:rPr>
          <w:rFonts w:hint="eastAsia"/>
        </w:rPr>
        <w:t xml:space="preserve">历史检验有两个作用。第一，它证明本文没有只盯着</w:t>
      </w:r>
      <w:r>
        <w:t xml:space="preserve"> 46 </w:t>
      </w:r>
      <w:r>
        <w:rPr>
          <w:rFonts w:hint="eastAsia"/>
        </w:rPr>
        <w:t xml:space="preserve">个交易日做孤立拟合：与</w:t>
      </w:r>
      <w:r>
        <w:t xml:space="preserve"> 2017–2026 </w:t>
      </w:r>
      <w:r>
        <w:rPr>
          <w:rFonts w:hint="eastAsia"/>
        </w:rPr>
        <w:t xml:space="preserve">年所有同长度窗口相比，2026</w:t>
      </w:r>
      <w:r>
        <w:t xml:space="preserve"> </w:t>
      </w:r>
      <w:r>
        <w:rPr>
          <w:rFonts w:hint="eastAsia"/>
        </w:rPr>
        <w:t xml:space="preserve">冲突窗口确实属于高涨幅、高波动和高预测难度样本。第二，它说明完整历史数据更适合作为背景分布和基准检验，而不应被用来把霍尔木兹机制参数强行拟合到所有普通时期。ADF</w:t>
      </w:r>
      <w:r>
        <w:t xml:space="preserve"> </w:t>
      </w:r>
      <w:r>
        <w:rPr>
          <w:rFonts w:hint="eastAsia"/>
        </w:rPr>
        <w:t xml:space="preserve">检验也支持这一点：收盘价水平和对数价格均不能拒绝单位根，而对数收益率可拒绝单位根，因此普通统计基准更适合在收益率或差分口径下使用。</w:t>
      </w:r>
    </w:p>
    <w:bookmarkEnd w:id="163"/>
    <w:bookmarkEnd w:id="164"/>
    <w:bookmarkStart w:id="168" w:name="模型评价"/>
    <w:p>
      <w:pPr>
        <w:pStyle w:val="Heading1"/>
      </w:pPr>
      <w:r>
        <w:rPr>
          <w:rFonts w:hint="eastAsia"/>
        </w:rPr>
        <w:t xml:space="preserve">模型评价</w:t>
      </w:r>
    </w:p>
    <w:bookmarkStart w:id="165" w:name="优点"/>
    <w:p>
      <w:pPr>
        <w:pStyle w:val="Heading2"/>
      </w:pPr>
      <w:r>
        <w:rPr>
          <w:rFonts w:hint="eastAsia"/>
        </w:rPr>
        <w:t xml:space="preserve">优点</w:t>
      </w:r>
    </w:p>
    <w:p>
      <w:pPr>
        <w:numPr>
          <w:ilvl w:val="0"/>
          <w:numId w:val="1005"/>
        </w:numPr>
      </w:pPr>
      <w:r>
        <w:rPr>
          <w:rFonts w:hint="eastAsia"/>
        </w:rPr>
        <w:t xml:space="preserve">证据链完整：从附件数据清洗、传统供需基准、动态模型、校准、鲁棒性检验、三情景预测到敏感性分析均可复现。</w:t>
      </w:r>
    </w:p>
    <w:p>
      <w:pPr>
        <w:numPr>
          <w:ilvl w:val="0"/>
          <w:numId w:val="1005"/>
        </w:numPr>
      </w:pPr>
      <w:r>
        <w:rPr>
          <w:rFonts w:hint="eastAsia"/>
        </w:rPr>
        <w:t xml:space="preserve">机制解释清晰：价格平台由供应缺口、风险溢价和缓冲折价共同递推形成，而非外生给定的价格上限。</w:t>
      </w:r>
    </w:p>
    <w:p>
      <w:pPr>
        <w:numPr>
          <w:ilvl w:val="0"/>
          <w:numId w:val="1005"/>
        </w:numPr>
      </w:pPr>
      <w:r>
        <w:rPr>
          <w:rFonts w:hint="eastAsia"/>
        </w:rPr>
        <w:t xml:space="preserve">检验体系较完整：本文设置</w:t>
      </w:r>
      <w:r>
        <w:t xml:space="preserve"> Random Walk </w:t>
      </w:r>
      <w:r>
        <w:rPr>
          <w:rFonts w:hint="eastAsia"/>
        </w:rPr>
        <w:t xml:space="preserve">基准、ARIMA</w:t>
      </w:r>
      <w:r>
        <w:t xml:space="preserve"> </w:t>
      </w:r>
      <w:r>
        <w:rPr>
          <w:rFonts w:hint="eastAsia"/>
        </w:rPr>
        <w:t xml:space="preserve">基准、DM</w:t>
      </w:r>
      <w:r>
        <w:t xml:space="preserve"> </w:t>
      </w:r>
      <w:r>
        <w:rPr>
          <w:rFonts w:hint="eastAsia"/>
        </w:rPr>
        <w:t xml:space="preserve">统计检验、滞后平移检验、机制消融、参数扰动和历史同长度窗口检验。</w:t>
      </w:r>
    </w:p>
    <w:p>
      <w:pPr>
        <w:numPr>
          <w:ilvl w:val="0"/>
          <w:numId w:val="1005"/>
        </w:numPr>
      </w:pPr>
      <w:r>
        <w:rPr>
          <w:rFonts w:hint="eastAsia"/>
        </w:rPr>
        <w:t xml:space="preserve">数据口径保守：所有真实价格均来自附件</w:t>
      </w:r>
      <w:r>
        <w:t xml:space="preserve"> </w:t>
      </w:r>
      <w:r>
        <w:rPr>
          <w:rFonts w:hint="eastAsia"/>
        </w:rPr>
        <w:t xml:space="preserve">CSV；外推阶段明确标注为情景预测，不作为真实观测。</w:t>
      </w:r>
    </w:p>
    <w:p>
      <w:pPr>
        <w:numPr>
          <w:ilvl w:val="0"/>
          <w:numId w:val="1005"/>
        </w:numPr>
      </w:pPr>
      <w:r>
        <w:rPr>
          <w:rFonts w:hint="eastAsia"/>
        </w:rPr>
        <w:t xml:space="preserve">长期表述审慎：三情景中心线与蒙特卡洛扇形区间、状态转移情景树合读，把长期结果定位为条件中心路径、状态切换和尾部风险，而非精确日度点预测。</w:t>
      </w:r>
    </w:p>
    <w:bookmarkEnd w:id="165"/>
    <w:bookmarkStart w:id="166" w:name="局限性"/>
    <w:p>
      <w:pPr>
        <w:pStyle w:val="Heading2"/>
      </w:pPr>
      <w:r>
        <w:rPr>
          <w:rFonts w:hint="eastAsia"/>
        </w:rPr>
        <w:t xml:space="preserve">局限性</w:t>
      </w:r>
    </w:p>
    <w:p>
      <w:pPr>
        <w:numPr>
          <w:ilvl w:val="0"/>
          <w:numId w:val="1006"/>
        </w:numPr>
      </w:pPr>
      <w:r>
        <w:rPr>
          <w:rFonts w:hint="eastAsia"/>
        </w:rPr>
        <w:t xml:space="preserve">冲突窗口只有</w:t>
      </w:r>
      <w:r>
        <w:t xml:space="preserve"> 46 </w:t>
      </w:r>
      <w:r>
        <w:rPr>
          <w:rFonts w:hint="eastAsia"/>
        </w:rPr>
        <w:t xml:space="preserve">个交易日，参数自由度相对较高，尽管有压力测试和边界检验，仍不宜把模型包装为通用油价交易预测器。</w:t>
      </w:r>
    </w:p>
    <w:p>
      <w:pPr>
        <w:numPr>
          <w:ilvl w:val="0"/>
          <w:numId w:val="1006"/>
        </w:numPr>
      </w:pPr>
      <w:r>
        <w:rPr>
          <w:rFonts w:hint="eastAsia"/>
        </w:rPr>
        <w:t xml:space="preserve">本文已补充</w:t>
      </w:r>
      <w:r>
        <w:t xml:space="preserve"> EIA </w:t>
      </w:r>
      <w:r>
        <w:rPr>
          <w:rFonts w:hint="eastAsia"/>
        </w:rPr>
        <w:t xml:space="preserve">美国口径</w:t>
      </w:r>
      <w:r>
        <w:t xml:space="preserve"> </w:t>
      </w:r>
      <w:r>
        <w:rPr>
          <w:rFonts w:hint="eastAsia"/>
        </w:rPr>
        <w:t xml:space="preserve">SPR、商业库存和原油产量周度数据，接入</w:t>
      </w:r>
      <w:r>
        <w:t xml:space="preserve"> JODI </w:t>
      </w:r>
      <w:r>
        <w:rPr>
          <w:rFonts w:hint="eastAsia"/>
        </w:rPr>
        <w:t xml:space="preserve">多国月度产量、库存、进出口、需求和炼厂产出，整理</w:t>
      </w:r>
      <w:r>
        <w:t xml:space="preserve"> OPEC </w:t>
      </w:r>
      <w:r>
        <w:rPr>
          <w:rFonts w:hint="eastAsia"/>
        </w:rPr>
        <w:t xml:space="preserve">公开全球供需平衡表作为长期外生约束，并进一步接入</w:t>
      </w:r>
      <w:r>
        <w:t xml:space="preserve"> OVX </w:t>
      </w:r>
      <w:r>
        <w:rPr>
          <w:rFonts w:hint="eastAsia"/>
        </w:rPr>
        <w:t xml:space="preserve">原油隐含波动率约束长期风险权重和不确定性强度；同时接入</w:t>
      </w:r>
      <w:r>
        <w:t xml:space="preserve"> GPR </w:t>
      </w:r>
      <w:r>
        <w:rPr>
          <w:rFonts w:hint="eastAsia"/>
        </w:rPr>
        <w:t xml:space="preserve">月度指数和历史滚动窗口校验地缘风险与事件极端性。但</w:t>
      </w:r>
      <w:r>
        <w:t xml:space="preserve"> JODI </w:t>
      </w:r>
      <w:r>
        <w:rPr>
          <w:rFonts w:hint="eastAsia"/>
        </w:rPr>
        <w:t xml:space="preserve">存在上报滞后和覆盖差异，OPEC</w:t>
      </w:r>
      <w:r>
        <w:t xml:space="preserve"> </w:t>
      </w:r>
      <w:r>
        <w:rPr>
          <w:rFonts w:hint="eastAsia"/>
        </w:rPr>
        <w:t xml:space="preserve">表属于正常基线预测而非封锁情景实测，OVX</w:t>
      </w:r>
      <w:r>
        <w:t xml:space="preserve"> </w:t>
      </w:r>
      <w:r>
        <w:rPr>
          <w:rFonts w:hint="eastAsia"/>
        </w:rPr>
        <w:t xml:space="preserve">反映波动率而非方向收益，仍不能替代</w:t>
      </w:r>
      <w:r>
        <w:t xml:space="preserve"> IEA </w:t>
      </w:r>
      <w:r>
        <w:rPr>
          <w:rFonts w:hint="eastAsia"/>
        </w:rPr>
        <w:t xml:space="preserve">完整授权数据库、油轮保险费、期货期限结构或高频新闻情绪等变量。</w:t>
      </w:r>
    </w:p>
    <w:p>
      <w:pPr>
        <w:numPr>
          <w:ilvl w:val="0"/>
          <w:numId w:val="1006"/>
        </w:numPr>
      </w:pPr>
      <w:r>
        <w:rPr>
          <w:rFonts w:hint="eastAsia"/>
        </w:rPr>
        <w:t xml:space="preserve">蒙特卡洛情景树和状态转移情景树已经刻画了部分参数联动风险与事件状态切换风险，但其联合分布仍来自模型设定而非未来观测，因此尾部概率应解释为条件概率而非真实市场概率。</w:t>
      </w:r>
    </w:p>
    <w:bookmarkEnd w:id="166"/>
    <w:bookmarkStart w:id="167" w:name="改进方向"/>
    <w:p>
      <w:pPr>
        <w:pStyle w:val="Heading2"/>
      </w:pPr>
      <w:r>
        <w:rPr>
          <w:rFonts w:hint="eastAsia"/>
        </w:rPr>
        <w:t xml:space="preserve">改进方向</w:t>
      </w:r>
    </w:p>
    <w:p>
      <w:pPr>
        <w:pStyle w:val="FirstParagraph"/>
      </w:pPr>
      <w:r>
        <w:rPr>
          <w:rFonts w:hint="eastAsia"/>
        </w:rPr>
        <w:t xml:space="preserve">若后续继续深化，可以从三个方向提高模型外推能力：第一，在现有</w:t>
      </w:r>
      <w:r>
        <w:t xml:space="preserve"> EIA、JODI </w:t>
      </w:r>
      <w:r>
        <w:rPr>
          <w:rFonts w:hint="eastAsia"/>
        </w:rPr>
        <w:t xml:space="preserve">与</w:t>
      </w:r>
      <w:r>
        <w:t xml:space="preserve"> OPEC </w:t>
      </w:r>
      <w:r>
        <w:rPr>
          <w:rFonts w:hint="eastAsia"/>
        </w:rPr>
        <w:t xml:space="preserve">校验基础上，若获得</w:t>
      </w:r>
      <w:r>
        <w:t xml:space="preserve"> IEA MODS </w:t>
      </w:r>
      <w:r>
        <w:rPr>
          <w:rFonts w:hint="eastAsia"/>
        </w:rPr>
        <w:t xml:space="preserve">等授权数据库，可进一步约束全球库存消耗速度和炼厂吞吐路径；第二，在现有</w:t>
      </w:r>
      <w:r>
        <w:t xml:space="preserve"> GPR </w:t>
      </w:r>
      <w:r>
        <w:rPr>
          <w:rFonts w:hint="eastAsia"/>
        </w:rPr>
        <w:t xml:space="preserve">和</w:t>
      </w:r>
      <w:r>
        <w:t xml:space="preserve"> OVX </w:t>
      </w:r>
      <w:r>
        <w:rPr>
          <w:rFonts w:hint="eastAsia"/>
        </w:rPr>
        <w:t xml:space="preserve">检验基础上，继续探索油轮保险费、BDTI/TD3C、期货期限结构等更接近霍尔木兹运输风险和期限定价的变量；第三，把状态转移概率从当前</w:t>
      </w:r>
      <w:r>
        <w:t xml:space="preserve"> GPR/OVX </w:t>
      </w:r>
      <w:r>
        <w:rPr>
          <w:rFonts w:hint="eastAsia"/>
        </w:rPr>
        <w:t xml:space="preserve">风险约束继续推进为由历史地缘风险、隐含波动率、期限结构和运输保险价格共同驱动的时变概率。R</w:t>
      </w:r>
      <w:r>
        <w:t xml:space="preserve"> </w:t>
      </w:r>
      <w:r>
        <w:rPr>
          <w:rFonts w:hint="eastAsia"/>
        </w:rPr>
        <w:t xml:space="preserve">语言可用于后续</w:t>
      </w:r>
      <w:r>
        <w:t xml:space="preserve"> GARCH、VAR、Granger </w:t>
      </w:r>
      <w:r>
        <w:rPr>
          <w:rFonts w:hint="eastAsia"/>
        </w:rPr>
        <w:t xml:space="preserve">和稳健标准误等计量检验，C++</w:t>
      </w:r>
      <w:r>
        <w:t xml:space="preserve"> </w:t>
      </w:r>
      <w:r>
        <w:rPr>
          <w:rFonts w:hint="eastAsia"/>
        </w:rPr>
        <w:t xml:space="preserve">多智能体仿真则只有在获得主体级行为数据时才有必要进入主线。</w:t>
      </w:r>
    </w:p>
    <w:bookmarkEnd w:id="167"/>
    <w:bookmarkEnd w:id="168"/>
    <w:bookmarkStart w:id="169"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本文围绕霍尔木兹海峡封锁对国际原油价格的影响，建立了一套从传统供需上界到动态缓冲解释、再到</w:t>
      </w:r>
      <w:r>
        <w:t xml:space="preserve"> 60–180 </w:t>
      </w:r>
      <w:r>
        <w:rPr>
          <w:rFonts w:hint="eastAsia"/>
        </w:rPr>
        <w:t xml:space="preserve">天情景预测与敏感性分析的完整模型。研究表明：</w:t>
      </w:r>
    </w:p>
    <w:p>
      <w:pPr>
        <w:numPr>
          <w:ilvl w:val="0"/>
          <w:numId w:val="1007"/>
        </w:numPr>
      </w:pPr>
      <w:r>
        <w:rPr>
          <w:rFonts w:hint="eastAsia"/>
        </w:rPr>
        <w:t xml:space="preserve">在赛题低短期弹性假设下，线性需求反事实基准会给出约</w:t>
      </w:r>
      <w:r>
        <w:t xml:space="preserve"> 278–337 </w:t>
      </w:r>
      <w:r>
        <w:rPr>
          <w:rFonts w:hint="eastAsia"/>
        </w:rPr>
        <w:t xml:space="preserve">美元/桶的理论压力，常弹性需求口径给出更高机械上界。该结果只表示静态低弹性框架的压力上界，不表示现实市场会到达该价格。</w:t>
      </w:r>
    </w:p>
    <w:p>
      <w:pPr>
        <w:numPr>
          <w:ilvl w:val="0"/>
          <w:numId w:val="1007"/>
        </w:numPr>
      </w:pPr>
      <w:r>
        <w:rPr>
          <w:rFonts w:hint="eastAsia"/>
        </w:rPr>
        <w:t xml:space="preserve">加入</w:t>
      </w:r>
      <w:r>
        <w:t xml:space="preserve"> </w:t>
      </w:r>
      <w:r>
        <w:rPr>
          <w:rFonts w:hint="eastAsia"/>
        </w:rPr>
        <w:t xml:space="preserve">SPR、商业库存、绕道运输、需求收缩、恐慌衰减、地缘风险溢价和预期修复后，短期动态模型可将冲突窗口</w:t>
      </w:r>
      <w:r>
        <w:t xml:space="preserve"> RMSE </w:t>
      </w:r>
      <w:r>
        <w:rPr>
          <w:rFonts w:hint="eastAsia"/>
        </w:rPr>
        <w:t xml:space="preserve">控制在</w:t>
      </w:r>
      <w:r>
        <w:t xml:space="preserve"> 3.44 </w:t>
      </w:r>
      <w:r>
        <w:rPr>
          <w:rFonts w:hint="eastAsia"/>
        </w:rPr>
        <w:t xml:space="preserve">美元/桶，MAE</w:t>
      </w:r>
      <w:r>
        <w:t xml:space="preserve"> </w:t>
      </w:r>
      <w:r>
        <w:rPr>
          <w:rFonts w:hint="eastAsia"/>
        </w:rPr>
        <w:t xml:space="preserve">控制在</w:t>
      </w:r>
      <w:r>
        <w:t xml:space="preserve"> 2.85 </w:t>
      </w:r>
      <w:r>
        <w:rPr>
          <w:rFonts w:hint="eastAsia"/>
        </w:rPr>
        <w:t xml:space="preserve">美元/桶。</w:t>
      </w:r>
    </w:p>
    <w:p>
      <w:pPr>
        <w:numPr>
          <w:ilvl w:val="0"/>
          <w:numId w:val="1007"/>
        </w:numPr>
      </w:pPr>
      <w:r>
        <w:rPr>
          <w:rFonts w:hint="eastAsia"/>
        </w:rPr>
        <w:t xml:space="preserve">模型优于朴素上一日基准和滚动</w:t>
      </w:r>
      <w:r>
        <w:t xml:space="preserve"> ARIMA </w:t>
      </w:r>
      <w:r>
        <w:rPr>
          <w:rFonts w:hint="eastAsia"/>
        </w:rPr>
        <w:t xml:space="preserve">基准，DM</w:t>
      </w:r>
      <w:r>
        <w:t xml:space="preserve"> </w:t>
      </w:r>
      <w:r>
        <w:rPr>
          <w:rFonts w:hint="eastAsia"/>
        </w:rPr>
        <w:t xml:space="preserve">平方损失检验和方向命中检验提供支持性统计证据，且通过滞后平移检验、机制消融和参数扰动检验，具备较好的解释力和稳定性。</w:t>
      </w:r>
    </w:p>
    <w:p>
      <w:pPr>
        <w:numPr>
          <w:ilvl w:val="0"/>
          <w:numId w:val="1007"/>
        </w:numPr>
      </w:pPr>
      <w:r>
        <w:t xml:space="preserve">60–180 </w:t>
      </w:r>
      <w:r>
        <w:rPr>
          <w:rFonts w:hint="eastAsia"/>
        </w:rPr>
        <w:t xml:space="preserve">天情景预测显示，中性情景第</w:t>
      </w:r>
      <w:r>
        <w:t xml:space="preserve"> 180 </w:t>
      </w:r>
      <w:r>
        <w:rPr>
          <w:rFonts w:hint="eastAsia"/>
        </w:rPr>
        <w:t xml:space="preserve">天价格约为</w:t>
      </w:r>
      <w:r>
        <w:t xml:space="preserve"> 94.15 </w:t>
      </w:r>
      <w:r>
        <w:rPr>
          <w:rFonts w:hint="eastAsia"/>
        </w:rPr>
        <w:t xml:space="preserve">美元/桶；悲观情景第</w:t>
      </w:r>
      <w:r>
        <w:t xml:space="preserve"> 180 </w:t>
      </w:r>
      <w:r>
        <w:rPr>
          <w:rFonts w:hint="eastAsia"/>
        </w:rPr>
        <w:t xml:space="preserve">天约为</w:t>
      </w:r>
      <w:r>
        <w:t xml:space="preserve"> 110.16 </w:t>
      </w:r>
      <w:r>
        <w:rPr>
          <w:rFonts w:hint="eastAsia"/>
        </w:rPr>
        <w:t xml:space="preserve">美元/桶，并存在二次跳涨风险。</w:t>
      </w:r>
    </w:p>
    <w:p>
      <w:pPr>
        <w:numPr>
          <w:ilvl w:val="0"/>
          <w:numId w:val="1007"/>
        </w:numPr>
      </w:pPr>
      <w:r>
        <w:rPr>
          <w:rFonts w:hint="eastAsia"/>
        </w:rPr>
        <w:t xml:space="preserve">敏感性分析显示，封锁风险衰减速度、地缘风险权重和不确定性与制度风险强度是综合敏感度最高的三个因素；SPR</w:t>
      </w:r>
      <w:r>
        <w:t xml:space="preserve"> </w:t>
      </w:r>
      <w:r>
        <w:rPr>
          <w:rFonts w:hint="eastAsia"/>
        </w:rPr>
        <w:t xml:space="preserve">和绕道运输更偏向削峰、缺口闭合和争取恢复时间。</w:t>
      </w:r>
    </w:p>
    <w:p>
      <w:pPr>
        <w:numPr>
          <w:ilvl w:val="0"/>
          <w:numId w:val="1007"/>
        </w:numPr>
      </w:pPr>
      <w:r>
        <w:rPr>
          <w:rFonts w:hint="eastAsia"/>
        </w:rPr>
        <w:t xml:space="preserve">蒙特卡洛情景树显示，第</w:t>
      </w:r>
      <w:r>
        <w:t xml:space="preserve"> 180 </w:t>
      </w:r>
      <w:r>
        <w:rPr>
          <w:rFonts w:hint="eastAsia"/>
        </w:rPr>
        <w:t xml:space="preserve">天价格</w:t>
      </w:r>
      <w:r>
        <w:t xml:space="preserve"> 5%–95% </w:t>
      </w:r>
      <w:r>
        <w:rPr>
          <w:rFonts w:hint="eastAsia"/>
        </w:rPr>
        <w:t xml:space="preserve">区间为</w:t>
      </w:r>
      <w:r>
        <w:t xml:space="preserve"> 89.58–106.44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16.3%，尾部风险主要来自多因素同时恶化；状态转移情景树进一步说明，若未来冲突状态在缓和、维持和升级之间切换，并受到</w:t>
      </w:r>
      <w:r>
        <w:t xml:space="preserve"> GPR/OVX </w:t>
      </w:r>
      <w:r>
        <w:rPr>
          <w:rFonts w:hint="eastAsia"/>
        </w:rPr>
        <w:t xml:space="preserve">风险读数约束，外推期最高价</w:t>
      </w:r>
      <w:r>
        <w:t xml:space="preserve"> P95 </w:t>
      </w:r>
      <w:r>
        <w:rPr>
          <w:rFonts w:hint="eastAsia"/>
        </w:rPr>
        <w:t xml:space="preserve">约为</w:t>
      </w:r>
      <w:r>
        <w:t xml:space="preserve"> 130.51 </w:t>
      </w:r>
      <w:r>
        <w:rPr>
          <w:rFonts w:hint="eastAsia"/>
        </w:rPr>
        <w:t xml:space="preserve">美元/桶，突破</w:t>
      </w:r>
      <w:r>
        <w:t xml:space="preserve"> 120 </w:t>
      </w:r>
      <w:r>
        <w:rPr>
          <w:rFonts w:hint="eastAsia"/>
        </w:rPr>
        <w:t xml:space="preserve">美元/桶的条件概率约为</w:t>
      </w:r>
      <w:r>
        <w:t xml:space="preserve"> 38.3%。</w:t>
      </w:r>
    </w:p>
    <w:p>
      <w:pPr>
        <w:numPr>
          <w:ilvl w:val="0"/>
          <w:numId w:val="1007"/>
        </w:numPr>
      </w:pPr>
      <w:r>
        <w:t xml:space="preserve">GPR </w:t>
      </w:r>
      <w:r>
        <w:rPr>
          <w:rFonts w:hint="eastAsia"/>
        </w:rPr>
        <w:t xml:space="preserve">滞后检验显示，2026</w:t>
      </w:r>
      <w:r>
        <w:t xml:space="preserve"> </w:t>
      </w:r>
      <w:r>
        <w:rPr>
          <w:rFonts w:hint="eastAsia"/>
        </w:rPr>
        <w:t xml:space="preserve">年</w:t>
      </w:r>
      <w:r>
        <w:t xml:space="preserve"> 3–4 </w:t>
      </w:r>
      <w:r>
        <w:rPr>
          <w:rFonts w:hint="eastAsia"/>
        </w:rPr>
        <w:t xml:space="preserve">月地缘风险处于历史高分位；OVX</w:t>
      </w:r>
      <w:r>
        <w:t xml:space="preserve"> </w:t>
      </w:r>
      <w:r>
        <w:rPr>
          <w:rFonts w:hint="eastAsia"/>
        </w:rPr>
        <w:t xml:space="preserve">检验显示冲突窗口隐含波动率均值处于同长度历史窗口约</w:t>
      </w:r>
      <w:r>
        <w:t xml:space="preserve"> 97.3% </w:t>
      </w:r>
      <w:r>
        <w:rPr>
          <w:rFonts w:hint="eastAsia"/>
        </w:rPr>
        <w:t xml:space="preserve">分位。二者支持风险溢价机制，但都不应包装成短期点预测因子。</w:t>
      </w:r>
    </w:p>
    <w:p>
      <w:pPr>
        <w:numPr>
          <w:ilvl w:val="0"/>
          <w:numId w:val="1007"/>
        </w:numPr>
      </w:pPr>
      <w:r>
        <w:t xml:space="preserve">2017–2026 </w:t>
      </w:r>
      <w:r>
        <w:rPr>
          <w:rFonts w:hint="eastAsia"/>
        </w:rPr>
        <w:t xml:space="preserve">历史同长度窗口检验显示，冲突窗口累计收益率、波动率和朴素基准误差均处于历史高分位，说明完整历史数据支持</w:t>
      </w:r>
      <w:r>
        <w:rPr>
          <w:rFonts w:hint="eastAsia"/>
        </w:rPr>
        <w:t xml:space="preserve">“该事件窗口确实特殊”</w:t>
      </w:r>
      <w:r>
        <w:rPr>
          <w:rFonts w:hint="eastAsia"/>
        </w:rPr>
        <w:t xml:space="preserve">的判断。</w:t>
      </w:r>
    </w:p>
    <w:p>
      <w:pPr>
        <w:pStyle w:val="FirstParagraph"/>
      </w:pPr>
      <w:r>
        <w:rPr>
          <w:rFonts w:hint="eastAsia"/>
        </w:rPr>
        <w:t xml:space="preserve">因此，霍尔木兹封锁对国际油价的影响不应被理解为简单的</w:t>
      </w:r>
      <w:r>
        <w:rPr>
          <w:rFonts w:hint="eastAsia"/>
        </w:rPr>
        <w:t xml:space="preserve">“供应缺口乘以低弹性”</w:t>
      </w:r>
      <w:r>
        <w:rPr>
          <w:rFonts w:hint="eastAsia"/>
        </w:rPr>
        <w:t xml:space="preserve">问题，而应被理解为物理缺口、政策缓冲、库存约束、替代运输和市场风险预期共同作用下的动态系统。短期价格平台来自政策缓冲与预期修复对低弹性供需压力的再定价；长期风险则不在于中性路径本身，而在于供应中断偏大、SPR</w:t>
      </w:r>
      <w:r>
        <w:t xml:space="preserve"> </w:t>
      </w:r>
      <w:r>
        <w:rPr>
          <w:rFonts w:hint="eastAsia"/>
        </w:rPr>
        <w:t xml:space="preserve">不足、绕道恢复缓慢和制度风险溢价持续时形成的尾部组合。</w:t>
      </w:r>
    </w:p>
    <w:bookmarkEnd w:id="169"/>
    <w:bookmarkStart w:id="178"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Newell, R. G., &amp; Prest, B. C. (2017). Informing SPR Policy Through Oil Futures and Inventory Dynamics.</w:t>
      </w:r>
      <w:r>
        <w:t xml:space="preserve"> </w:t>
      </w:r>
      <w:r>
        <w:rPr>
          <w:i/>
          <w:iCs/>
        </w:rPr>
        <w:t xml:space="preserve">NBER Working Paper</w:t>
      </w:r>
      <w:r>
        <w:t xml:space="preserve">, No. 23974.</w:t>
      </w:r>
    </w:p>
    <w:p>
      <w:pPr>
        <w:pStyle w:val="BodyText"/>
      </w:pPr>
      <w:r>
        <w:t xml:space="preserve">Kilian, L., &amp; Zhou, X. (2019). Does drawing down the U.S. Strategic Petroleum Reserve help stabilize oil prices?</w:t>
      </w:r>
      <w:r>
        <w:t xml:space="preserve"> </w:t>
      </w:r>
      <w:r>
        <w:rPr>
          <w:i/>
          <w:iCs/>
        </w:rPr>
        <w:t xml:space="preserve">Federal Reserve Bank of Dallas Working Paper</w:t>
      </w:r>
      <w:r>
        <w:t xml:space="preserve">, No. 1916.</w:t>
      </w:r>
    </w:p>
    <w:p>
      <w:pPr>
        <w:pStyle w:val="BodyText"/>
      </w:pPr>
      <w:r>
        <w:t xml:space="preserve">Baumeister, C., &amp; Kilian, L. (2012). Real-Time Forecasts of the Real Price of Oil.</w:t>
      </w:r>
      <w:r>
        <w:t xml:space="preserve"> </w:t>
      </w:r>
      <w:r>
        <w:rPr>
          <w:i/>
          <w:iCs/>
        </w:rPr>
        <w:t xml:space="preserve">Journal of Business &amp; Economic Statistics</w:t>
      </w:r>
      <w:r>
        <w:t xml:space="preserve">, 30(2), 326–336.</w:t>
      </w:r>
    </w:p>
    <w:p>
      <w:pPr>
        <w:pStyle w:val="BodyText"/>
      </w:pPr>
      <w:r>
        <w:t xml:space="preserve">Alquist, R., &amp; Kilian, L. (2010). What Do We Learn from the Price of Crude Oil Futures?</w:t>
      </w:r>
      <w:r>
        <w:t xml:space="preserve"> </w:t>
      </w:r>
      <w:r>
        <w:rPr>
          <w:i/>
          <w:iCs/>
        </w:rPr>
        <w:t xml:space="preserve">Journal of Applied Econometrics</w:t>
      </w:r>
      <w:r>
        <w:t xml:space="preserve">, 25(4), 539–573.</w:t>
      </w:r>
    </w:p>
    <w:p>
      <w:pPr>
        <w:pStyle w:val="BodyText"/>
      </w:pPr>
      <w:r>
        <w:t xml:space="preserve">Alquist, R., Kilian, L., &amp; Vigfusson, R. J. (2013). Forecasting the Price of Oil.</w:t>
      </w:r>
      <w:r>
        <w:t xml:space="preserve"> </w:t>
      </w:r>
      <w:r>
        <w:rPr>
          <w:i/>
          <w:iCs/>
        </w:rPr>
        <w:t xml:space="preserve">Handbook of Economic Forecasting</w:t>
      </w:r>
      <w:r>
        <w:t xml:space="preserve">, 2, 427–507.</w:t>
      </w:r>
    </w:p>
    <w:p>
      <w:pPr>
        <w:pStyle w:val="BodyText"/>
      </w:pPr>
      <w:r>
        <w:t xml:space="preserve">Mei, D., Ma, F., Liao, Y., &amp; Wang, L. (2020). Geopolitical risk uncertainty and oil future volatility: Evidence from MIDAS models.</w:t>
      </w:r>
      <w:r>
        <w:t xml:space="preserve"> </w:t>
      </w:r>
      <w:r>
        <w:rPr>
          <w:i/>
          <w:iCs/>
        </w:rPr>
        <w:t xml:space="preserve">Energy Economics</w:t>
      </w:r>
      <w:r>
        <w:t xml:space="preserve">, 86, 104624.</w:t>
      </w:r>
    </w:p>
    <w:p>
      <w:pPr>
        <w:pStyle w:val="BodyText"/>
      </w:pPr>
      <w:r>
        <w:t xml:space="preserve">Liu, J., Ma, F., Tang, Y., &amp; Zhang, Y. (2019). Geopolitical risk and oil volatility: A new insight.</w:t>
      </w:r>
      <w:r>
        <w:t xml:space="preserve"> </w:t>
      </w:r>
      <w:r>
        <w:rPr>
          <w:i/>
          <w:iCs/>
        </w:rPr>
        <w:t xml:space="preserve">Energy Economics</w:t>
      </w:r>
      <w:r>
        <w:t xml:space="preserve">, 84, 104548.</w:t>
      </w:r>
    </w:p>
    <w:p>
      <w:pPr>
        <w:pStyle w:val="BodyText"/>
      </w:pPr>
      <w:r>
        <w:t xml:space="preserve">ter Ellen, S., &amp; Zwinkels, R. C. J. (2010). Oil price dynamics: A behavioral finance approach with heterogeneous agents.</w:t>
      </w:r>
      <w:r>
        <w:t xml:space="preserve"> </w:t>
      </w:r>
      <w:r>
        <w:rPr>
          <w:i/>
          <w:iCs/>
        </w:rPr>
        <w:t xml:space="preserve">Energy Economics</w:t>
      </w:r>
      <w:r>
        <w:t xml:space="preserve">, 32(6), 1427–1434.</w:t>
      </w:r>
    </w:p>
    <w:p>
      <w:pPr>
        <w:pStyle w:val="BodyText"/>
      </w:pPr>
      <w:r>
        <w:t xml:space="preserve">U.S. Energy Information Administration. World Oil Transit Chokepoints.</w:t>
      </w:r>
      <w:r>
        <w:t xml:space="preserve"> </w:t>
      </w:r>
      <w:hyperlink r:id="rId170">
        <w:r>
          <w:rPr>
            <w:rStyle w:val="Hyperlink"/>
          </w:rPr>
          <w:t xml:space="preserve">EIA special topic page</w:t>
        </w:r>
      </w:hyperlink>
      <w:r>
        <w:t xml:space="preserve">.</w:t>
      </w:r>
    </w:p>
    <w:p>
      <w:pPr>
        <w:pStyle w:val="BodyText"/>
      </w:pPr>
      <w:r>
        <w:t xml:space="preserve">International Energy Agency. Strait of Hormuz Factsheet.</w:t>
      </w:r>
      <w:r>
        <w:t xml:space="preserve"> </w:t>
      </w:r>
      <w:hyperlink r:id="rId171">
        <w:r>
          <w:rPr>
            <w:rStyle w:val="Hyperlink"/>
          </w:rPr>
          <w:t xml:space="preserve">IEA oil security factsheet</w:t>
        </w:r>
      </w:hyperlink>
      <w:r>
        <w:t xml:space="preserve">.</w:t>
      </w:r>
    </w:p>
    <w:p>
      <w:pPr>
        <w:pStyle w:val="BodyText"/>
      </w:pPr>
      <w:r>
        <w:t xml:space="preserve">International Energy Agency. IEA Governing Board concludes 2022 collective actions.</w:t>
      </w:r>
      <w:r>
        <w:t xml:space="preserve"> </w:t>
      </w:r>
      <w:hyperlink r:id="rId172">
        <w:r>
          <w:rPr>
            <w:rStyle w:val="Hyperlink"/>
          </w:rPr>
          <w:t xml:space="preserve">IEA emergency stock release record</w:t>
        </w:r>
      </w:hyperlink>
      <w:r>
        <w:t xml:space="preserve">.</w:t>
      </w:r>
    </w:p>
    <w:p>
      <w:pPr>
        <w:pStyle w:val="BodyText"/>
      </w:pPr>
      <w:r>
        <w:t xml:space="preserve">U.S. Energy Information Administration. Weekly U.S. Ending Stocks of Crude Oil in SPR, Weekly U.S. Ending Stocks excluding SPR of Crude Oil, and Weekly U.S. Field Production of Crude Oil.</w:t>
      </w:r>
      <w:r>
        <w:t xml:space="preserve"> </w:t>
      </w:r>
      <w:hyperlink r:id="rId173">
        <w:r>
          <w:rPr>
            <w:rStyle w:val="Hyperlink"/>
          </w:rPr>
          <w:t xml:space="preserve">EIA petroleum weekly data</w:t>
        </w:r>
      </w:hyperlink>
      <w:r>
        <w:t xml:space="preserve">.</w:t>
      </w:r>
    </w:p>
    <w:p>
      <w:pPr>
        <w:pStyle w:val="BodyText"/>
      </w:pPr>
      <w:r>
        <w:t xml:space="preserve">Joint Organisations Data Initiative. JODI Oil World Database.</w:t>
      </w:r>
      <w:r>
        <w:t xml:space="preserve"> </w:t>
      </w:r>
      <w:hyperlink r:id="rId174">
        <w:r>
          <w:rPr>
            <w:rStyle w:val="Hyperlink"/>
          </w:rPr>
          <w:t xml:space="preserve">JODI oil data</w:t>
        </w:r>
      </w:hyperlink>
      <w:r>
        <w:t xml:space="preserve">.</w:t>
      </w:r>
    </w:p>
    <w:p>
      <w:pPr>
        <w:pStyle w:val="BodyText"/>
      </w:pPr>
      <w:r>
        <w:t xml:space="preserve">Organization of the Petroleum Exporting Countries. Monthly Oil Market Report, Balance of supply and demand tables.</w:t>
      </w:r>
      <w:r>
        <w:t xml:space="preserve"> </w:t>
      </w:r>
      <w:hyperlink r:id="rId175">
        <w:r>
          <w:rPr>
            <w:rStyle w:val="Hyperlink"/>
          </w:rPr>
          <w:t xml:space="preserve">OPEC MOMR digital publication</w:t>
        </w:r>
      </w:hyperlink>
      <w:r>
        <w:t xml:space="preserve">.</w:t>
      </w:r>
    </w:p>
    <w:p>
      <w:pPr>
        <w:pStyle w:val="BodyText"/>
      </w:pPr>
      <w:r>
        <w:t xml:space="preserve">Caldara-Iacoviello Geopolitical Risk Index. Monthly GPR data.</w:t>
      </w:r>
      <w:r>
        <w:t xml:space="preserve"> </w:t>
      </w:r>
      <w:hyperlink r:id="rId176">
        <w:r>
          <w:rPr>
            <w:rStyle w:val="Hyperlink"/>
          </w:rPr>
          <w:t xml:space="preserve">GPR data page</w:t>
        </w:r>
      </w:hyperlink>
      <w:r>
        <w:t xml:space="preserve">.</w:t>
      </w:r>
    </w:p>
    <w:p>
      <w:pPr>
        <w:pStyle w:val="BodyText"/>
      </w:pPr>
      <w:r>
        <w:t xml:space="preserve">Federal Reserve Bank of St. Louis. CBOE Crude Oil ETF Volatility Index (OVXCLS).</w:t>
      </w:r>
      <w:r>
        <w:t xml:space="preserve"> </w:t>
      </w:r>
      <w:hyperlink r:id="rId177">
        <w:r>
          <w:rPr>
            <w:rStyle w:val="Hyperlink"/>
          </w:rPr>
          <w:t xml:space="preserve">FRED data page</w:t>
        </w:r>
      </w:hyperlink>
      <w:r>
        <w:t xml:space="preserve">.</w:t>
      </w:r>
    </w:p>
    <w:bookmarkEnd w:id="178"/>
    <w:bookmarkStart w:id="185" w:name="附录"/>
    <w:p>
      <w:pPr>
        <w:pStyle w:val="Heading1"/>
      </w:pPr>
      <w:r>
        <w:rPr>
          <w:rFonts w:hint="eastAsia"/>
        </w:rPr>
        <w:t xml:space="preserve">附录</w:t>
      </w:r>
    </w:p>
    <w:bookmarkStart w:id="179" w:name="a.0-项目结构总览"/>
    <w:p>
      <w:pPr>
        <w:pStyle w:val="Heading2"/>
      </w:pPr>
      <w:r>
        <w:t xml:space="preserve">A.0 </w:t>
      </w:r>
      <w:r>
        <w:rPr>
          <w:rFonts w:hint="eastAsia"/>
        </w:rPr>
        <w:t xml:space="preserve">项目结构总览</w:t>
      </w:r>
    </w:p>
    <w:p>
      <w:pPr>
        <w:pStyle w:val="FirstParagraph"/>
      </w:pPr>
      <w:r>
        <w:rPr>
          <w:rFonts w:hint="eastAsia"/>
        </w:rPr>
        <w:t xml:space="preserve">本文的建模、校验、绘图和论文生成均保存在同一项目目录中。核心目录结构如下，未列出的缓存文件、临时渲染文件和历史实验文件不影响最终复现。</w:t>
      </w:r>
    </w:p>
    <w:p>
      <w:pPr>
        <w:pStyle w:val="SourceCode"/>
      </w:pPr>
      <w:r>
        <w:rPr>
          <w:rStyle w:val="VerbatimChar"/>
          <w:rFonts w:hint="eastAsia"/>
        </w:rPr>
        <w:t xml:space="preserve">数模/</w:t>
      </w:r>
      <w:r>
        <w:br/>
      </w:r>
      <w:r>
        <w:rPr>
          <w:rStyle w:val="VerbatimChar"/>
        </w:rPr>
        <w:t xml:space="preserve">|-- data/                 </w:t>
      </w:r>
      <w:r>
        <w:rPr>
          <w:rStyle w:val="VerbatimChar"/>
          <w:rFonts w:hint="eastAsia"/>
        </w:rPr>
        <w:t xml:space="preserve">原始数据、清洗数据和外部校验数据</w:t>
      </w:r>
      <w:r>
        <w:br/>
      </w:r>
      <w:r>
        <w:rPr>
          <w:rStyle w:val="VerbatimChar"/>
        </w:rPr>
        <w:t xml:space="preserve">|   |-- raw/              </w:t>
      </w:r>
      <w:r>
        <w:rPr>
          <w:rStyle w:val="VerbatimChar"/>
          <w:rFonts w:hint="eastAsia"/>
        </w:rPr>
        <w:t xml:space="preserve">赛题附件原始</w:t>
      </w:r>
      <w:r>
        <w:rPr>
          <w:rStyle w:val="VerbatimChar"/>
        </w:rPr>
        <w:t xml:space="preserve"> CSV</w:t>
      </w:r>
      <w:r>
        <w:br/>
      </w:r>
      <w:r>
        <w:rPr>
          <w:rStyle w:val="VerbatimChar"/>
        </w:rPr>
        <w:t xml:space="preserve">|   |-- processed/        </w:t>
      </w:r>
      <w:r>
        <w:rPr>
          <w:rStyle w:val="VerbatimChar"/>
          <w:rFonts w:hint="eastAsia"/>
        </w:rPr>
        <w:t xml:space="preserve">清洗后完整序列与冲突窗口数据</w:t>
      </w:r>
      <w:r>
        <w:br/>
      </w:r>
      <w:r>
        <w:rPr>
          <w:rStyle w:val="VerbatimChar"/>
        </w:rPr>
        <w:t xml:space="preserve">|   |-- external/         EIA、JODI、OPEC、GPR、OVX </w:t>
      </w:r>
      <w:r>
        <w:rPr>
          <w:rStyle w:val="VerbatimChar"/>
          <w:rFonts w:hint="eastAsia"/>
        </w:rPr>
        <w:t xml:space="preserve">等外部校验数据</w:t>
      </w:r>
      <w:r>
        <w:br/>
      </w:r>
      <w:r>
        <w:rPr>
          <w:rStyle w:val="VerbatimChar"/>
        </w:rPr>
        <w:t xml:space="preserve">|-- src/                  Python </w:t>
      </w:r>
      <w:r>
        <w:rPr>
          <w:rStyle w:val="VerbatimChar"/>
          <w:rFonts w:hint="eastAsia"/>
        </w:rPr>
        <w:t xml:space="preserve">建模与分析源码</w:t>
      </w:r>
      <w:r>
        <w:br/>
      </w:r>
      <w:r>
        <w:rPr>
          <w:rStyle w:val="VerbatimChar"/>
        </w:rPr>
        <w:t xml:space="preserve">|   |-- pipeline/         </w:t>
      </w:r>
      <w:r>
        <w:rPr>
          <w:rStyle w:val="VerbatimChar"/>
          <w:rFonts w:hint="eastAsia"/>
        </w:rPr>
        <w:t xml:space="preserve">数据清洗与校验</w:t>
      </w:r>
      <w:r>
        <w:br/>
      </w:r>
      <w:r>
        <w:rPr>
          <w:rStyle w:val="VerbatimChar"/>
        </w:rPr>
        <w:t xml:space="preserve">|   |-- models/           </w:t>
      </w:r>
      <w:r>
        <w:rPr>
          <w:rStyle w:val="VerbatimChar"/>
          <w:rFonts w:hint="eastAsia"/>
        </w:rPr>
        <w:t xml:space="preserve">传统供需基准与短期动态模型</w:t>
      </w:r>
      <w:r>
        <w:br/>
      </w:r>
      <w:r>
        <w:rPr>
          <w:rStyle w:val="VerbatimChar"/>
        </w:rPr>
        <w:t xml:space="preserve">|   |-- calibration/      </w:t>
      </w:r>
      <w:r>
        <w:rPr>
          <w:rStyle w:val="VerbatimChar"/>
          <w:rFonts w:hint="eastAsia"/>
        </w:rPr>
        <w:t xml:space="preserve">短期模型参数搜索与评价</w:t>
      </w:r>
      <w:r>
        <w:br/>
      </w:r>
      <w:r>
        <w:rPr>
          <w:rStyle w:val="VerbatimChar"/>
        </w:rPr>
        <w:t xml:space="preserve">|   |-- scenarios/        60--180 </w:t>
      </w:r>
      <w:r>
        <w:rPr>
          <w:rStyle w:val="VerbatimChar"/>
          <w:rFonts w:hint="eastAsia"/>
        </w:rPr>
        <w:t xml:space="preserve">天情景预测</w:t>
      </w:r>
      <w:r>
        <w:br/>
      </w:r>
      <w:r>
        <w:rPr>
          <w:rStyle w:val="VerbatimChar"/>
        </w:rPr>
        <w:t xml:space="preserve">|   |-- analysis/         </w:t>
      </w:r>
      <w:r>
        <w:rPr>
          <w:rStyle w:val="VerbatimChar"/>
          <w:rFonts w:hint="eastAsia"/>
        </w:rPr>
        <w:t xml:space="preserve">敏感性、稳健性、GPR、OVX</w:t>
      </w:r>
      <w:r>
        <w:rPr>
          <w:rStyle w:val="VerbatimChar"/>
        </w:rPr>
        <w:t xml:space="preserve"> </w:t>
      </w:r>
      <w:r>
        <w:rPr>
          <w:rStyle w:val="VerbatimChar"/>
          <w:rFonts w:hint="eastAsia"/>
        </w:rPr>
        <w:t xml:space="preserve">与统计检验</w:t>
      </w:r>
      <w:r>
        <w:br/>
      </w:r>
      <w:r>
        <w:rPr>
          <w:rStyle w:val="VerbatimChar"/>
        </w:rPr>
        <w:t xml:space="preserve">|   |-- visualization/    </w:t>
      </w:r>
      <w:r>
        <w:rPr>
          <w:rStyle w:val="VerbatimChar"/>
          <w:rFonts w:hint="eastAsia"/>
        </w:rPr>
        <w:t xml:space="preserve">论文正式图表生成</w:t>
      </w:r>
      <w:r>
        <w:br/>
      </w:r>
      <w:r>
        <w:rPr>
          <w:rStyle w:val="VerbatimChar"/>
        </w:rPr>
        <w:t xml:space="preserve">|-- scripts/</w:t>
      </w:r>
      <w:r>
        <w:br/>
      </w:r>
      <w:r>
        <w:rPr>
          <w:rStyle w:val="VerbatimChar"/>
        </w:rPr>
        <w:t xml:space="preserve">|   |-- build/            PDF/DOCX </w:t>
      </w:r>
      <w:r>
        <w:rPr>
          <w:rStyle w:val="VerbatimChar"/>
          <w:rFonts w:hint="eastAsia"/>
        </w:rPr>
        <w:t xml:space="preserve">一键构建脚本</w:t>
      </w:r>
      <w:r>
        <w:br/>
      </w:r>
      <w:r>
        <w:rPr>
          <w:rStyle w:val="VerbatimChar"/>
        </w:rPr>
        <w:t xml:space="preserve">|   |-- audit/            R </w:t>
      </w:r>
      <w:r>
        <w:rPr>
          <w:rStyle w:val="VerbatimChar"/>
          <w:rFonts w:hint="eastAsia"/>
        </w:rPr>
        <w:t xml:space="preserve">语言计量检验与学术图表脚本</w:t>
      </w:r>
      <w:r>
        <w:br/>
      </w:r>
      <w:r>
        <w:rPr>
          <w:rStyle w:val="VerbatimChar"/>
        </w:rPr>
        <w:t xml:space="preserve">|   |-- postprocess/      DOCX </w:t>
      </w:r>
      <w:r>
        <w:rPr>
          <w:rStyle w:val="VerbatimChar"/>
          <w:rFonts w:hint="eastAsia"/>
        </w:rPr>
        <w:t xml:space="preserve">后处理脚本</w:t>
      </w:r>
      <w:r>
        <w:br/>
      </w:r>
      <w:r>
        <w:rPr>
          <w:rStyle w:val="VerbatimChar"/>
        </w:rPr>
        <w:t xml:space="preserve">|-- paper/</w:t>
      </w:r>
      <w:r>
        <w:br/>
      </w:r>
      <w:r>
        <w:rPr>
          <w:rStyle w:val="VerbatimChar"/>
        </w:rPr>
        <w:t xml:space="preserve">|   |-- </w:t>
      </w:r>
      <w:r>
        <w:rPr>
          <w:rStyle w:val="VerbatimChar"/>
          <w:rFonts w:hint="eastAsia"/>
        </w:rPr>
        <w:t xml:space="preserve">总论文.tex</w:t>
      </w:r>
      <w:r>
        <w:rPr>
          <w:rStyle w:val="VerbatimChar"/>
        </w:rPr>
        <w:t xml:space="preserve">        </w:t>
      </w:r>
      <w:r>
        <w:rPr>
          <w:rStyle w:val="VerbatimChar"/>
          <w:rFonts w:hint="eastAsia"/>
        </w:rPr>
        <w:t xml:space="preserve">最终论文主控文件</w:t>
      </w:r>
      <w:r>
        <w:br/>
      </w:r>
      <w:r>
        <w:rPr>
          <w:rStyle w:val="VerbatimChar"/>
        </w:rPr>
        <w:t xml:space="preserve">|   |-- sections/         </w:t>
      </w:r>
      <w:r>
        <w:rPr>
          <w:rStyle w:val="VerbatimChar"/>
          <w:rFonts w:hint="eastAsia"/>
        </w:rPr>
        <w:t xml:space="preserve">总论文章节源码</w:t>
      </w:r>
      <w:r>
        <w:br/>
      </w:r>
      <w:r>
        <w:rPr>
          <w:rStyle w:val="VerbatimChar"/>
        </w:rPr>
        <w:t xml:space="preserve">|   |-- figures/          </w:t>
      </w:r>
      <w:r>
        <w:rPr>
          <w:rStyle w:val="VerbatimChar"/>
          <w:rFonts w:hint="eastAsia"/>
        </w:rPr>
        <w:t xml:space="preserve">论文正式引用图表</w:t>
      </w:r>
      <w:r>
        <w:br/>
      </w:r>
      <w:r>
        <w:rPr>
          <w:rStyle w:val="VerbatimChar"/>
        </w:rPr>
        <w:t xml:space="preserve">|   |-- diagrams/         Mermaid </w:t>
      </w:r>
      <w:r>
        <w:rPr>
          <w:rStyle w:val="VerbatimChar"/>
          <w:rFonts w:hint="eastAsia"/>
        </w:rPr>
        <w:t xml:space="preserve">结构图源码</w:t>
      </w:r>
      <w:r>
        <w:br/>
      </w:r>
      <w:r>
        <w:rPr>
          <w:rStyle w:val="VerbatimChar"/>
        </w:rPr>
        <w:t xml:space="preserve">|-- output/               </w:t>
      </w:r>
      <w:r>
        <w:rPr>
          <w:rStyle w:val="VerbatimChar"/>
          <w:rFonts w:hint="eastAsia"/>
        </w:rPr>
        <w:t xml:space="preserve">模型结果、校验报告和最终交付物</w:t>
      </w:r>
      <w:r>
        <w:br/>
      </w:r>
      <w:r>
        <w:rPr>
          <w:rStyle w:val="VerbatimChar"/>
        </w:rPr>
        <w:t xml:space="preserve">|   |-- calibration/      </w:t>
      </w:r>
      <w:r>
        <w:rPr>
          <w:rStyle w:val="VerbatimChar"/>
          <w:rFonts w:hint="eastAsia"/>
        </w:rPr>
        <w:t xml:space="preserve">短期模型校准结果</w:t>
      </w:r>
      <w:r>
        <w:br/>
      </w:r>
      <w:r>
        <w:rPr>
          <w:rStyle w:val="VerbatimChar"/>
        </w:rPr>
        <w:t xml:space="preserve">|   |-- scenarios/        </w:t>
      </w:r>
      <w:r>
        <w:rPr>
          <w:rStyle w:val="VerbatimChar"/>
          <w:rFonts w:hint="eastAsia"/>
        </w:rPr>
        <w:t xml:space="preserve">长期情景预测与状态转移结果</w:t>
      </w:r>
      <w:r>
        <w:br/>
      </w:r>
      <w:r>
        <w:rPr>
          <w:rStyle w:val="VerbatimChar"/>
        </w:rPr>
        <w:t xml:space="preserve">|   |-- sensitivity/      </w:t>
      </w:r>
      <w:r>
        <w:rPr>
          <w:rStyle w:val="VerbatimChar"/>
          <w:rFonts w:hint="eastAsia"/>
        </w:rPr>
        <w:t xml:space="preserve">敏感性分析与参数排序</w:t>
      </w:r>
      <w:r>
        <w:br/>
      </w:r>
      <w:r>
        <w:rPr>
          <w:rStyle w:val="VerbatimChar"/>
        </w:rPr>
        <w:t xml:space="preserve">|   |-- reports/          </w:t>
      </w:r>
      <w:r>
        <w:rPr>
          <w:rStyle w:val="VerbatimChar"/>
          <w:rFonts w:hint="eastAsia"/>
        </w:rPr>
        <w:t xml:space="preserve">自动生成的校验报告</w:t>
      </w:r>
      <w:r>
        <w:br/>
      </w:r>
      <w:r>
        <w:rPr>
          <w:rStyle w:val="VerbatimChar"/>
        </w:rPr>
        <w:t xml:space="preserve">|   |-- final/            </w:t>
      </w:r>
      <w:r>
        <w:rPr>
          <w:rStyle w:val="VerbatimChar"/>
          <w:rFonts w:hint="eastAsia"/>
        </w:rPr>
        <w:t xml:space="preserve">最终</w:t>
      </w:r>
      <w:r>
        <w:rPr>
          <w:rStyle w:val="VerbatimChar"/>
        </w:rPr>
        <w:t xml:space="preserve"> PDF </w:t>
      </w:r>
      <w:r>
        <w:rPr>
          <w:rStyle w:val="VerbatimChar"/>
          <w:rFonts w:hint="eastAsia"/>
        </w:rPr>
        <w:t xml:space="preserve">和</w:t>
      </w:r>
      <w:r>
        <w:rPr>
          <w:rStyle w:val="VerbatimChar"/>
        </w:rPr>
        <w:t xml:space="preserve"> DOCX</w:t>
      </w:r>
      <w:r>
        <w:br/>
      </w:r>
      <w:r>
        <w:rPr>
          <w:rStyle w:val="VerbatimChar"/>
        </w:rPr>
        <w:t xml:space="preserve">|-- docs/                 </w:t>
      </w:r>
      <w:r>
        <w:rPr>
          <w:rStyle w:val="VerbatimChar"/>
          <w:rFonts w:hint="eastAsia"/>
        </w:rPr>
        <w:t xml:space="preserve">项目总览、建模方案和交付物索引</w:t>
      </w:r>
      <w:r>
        <w:br/>
      </w:r>
      <w:r>
        <w:rPr>
          <w:rStyle w:val="VerbatimChar"/>
        </w:rPr>
        <w:t xml:space="preserve">|-- figures/              </w:t>
      </w:r>
      <w:r>
        <w:rPr>
          <w:rStyle w:val="VerbatimChar"/>
          <w:rFonts w:hint="eastAsia"/>
        </w:rPr>
        <w:t xml:space="preserve">中间图表与可视化生成结果</w:t>
      </w:r>
      <w:r>
        <w:br/>
      </w:r>
      <w:r>
        <w:rPr>
          <w:rStyle w:val="VerbatimChar"/>
        </w:rPr>
        <w:t xml:space="preserve">|-- </w:t>
      </w:r>
      <w:r>
        <w:rPr>
          <w:rStyle w:val="VerbatimChar"/>
          <w:rFonts w:hint="eastAsia"/>
        </w:rPr>
        <w:t xml:space="preserve">质疑报告/</w:t>
      </w:r>
      <w:r>
        <w:rPr>
          <w:rStyle w:val="VerbatimChar"/>
        </w:rPr>
        <w:t xml:space="preserve">             </w:t>
      </w:r>
      <w:r>
        <w:rPr>
          <w:rStyle w:val="VerbatimChar"/>
          <w:rFonts w:hint="eastAsia"/>
        </w:rPr>
        <w:t xml:space="preserve">外部评审意见和修改记录</w:t>
      </w:r>
    </w:p>
    <w:bookmarkEnd w:id="179"/>
    <w:bookmarkStart w:id="180" w:name="a.1-数据口径"/>
    <w:p>
      <w:pPr>
        <w:pStyle w:val="Heading2"/>
      </w:pPr>
      <w:r>
        <w:t xml:space="preserve">A.1 </w:t>
      </w:r>
      <w:r>
        <w:rPr>
          <w:rFonts w:hint="eastAsia"/>
        </w:rPr>
        <w:t xml:space="preserve">数据口径</w:t>
      </w:r>
    </w:p>
    <w:p>
      <w:pPr>
        <w:pStyle w:val="FirstParagraph"/>
      </w:pPr>
      <w:r>
        <w:rPr>
          <w:rFonts w:hint="eastAsia"/>
        </w:rPr>
        <w:t xml:space="preserve">本文真实价格数据只来自赛题附件，并经清洗后形成中文命名数据文件。短期拟合使用附件中</w:t>
      </w:r>
      <w:r>
        <w:t xml:space="preserve"> 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日的冲突窗口；2017–2026</w:t>
      </w:r>
      <w:r>
        <w:t xml:space="preserve"> </w:t>
      </w:r>
      <w:r>
        <w:rPr>
          <w:rFonts w:hint="eastAsia"/>
        </w:rPr>
        <w:t xml:space="preserve">年完整价格序列仅用于历史同长度窗口、基准模型分布和事件极端性检验。EIA</w:t>
      </w:r>
      <w:r>
        <w:t xml:space="preserve"> </w:t>
      </w:r>
      <w:r>
        <w:rPr>
          <w:rFonts w:hint="eastAsia"/>
        </w:rPr>
        <w:t xml:space="preserve">周度</w:t>
      </w:r>
      <w:r>
        <w:t xml:space="preserve"> </w:t>
      </w:r>
      <w:r>
        <w:rPr>
          <w:rFonts w:hint="eastAsia"/>
        </w:rPr>
        <w:t xml:space="preserve">SPR、商业库存和原油产量数据、JODI</w:t>
      </w:r>
      <w:r>
        <w:t xml:space="preserve"> </w:t>
      </w:r>
      <w:r>
        <w:rPr>
          <w:rFonts w:hint="eastAsia"/>
        </w:rPr>
        <w:t xml:space="preserve">多国月度产量、库存、进出口、需求和炼厂数据、OPEC</w:t>
      </w:r>
      <w:r>
        <w:t xml:space="preserve"> </w:t>
      </w:r>
      <w:r>
        <w:rPr>
          <w:rFonts w:hint="eastAsia"/>
        </w:rPr>
        <w:t xml:space="preserve">全球供需平衡表、GPR</w:t>
      </w:r>
      <w:r>
        <w:t xml:space="preserve"> </w:t>
      </w:r>
      <w:r>
        <w:rPr>
          <w:rFonts w:hint="eastAsia"/>
        </w:rPr>
        <w:t xml:space="preserve">月度指数和</w:t>
      </w:r>
      <w:r>
        <w:t xml:space="preserve"> OVX </w:t>
      </w:r>
      <w:r>
        <w:rPr>
          <w:rFonts w:hint="eastAsia"/>
        </w:rPr>
        <w:t xml:space="preserve">隐含波动率用于外部合理性校验，不反向替代附件真实价格。</w:t>
      </w:r>
    </w:p>
    <w:bookmarkEnd w:id="180"/>
    <w:bookmarkStart w:id="181" w:name="a.2-综合机制递推模型伪代码"/>
    <w:p>
      <w:pPr>
        <w:pStyle w:val="Heading2"/>
      </w:pPr>
      <w:r>
        <w:t xml:space="preserve">A.2 </w:t>
      </w:r>
      <w:r>
        <w:rPr>
          <w:rFonts w:hint="eastAsia"/>
        </w:rPr>
        <w:t xml:space="preserve">综合机制递推模型伪代码</w:t>
      </w:r>
    </w:p>
    <w:p>
      <w:pPr>
        <w:pStyle w:val="FirstParagraph"/>
      </w:pPr>
      <w:r>
        <w:rPr>
          <w:rFonts w:hint="eastAsia"/>
        </w:rPr>
        <w:t xml:space="preserve">为避免在附录中堆叠大量源代码，本文只列出主模型的核心计算逻辑。完整程序随项目文件保存，若提交系统要求源程序，可作为单独附件提供。</w:t>
      </w:r>
    </w:p>
    <w:p>
      <w:pPr>
        <w:pStyle w:val="SourceCode"/>
      </w:pPr>
      <w:r>
        <w:rPr>
          <w:rStyle w:val="VerbatimChar"/>
          <w:rFonts w:hint="eastAsia"/>
        </w:rPr>
        <w:t xml:space="preserve">输入：</w:t>
      </w:r>
      <w:r>
        <w:br/>
      </w:r>
      <w:r>
        <w:rPr>
          <w:rStyle w:val="VerbatimChar"/>
        </w:rPr>
        <w:t xml:space="preserve">  </w:t>
      </w:r>
      <w:r>
        <w:rPr>
          <w:rStyle w:val="VerbatimChar"/>
          <w:rFonts w:hint="eastAsia"/>
        </w:rPr>
        <w:t xml:space="preserve">附件布伦特价格序列</w:t>
      </w:r>
      <w:r>
        <w:rPr>
          <w:rStyle w:val="VerbatimChar"/>
        </w:rPr>
        <w:t xml:space="preserve"> P_t</w:t>
      </w:r>
      <w:r>
        <w:br/>
      </w:r>
      <w:r>
        <w:rPr>
          <w:rStyle w:val="VerbatimChar"/>
        </w:rPr>
        <w:t xml:space="preserve">  </w:t>
      </w:r>
      <w:r>
        <w:rPr>
          <w:rStyle w:val="VerbatimChar"/>
          <w:rFonts w:hint="eastAsia"/>
        </w:rPr>
        <w:t xml:space="preserve">供应中断</w:t>
      </w:r>
      <w:r>
        <w:rPr>
          <w:rStyle w:val="VerbatimChar"/>
        </w:rPr>
        <w:t xml:space="preserve"> </w:t>
      </w:r>
      <w:r>
        <w:rPr>
          <w:rStyle w:val="VerbatimChar"/>
          <w:rFonts w:hint="eastAsia"/>
        </w:rPr>
        <w:t xml:space="preserve">I、基础需求</w:t>
      </w:r>
      <w:r>
        <w:rPr>
          <w:rStyle w:val="VerbatimChar"/>
        </w:rPr>
        <w:t xml:space="preserve"> </w:t>
      </w:r>
      <w:r>
        <w:rPr>
          <w:rStyle w:val="VerbatimChar"/>
          <w:rFonts w:hint="eastAsia"/>
        </w:rPr>
        <w:t xml:space="preserve">D_0、短期弹性</w:t>
      </w:r>
      <w:r>
        <w:rPr>
          <w:rStyle w:val="VerbatimChar"/>
        </w:rPr>
        <w:t xml:space="preserve"> epsilon_t</w:t>
      </w:r>
      <w:r>
        <w:br/>
      </w:r>
      <w:r>
        <w:rPr>
          <w:rStyle w:val="VerbatimChar"/>
        </w:rPr>
        <w:t xml:space="preserve">  SPR </w:t>
      </w:r>
      <w:r>
        <w:rPr>
          <w:rStyle w:val="VerbatimChar"/>
          <w:rFonts w:hint="eastAsia"/>
        </w:rPr>
        <w:t xml:space="preserve">释放</w:t>
      </w:r>
      <w:r>
        <w:rPr>
          <w:rStyle w:val="VerbatimChar"/>
        </w:rPr>
        <w:t xml:space="preserve"> </w:t>
      </w:r>
      <w:r>
        <w:rPr>
          <w:rStyle w:val="VerbatimChar"/>
          <w:rFonts w:hint="eastAsia"/>
        </w:rPr>
        <w:t xml:space="preserve">R_t、商业库存</w:t>
      </w:r>
      <w:r>
        <w:rPr>
          <w:rStyle w:val="VerbatimChar"/>
        </w:rPr>
        <w:t xml:space="preserve"> </w:t>
      </w:r>
      <w:r>
        <w:rPr>
          <w:rStyle w:val="VerbatimChar"/>
          <w:rFonts w:hint="eastAsia"/>
        </w:rPr>
        <w:t xml:space="preserve">B_t、绕道运输</w:t>
      </w:r>
      <w:r>
        <w:rPr>
          <w:rStyle w:val="VerbatimChar"/>
        </w:rPr>
        <w:t xml:space="preserve"> Q_t</w:t>
      </w:r>
      <w:r>
        <w:br/>
      </w:r>
      <w:r>
        <w:rPr>
          <w:rStyle w:val="VerbatimChar"/>
        </w:rPr>
        <w:t xml:space="preserve">  </w:t>
      </w:r>
      <w:r>
        <w:rPr>
          <w:rStyle w:val="VerbatimChar"/>
          <w:rFonts w:hint="eastAsia"/>
        </w:rPr>
        <w:t xml:space="preserve">恐慌强度</w:t>
      </w:r>
      <w:r>
        <w:rPr>
          <w:rStyle w:val="VerbatimChar"/>
        </w:rPr>
        <w:t xml:space="preserve"> </w:t>
      </w:r>
      <w:r>
        <w:rPr>
          <w:rStyle w:val="VerbatimChar"/>
          <w:rFonts w:hint="eastAsia"/>
        </w:rPr>
        <w:t xml:space="preserve">F_t、地缘风险权重</w:t>
      </w:r>
      <w:r>
        <w:rPr>
          <w:rStyle w:val="VerbatimChar"/>
        </w:rPr>
        <w:t xml:space="preserve"> </w:t>
      </w:r>
      <w:r>
        <w:rPr>
          <w:rStyle w:val="VerbatimChar"/>
          <w:rFonts w:hint="eastAsia"/>
        </w:rPr>
        <w:t xml:space="preserve">beta、调整速度</w:t>
      </w:r>
      <w:r>
        <w:rPr>
          <w:rStyle w:val="VerbatimChar"/>
        </w:rPr>
        <w:t xml:space="preserve"> v</w:t>
      </w:r>
      <w:r>
        <w:br/>
      </w:r>
      <w:r>
        <w:br/>
      </w:r>
      <w:r>
        <w:rPr>
          <w:rStyle w:val="VerbatimChar"/>
          <w:rFonts w:hint="eastAsia"/>
        </w:rPr>
        <w:t xml:space="preserve">初始化：</w:t>
      </w:r>
      <w:r>
        <w:br/>
      </w:r>
      <w:r>
        <w:rPr>
          <w:rStyle w:val="VerbatimChar"/>
        </w:rPr>
        <w:t xml:space="preserve">  </w:t>
      </w:r>
      <w:r>
        <w:rPr>
          <w:rStyle w:val="VerbatimChar"/>
          <w:rFonts w:hint="eastAsia"/>
        </w:rPr>
        <w:t xml:space="preserve">设定</w:t>
      </w:r>
      <w:r>
        <w:rPr>
          <w:rStyle w:val="VerbatimChar"/>
        </w:rPr>
        <w:t xml:space="preserve"> P_hat_0 = P_0</w:t>
      </w:r>
      <w:r>
        <w:br/>
      </w:r>
      <w:r>
        <w:rPr>
          <w:rStyle w:val="VerbatimChar"/>
        </w:rPr>
        <w:t xml:space="preserve">  </w:t>
      </w:r>
      <w:r>
        <w:rPr>
          <w:rStyle w:val="VerbatimChar"/>
          <w:rFonts w:hint="eastAsia"/>
        </w:rPr>
        <w:t xml:space="preserve">根据题面约束确定</w:t>
      </w:r>
      <w:r>
        <w:rPr>
          <w:rStyle w:val="VerbatimChar"/>
        </w:rPr>
        <w:t xml:space="preserve"> I、SPR </w:t>
      </w:r>
      <w:r>
        <w:rPr>
          <w:rStyle w:val="VerbatimChar"/>
          <w:rFonts w:hint="eastAsia"/>
        </w:rPr>
        <w:t xml:space="preserve">上限、绕道能力和短期弹性范围</w:t>
      </w:r>
      <w:r>
        <w:br/>
      </w:r>
      <w:r>
        <w:br/>
      </w:r>
      <w:r>
        <w:rPr>
          <w:rStyle w:val="VerbatimChar"/>
          <w:rFonts w:hint="eastAsia"/>
        </w:rPr>
        <w:t xml:space="preserve">对冲突窗口内每一日</w:t>
      </w:r>
      <w:r>
        <w:rPr>
          <w:rStyle w:val="VerbatimChar"/>
        </w:rPr>
        <w:t xml:space="preserve"> t = </w:t>
      </w:r>
      <w:r>
        <w:rPr>
          <w:rStyle w:val="VerbatimChar"/>
          <w:rFonts w:hint="eastAsia"/>
        </w:rPr>
        <w:t xml:space="preserve">1,2,...,T：</w:t>
      </w:r>
      <w:r>
        <w:br/>
      </w:r>
      <w:r>
        <w:rPr>
          <w:rStyle w:val="VerbatimChar"/>
        </w:rPr>
        <w:t xml:space="preserve">  1. </w:t>
      </w:r>
      <w:r>
        <w:rPr>
          <w:rStyle w:val="VerbatimChar"/>
          <w:rFonts w:hint="eastAsia"/>
        </w:rPr>
        <w:t xml:space="preserve">计算有效供应：</w:t>
      </w:r>
      <w:r>
        <w:br/>
      </w:r>
      <w:r>
        <w:rPr>
          <w:rStyle w:val="VerbatimChar"/>
        </w:rPr>
        <w:t xml:space="preserve">       S_t = S_0 - I + R_t + B_t + Q_t</w:t>
      </w:r>
      <w:r>
        <w:br/>
      </w:r>
      <w:r>
        <w:rPr>
          <w:rStyle w:val="VerbatimChar"/>
        </w:rPr>
        <w:t xml:space="preserve">  2. </w:t>
      </w:r>
      <w:r>
        <w:rPr>
          <w:rStyle w:val="VerbatimChar"/>
          <w:rFonts w:hint="eastAsia"/>
        </w:rPr>
        <w:t xml:space="preserve">计算有效需求：</w:t>
      </w:r>
      <w:r>
        <w:br/>
      </w:r>
      <w:r>
        <w:rPr>
          <w:rStyle w:val="VerbatimChar"/>
        </w:rPr>
        <w:t xml:space="preserve">       D_t = D_0 * (1 + </w:t>
      </w:r>
      <w:r>
        <w:rPr>
          <w:rStyle w:val="VerbatimChar"/>
          <w:rFonts w:hint="eastAsia"/>
        </w:rPr>
        <w:t xml:space="preserve">恐慌需求项</w:t>
      </w:r>
      <w:r>
        <w:rPr>
          <w:rStyle w:val="VerbatimChar"/>
        </w:rPr>
        <w:t xml:space="preserve"> + </w:t>
      </w:r>
      <w:r>
        <w:rPr>
          <w:rStyle w:val="VerbatimChar"/>
          <w:rFonts w:hint="eastAsia"/>
        </w:rPr>
        <w:t xml:space="preserve">需求收缩项)</w:t>
      </w:r>
      <w:r>
        <w:br/>
      </w:r>
      <w:r>
        <w:rPr>
          <w:rStyle w:val="VerbatimChar"/>
        </w:rPr>
        <w:t xml:space="preserve">  3. </w:t>
      </w:r>
      <w:r>
        <w:rPr>
          <w:rStyle w:val="VerbatimChar"/>
          <w:rFonts w:hint="eastAsia"/>
        </w:rPr>
        <w:t xml:space="preserve">得到剩余缺口：</w:t>
      </w:r>
      <w:r>
        <w:br/>
      </w:r>
      <w:r>
        <w:rPr>
          <w:rStyle w:val="VerbatimChar"/>
        </w:rPr>
        <w:t xml:space="preserve">       G_t = max(D_t - S_t, 0)</w:t>
      </w:r>
      <w:r>
        <w:br/>
      </w:r>
      <w:r>
        <w:rPr>
          <w:rStyle w:val="VerbatimChar"/>
        </w:rPr>
        <w:t xml:space="preserve">  4. </w:t>
      </w:r>
      <w:r>
        <w:rPr>
          <w:rStyle w:val="VerbatimChar"/>
          <w:rFonts w:hint="eastAsia"/>
        </w:rPr>
        <w:t xml:space="preserve">构造目标价格：</w:t>
      </w:r>
      <w:r>
        <w:br/>
      </w:r>
      <w:r>
        <w:rPr>
          <w:rStyle w:val="VerbatimChar"/>
        </w:rPr>
        <w:t xml:space="preserve">       P_t^* = </w:t>
      </w:r>
      <w:r>
        <w:rPr>
          <w:rStyle w:val="VerbatimChar"/>
          <w:rFonts w:hint="eastAsia"/>
        </w:rPr>
        <w:t xml:space="preserve">基准价格</w:t>
      </w:r>
      <w:r>
        <w:br/>
      </w:r>
      <w:r>
        <w:rPr>
          <w:rStyle w:val="VerbatimChar"/>
        </w:rPr>
        <w:t xml:space="preserve">             + </w:t>
      </w:r>
      <w:r>
        <w:rPr>
          <w:rStyle w:val="VerbatimChar"/>
          <w:rFonts w:hint="eastAsia"/>
        </w:rPr>
        <w:t xml:space="preserve">物理缺口压力</w:t>
      </w:r>
      <w:r>
        <w:br/>
      </w:r>
      <w:r>
        <w:rPr>
          <w:rStyle w:val="VerbatimChar"/>
        </w:rPr>
        <w:t xml:space="preserve">             + </w:t>
      </w:r>
      <w:r>
        <w:rPr>
          <w:rStyle w:val="VerbatimChar"/>
          <w:rFonts w:hint="eastAsia"/>
        </w:rPr>
        <w:t xml:space="preserve">地缘风险溢价</w:t>
      </w:r>
      <w:r>
        <w:br/>
      </w:r>
      <w:r>
        <w:rPr>
          <w:rStyle w:val="VerbatimChar"/>
        </w:rPr>
        <w:t xml:space="preserve">             + </w:t>
      </w:r>
      <w:r>
        <w:rPr>
          <w:rStyle w:val="VerbatimChar"/>
          <w:rFonts w:hint="eastAsia"/>
        </w:rPr>
        <w:t xml:space="preserve">冲击不确定性溢价</w:t>
      </w:r>
      <w:r>
        <w:br/>
      </w:r>
      <w:r>
        <w:rPr>
          <w:rStyle w:val="VerbatimChar"/>
        </w:rPr>
        <w:t xml:space="preserve">             + </w:t>
      </w:r>
      <w:r>
        <w:rPr>
          <w:rStyle w:val="VerbatimChar"/>
          <w:rFonts w:hint="eastAsia"/>
        </w:rPr>
        <w:t xml:space="preserve">恐慌溢价</w:t>
      </w:r>
      <w:r>
        <w:br/>
      </w:r>
      <w:r>
        <w:rPr>
          <w:rStyle w:val="VerbatimChar"/>
        </w:rPr>
        <w:t xml:space="preserve">             - </w:t>
      </w:r>
      <w:r>
        <w:rPr>
          <w:rStyle w:val="VerbatimChar"/>
          <w:rFonts w:hint="eastAsia"/>
        </w:rPr>
        <w:t xml:space="preserve">缓冲确认折价</w:t>
      </w:r>
      <w:r>
        <w:br/>
      </w:r>
      <w:r>
        <w:rPr>
          <w:rStyle w:val="VerbatimChar"/>
        </w:rPr>
        <w:t xml:space="preserve">             - </w:t>
      </w:r>
      <w:r>
        <w:rPr>
          <w:rStyle w:val="VerbatimChar"/>
          <w:rFonts w:hint="eastAsia"/>
        </w:rPr>
        <w:t xml:space="preserve">预期修复折价</w:t>
      </w:r>
      <w:r>
        <w:br/>
      </w:r>
      <w:r>
        <w:rPr>
          <w:rStyle w:val="VerbatimChar"/>
        </w:rPr>
        <w:t xml:space="preserve">  5. </w:t>
      </w:r>
      <w:r>
        <w:rPr>
          <w:rStyle w:val="VerbatimChar"/>
          <w:rFonts w:hint="eastAsia"/>
        </w:rPr>
        <w:t xml:space="preserve">日度递推：</w:t>
      </w:r>
      <w:r>
        <w:br/>
      </w:r>
      <w:r>
        <w:rPr>
          <w:rStyle w:val="VerbatimChar"/>
        </w:rPr>
        <w:t xml:space="preserve">       P_hat_t = P_hat_{t-1}</w:t>
      </w:r>
      <w:r>
        <w:br/>
      </w:r>
      <w:r>
        <w:rPr>
          <w:rStyle w:val="VerbatimChar"/>
        </w:rPr>
        <w:t xml:space="preserve">               + v * (P_t^* - P_hat_{t-1})</w:t>
      </w:r>
      <w:r>
        <w:br/>
      </w:r>
      <w:r>
        <w:rPr>
          <w:rStyle w:val="VerbatimChar"/>
        </w:rPr>
        <w:t xml:space="preserve">               + gamma_F * (F_t - F_{t-1})</w:t>
      </w:r>
      <w:r>
        <w:br/>
      </w:r>
      <w:r>
        <w:rPr>
          <w:rStyle w:val="VerbatimChar"/>
        </w:rPr>
        <w:t xml:space="preserve">  6. </w:t>
      </w:r>
      <w:r>
        <w:rPr>
          <w:rStyle w:val="VerbatimChar"/>
          <w:rFonts w:hint="eastAsia"/>
        </w:rPr>
        <w:t xml:space="preserve">记录预测值、误差和各机制贡献</w:t>
      </w:r>
      <w:r>
        <w:br/>
      </w:r>
      <w:r>
        <w:br/>
      </w:r>
      <w:r>
        <w:rPr>
          <w:rStyle w:val="VerbatimChar"/>
          <w:rFonts w:hint="eastAsia"/>
        </w:rPr>
        <w:t xml:space="preserve">输出：</w:t>
      </w:r>
      <w:r>
        <w:br/>
      </w:r>
      <w:r>
        <w:rPr>
          <w:rStyle w:val="VerbatimChar"/>
        </w:rPr>
        <w:t xml:space="preserve">  </w:t>
      </w:r>
      <w:r>
        <w:rPr>
          <w:rStyle w:val="VerbatimChar"/>
          <w:rFonts w:hint="eastAsia"/>
        </w:rPr>
        <w:t xml:space="preserve">短期拟合路径、误差指标、机制贡献、消融结果和长期情景初始状态</w:t>
      </w:r>
    </w:p>
    <w:bookmarkEnd w:id="181"/>
    <w:bookmarkStart w:id="182" w:name="a.3-关键结果核查表"/>
    <w:p>
      <w:pPr>
        <w:pStyle w:val="Heading2"/>
      </w:pPr>
      <w:r>
        <w:t xml:space="preserve">A.3 </w:t>
      </w:r>
      <w:r>
        <w:rPr>
          <w:rFonts w:hint="eastAsia"/>
        </w:rPr>
        <w:t xml:space="preserve">关键结果核查表</w:t>
      </w:r>
    </w:p>
    <w:p>
      <w:pPr>
        <w:pStyle w:val="TableCaption"/>
      </w:pPr>
      <w:r>
        <w:rPr>
          <w:rFonts w:hint="eastAsia"/>
        </w:rPr>
        <w:t xml:space="preserve">附表</w:t>
      </w:r>
      <w:r>
        <w:t xml:space="preserve"> </w:t>
      </w:r>
      <w:r>
        <w:rPr>
          <w:rFonts w:hint="eastAsia"/>
        </w:rPr>
        <w:t xml:space="preserve">1：关键结果核查</w:t>
      </w:r>
    </w:p>
    <w:tbl>
      <w:tblPr>
        <w:tblStyle w:val="Table"/>
        <w:tblW w:type="auto" w:w="0"/>
        <w:tblLook w:firstRow="1" w:lastRow="0" w:firstColumn="0" w:lastColumn="0" w:noHBand="0" w:noVBand="0" w:val="0020"/>
        <w:tblCaption w:val="附表 1：关键结果核查"/>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核查结果</w:t>
            </w:r>
          </w:p>
        </w:tc>
      </w:tr>
      <w:tr>
        <w:tc>
          <w:tcPr/>
          <w:p>
            <w:pPr>
              <w:pStyle w:val="Compact"/>
              <w:jc w:val="left"/>
            </w:pPr>
            <w:r>
              <w:rPr>
                <w:rFonts w:hint="eastAsia"/>
              </w:rPr>
              <w:t xml:space="preserve">真实数据来源</w:t>
            </w:r>
          </w:p>
        </w:tc>
        <w:tc>
          <w:tcPr/>
          <w:p>
            <w:pPr>
              <w:pStyle w:val="Compact"/>
              <w:jc w:val="left"/>
            </w:pPr>
            <w:r>
              <w:rPr>
                <w:rFonts w:hint="eastAsia"/>
              </w:rPr>
              <w:t xml:space="preserve">所有真实价格均来自赛题附件</w:t>
            </w:r>
            <w:r>
              <w:t xml:space="preserve"> </w:t>
            </w:r>
            <w:r>
              <w:rPr>
                <w:rFonts w:hint="eastAsia"/>
              </w:rPr>
              <w:t xml:space="preserve">CSV，外部数据只用于合理性校验</w:t>
            </w:r>
          </w:p>
        </w:tc>
      </w:tr>
      <w:tr>
        <w:tc>
          <w:tcPr/>
          <w:p>
            <w:pPr>
              <w:pStyle w:val="Compact"/>
              <w:jc w:val="left"/>
            </w:pPr>
            <w:r>
              <w:rPr>
                <w:rFonts w:hint="eastAsia"/>
              </w:rPr>
              <w:t xml:space="preserve">短期窗口</w:t>
            </w:r>
          </w:p>
        </w:tc>
        <w:tc>
          <w:tcPr/>
          <w:p>
            <w:pPr>
              <w:pStyle w:val="Compact"/>
              <w:jc w:val="left"/>
            </w:pPr>
            <w:r>
              <w:t xml:space="preserve">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日，共</w:t>
            </w:r>
            <w:r>
              <w:t xml:space="preserve"> 46 </w:t>
            </w:r>
            <w:r>
              <w:rPr>
                <w:rFonts w:hint="eastAsia"/>
              </w:rPr>
              <w:t xml:space="preserve">个交易日</w:t>
            </w:r>
          </w:p>
        </w:tc>
      </w:tr>
      <w:tr>
        <w:tc>
          <w:tcPr/>
          <w:p>
            <w:pPr>
              <w:pStyle w:val="Compact"/>
              <w:jc w:val="left"/>
            </w:pPr>
            <w:r>
              <w:rPr>
                <w:rFonts w:hint="eastAsia"/>
              </w:rPr>
              <w:t xml:space="preserve">短期拟合误差</w:t>
            </w:r>
          </w:p>
        </w:tc>
        <w:tc>
          <w:tcPr/>
          <w:p>
            <w:pPr>
              <w:pStyle w:val="Compact"/>
              <w:jc w:val="left"/>
            </w:pPr>
            <w:r>
              <w:t xml:space="preserve">RMSE = 3.44 </w:t>
            </w:r>
            <w:r>
              <w:rPr>
                <w:rFonts w:hint="eastAsia"/>
              </w:rPr>
              <w:t xml:space="preserve">美元/桶，MAE</w:t>
            </w:r>
            <w:r>
              <w:t xml:space="preserve"> = 2.85 </w:t>
            </w:r>
            <w:r>
              <w:rPr>
                <w:rFonts w:hint="eastAsia"/>
              </w:rPr>
              <w:t xml:space="preserve">美元/桶，MAPE</w:t>
            </w:r>
            <w:r>
              <w:t xml:space="preserve"> = 2.86%</w:t>
            </w:r>
          </w:p>
        </w:tc>
      </w:tr>
      <w:tr>
        <w:tc>
          <w:tcPr/>
          <w:p>
            <w:pPr>
              <w:pStyle w:val="Compact"/>
              <w:jc w:val="left"/>
            </w:pPr>
            <w:r>
              <w:rPr>
                <w:rFonts w:hint="eastAsia"/>
              </w:rPr>
              <w:t xml:space="preserve">峰值误差</w:t>
            </w:r>
          </w:p>
        </w:tc>
        <w:tc>
          <w:tcPr/>
          <w:p>
            <w:pPr>
              <w:pStyle w:val="Compact"/>
              <w:jc w:val="left"/>
            </w:pPr>
            <w:r>
              <w:rPr>
                <w:rFonts w:hint="eastAsia"/>
              </w:rPr>
              <w:t xml:space="preserve">模拟峰值</w:t>
            </w:r>
            <w:r>
              <w:t xml:space="preserve"> 110.42 </w:t>
            </w:r>
            <w:r>
              <w:rPr>
                <w:rFonts w:hint="eastAsia"/>
              </w:rPr>
              <w:t xml:space="preserve">美元/桶，实际最高收盘价</w:t>
            </w:r>
            <w:r>
              <w:t xml:space="preserve"> 114.06 </w:t>
            </w:r>
            <w:r>
              <w:rPr>
                <w:rFonts w:hint="eastAsia"/>
              </w:rPr>
              <w:t xml:space="preserve">美元/桶</w:t>
            </w:r>
          </w:p>
        </w:tc>
      </w:tr>
      <w:tr>
        <w:tc>
          <w:tcPr/>
          <w:p>
            <w:pPr>
              <w:pStyle w:val="Compact"/>
              <w:jc w:val="left"/>
            </w:pPr>
            <w:r>
              <w:rPr>
                <w:rFonts w:hint="eastAsia"/>
              </w:rPr>
              <w:t xml:space="preserve">基准对比</w:t>
            </w:r>
          </w:p>
        </w:tc>
        <w:tc>
          <w:tcPr/>
          <w:p>
            <w:pPr>
              <w:pStyle w:val="Compact"/>
              <w:jc w:val="left"/>
            </w:pPr>
            <w:r>
              <w:rPr>
                <w:rFonts w:hint="eastAsia"/>
              </w:rPr>
              <w:t xml:space="preserve">主模型优于朴素上一日基准和滚动</w:t>
            </w:r>
            <w:r>
              <w:t xml:space="preserve"> ARIMA </w:t>
            </w:r>
            <w:r>
              <w:rPr>
                <w:rFonts w:hint="eastAsia"/>
              </w:rPr>
              <w:t xml:space="preserve">基准</w:t>
            </w:r>
          </w:p>
        </w:tc>
      </w:tr>
      <w:tr>
        <w:tc>
          <w:tcPr/>
          <w:p>
            <w:pPr>
              <w:pStyle w:val="Compact"/>
              <w:jc w:val="left"/>
            </w:pPr>
            <w:r>
              <w:rPr>
                <w:rFonts w:hint="eastAsia"/>
              </w:rPr>
              <w:t xml:space="preserve">长期中性结果</w:t>
            </w:r>
          </w:p>
        </w:tc>
        <w:tc>
          <w:tcPr/>
          <w:p>
            <w:pPr>
              <w:pStyle w:val="Compact"/>
              <w:jc w:val="left"/>
            </w:pPr>
            <w:r>
              <w:rPr>
                <w:rFonts w:hint="eastAsia"/>
              </w:rPr>
              <w:t xml:space="preserve">第</w:t>
            </w:r>
            <w:r>
              <w:t xml:space="preserve"> 180 </w:t>
            </w:r>
            <w:r>
              <w:rPr>
                <w:rFonts w:hint="eastAsia"/>
              </w:rPr>
              <w:t xml:space="preserve">天价格约</w:t>
            </w:r>
            <w:r>
              <w:t xml:space="preserve"> 94.15 </w:t>
            </w:r>
            <w:r>
              <w:rPr>
                <w:rFonts w:hint="eastAsia"/>
              </w:rPr>
              <w:t xml:space="preserve">美元/桶</w:t>
            </w:r>
          </w:p>
        </w:tc>
      </w:tr>
      <w:tr>
        <w:tc>
          <w:tcPr/>
          <w:p>
            <w:pPr>
              <w:pStyle w:val="Compact"/>
              <w:jc w:val="left"/>
            </w:pPr>
            <w:r>
              <w:rPr>
                <w:rFonts w:hint="eastAsia"/>
              </w:rPr>
              <w:t xml:space="preserve">长期悲观结果</w:t>
            </w:r>
          </w:p>
        </w:tc>
        <w:tc>
          <w:tcPr/>
          <w:p>
            <w:pPr>
              <w:pStyle w:val="Compact"/>
              <w:jc w:val="left"/>
            </w:pPr>
            <w:r>
              <w:rPr>
                <w:rFonts w:hint="eastAsia"/>
              </w:rPr>
              <w:t xml:space="preserve">第</w:t>
            </w:r>
            <w:r>
              <w:t xml:space="preserve"> 180 </w:t>
            </w:r>
            <w:r>
              <w:rPr>
                <w:rFonts w:hint="eastAsia"/>
              </w:rPr>
              <w:t xml:space="preserve">天价格约</w:t>
            </w:r>
            <w:r>
              <w:t xml:space="preserve"> 110.16 </w:t>
            </w:r>
            <w:r>
              <w:rPr>
                <w:rFonts w:hint="eastAsia"/>
              </w:rPr>
              <w:t xml:space="preserve">美元/桶，外推期保留二次跳涨风险</w:t>
            </w:r>
          </w:p>
        </w:tc>
      </w:tr>
      <w:tr>
        <w:tc>
          <w:tcPr/>
          <w:p>
            <w:pPr>
              <w:pStyle w:val="Compact"/>
              <w:jc w:val="left"/>
            </w:pPr>
            <w:r>
              <w:rPr>
                <w:rFonts w:hint="eastAsia"/>
              </w:rPr>
              <w:t xml:space="preserve">尾部风险</w:t>
            </w:r>
          </w:p>
        </w:tc>
        <w:tc>
          <w:tcPr/>
          <w:p>
            <w:pPr>
              <w:pStyle w:val="Compact"/>
              <w:jc w:val="left"/>
            </w:pPr>
            <w:r>
              <w:rPr>
                <w:rFonts w:hint="eastAsia"/>
              </w:rPr>
              <w:t xml:space="preserve">蒙特卡洛显示外推期最高价突破</w:t>
            </w:r>
            <w:r>
              <w:t xml:space="preserve"> 120 </w:t>
            </w:r>
            <w:r>
              <w:rPr>
                <w:rFonts w:hint="eastAsia"/>
              </w:rPr>
              <w:t xml:space="preserve">美元/桶的条件概率约</w:t>
            </w:r>
            <w:r>
              <w:t xml:space="preserve"> 16.3%</w:t>
            </w:r>
          </w:p>
        </w:tc>
      </w:tr>
      <w:tr>
        <w:tc>
          <w:tcPr/>
          <w:p>
            <w:pPr>
              <w:pStyle w:val="Compact"/>
              <w:jc w:val="left"/>
            </w:pPr>
            <w:r>
              <w:rPr>
                <w:rFonts w:hint="eastAsia"/>
              </w:rPr>
              <w:t xml:space="preserve">最敏感因素</w:t>
            </w:r>
          </w:p>
        </w:tc>
        <w:tc>
          <w:tcPr/>
          <w:p>
            <w:pPr>
              <w:pStyle w:val="Compact"/>
              <w:jc w:val="left"/>
            </w:pPr>
            <w:r>
              <w:rPr>
                <w:rFonts w:hint="eastAsia"/>
              </w:rPr>
              <w:t xml:space="preserve">封锁风险衰减速度、地缘风险权重、不确定性与制度风险强度</w:t>
            </w:r>
          </w:p>
        </w:tc>
      </w:tr>
    </w:tbl>
    <w:bookmarkEnd w:id="182"/>
    <w:bookmarkStart w:id="183" w:name="a.4-稳健性检验补充"/>
    <w:p>
      <w:pPr>
        <w:pStyle w:val="Heading2"/>
      </w:pPr>
      <w:r>
        <w:t xml:space="preserve">A.4 </w:t>
      </w:r>
      <w:r>
        <w:rPr>
          <w:rFonts w:hint="eastAsia"/>
        </w:rPr>
        <w:t xml:space="preserve">稳健性检验补充</w:t>
      </w:r>
    </w:p>
    <w:p>
      <w:pPr>
        <w:numPr>
          <w:ilvl w:val="0"/>
          <w:numId w:val="1008"/>
        </w:numPr>
      </w:pPr>
      <w:r>
        <w:rPr>
          <w:rFonts w:hint="eastAsia"/>
        </w:rPr>
        <w:t xml:space="preserve">基准检验：与上一日价格、漂移随机游走和滚动</w:t>
      </w:r>
      <w:r>
        <w:t xml:space="preserve"> ARIMA </w:t>
      </w:r>
      <w:r>
        <w:rPr>
          <w:rFonts w:hint="eastAsia"/>
        </w:rPr>
        <w:t xml:space="preserve">比较，防止模型只是复杂但无效的随机游走复制。</w:t>
      </w:r>
    </w:p>
    <w:p>
      <w:pPr>
        <w:numPr>
          <w:ilvl w:val="0"/>
          <w:numId w:val="1008"/>
        </w:numPr>
      </w:pPr>
      <w:r>
        <w:rPr>
          <w:rFonts w:hint="eastAsia"/>
        </w:rPr>
        <w:t xml:space="preserve">滞后检验：检查预测曲线是否简单滞后真实价格，避免</w:t>
      </w:r>
      <w:r>
        <w:rPr>
          <w:rFonts w:hint="eastAsia"/>
        </w:rPr>
        <w:t xml:space="preserve">“马后炮曲线”</w:t>
      </w:r>
      <w:r>
        <w:rPr>
          <w:rFonts w:hint="eastAsia"/>
        </w:rPr>
        <w:t xml:space="preserve">问题。</w:t>
      </w:r>
    </w:p>
    <w:p>
      <w:pPr>
        <w:numPr>
          <w:ilvl w:val="0"/>
          <w:numId w:val="1008"/>
        </w:numPr>
      </w:pPr>
      <w:r>
        <w:rPr>
          <w:rFonts w:hint="eastAsia"/>
        </w:rPr>
        <w:t xml:space="preserve">消融检验：逐项移除风险溢价、缓冲折价、预期修复等机制，验证各因素的边际贡献。</w:t>
      </w:r>
    </w:p>
    <w:p>
      <w:pPr>
        <w:numPr>
          <w:ilvl w:val="0"/>
          <w:numId w:val="1008"/>
        </w:numPr>
      </w:pPr>
      <w:r>
        <w:rPr>
          <w:rFonts w:hint="eastAsia"/>
        </w:rPr>
        <w:t xml:space="preserve">参数压力测试：扰动价格传导、风险权重和长期机制参数，检验结论是否依赖唯一一组参数。</w:t>
      </w:r>
    </w:p>
    <w:p>
      <w:pPr>
        <w:numPr>
          <w:ilvl w:val="0"/>
          <w:numId w:val="1008"/>
        </w:numPr>
      </w:pPr>
      <w:r>
        <w:rPr>
          <w:rFonts w:hint="eastAsia"/>
        </w:rPr>
        <w:t xml:space="preserve">外部校验：EIA</w:t>
      </w:r>
      <w:r>
        <w:t xml:space="preserve"> </w:t>
      </w:r>
      <w:r>
        <w:rPr>
          <w:rFonts w:hint="eastAsia"/>
        </w:rPr>
        <w:t xml:space="preserve">周度数据、JODI</w:t>
      </w:r>
      <w:r>
        <w:t xml:space="preserve"> </w:t>
      </w:r>
      <w:r>
        <w:rPr>
          <w:rFonts w:hint="eastAsia"/>
        </w:rPr>
        <w:t xml:space="preserve">多国月度石油数据、OPEC</w:t>
      </w:r>
      <w:r>
        <w:t xml:space="preserve"> </w:t>
      </w:r>
      <w:r>
        <w:rPr>
          <w:rFonts w:hint="eastAsia"/>
        </w:rPr>
        <w:t xml:space="preserve">全球供需平衡表、GPR</w:t>
      </w:r>
      <w:r>
        <w:t xml:space="preserve"> </w:t>
      </w:r>
      <w:r>
        <w:rPr>
          <w:rFonts w:hint="eastAsia"/>
        </w:rPr>
        <w:t xml:space="preserve">月度指数、OVX</w:t>
      </w:r>
      <w:r>
        <w:t xml:space="preserve"> </w:t>
      </w:r>
      <w:r>
        <w:rPr>
          <w:rFonts w:hint="eastAsia"/>
        </w:rPr>
        <w:t xml:space="preserve">隐含波动率和</w:t>
      </w:r>
      <w:r>
        <w:t xml:space="preserve"> 2017–2026 </w:t>
      </w:r>
      <w:r>
        <w:rPr>
          <w:rFonts w:hint="eastAsia"/>
        </w:rPr>
        <w:t xml:space="preserve">历史同长度窗口用于验证数量级、风险定价和事件极端性。</w:t>
      </w:r>
    </w:p>
    <w:bookmarkEnd w:id="183"/>
    <w:bookmarkStart w:id="184" w:name="a.5-程序材料说明"/>
    <w:p>
      <w:pPr>
        <w:pStyle w:val="Heading2"/>
      </w:pPr>
      <w:r>
        <w:t xml:space="preserve">A.5 </w:t>
      </w:r>
      <w:r>
        <w:rPr>
          <w:rFonts w:hint="eastAsia"/>
        </w:rPr>
        <w:t xml:space="preserve">程序材料说明</w:t>
      </w:r>
    </w:p>
    <w:p>
      <w:pPr>
        <w:pStyle w:val="FirstParagraph"/>
      </w:pPr>
      <w:r>
        <w:rPr>
          <w:rFonts w:hint="eastAsia"/>
        </w:rPr>
        <w:t xml:space="preserve">本文不在正文附录中展开完整</w:t>
      </w:r>
      <w:r>
        <w:t xml:space="preserve"> Python </w:t>
      </w:r>
      <w:r>
        <w:rPr>
          <w:rFonts w:hint="eastAsia"/>
        </w:rPr>
        <w:t xml:space="preserve">或</w:t>
      </w:r>
      <w:r>
        <w:t xml:space="preserve"> R </w:t>
      </w:r>
      <w:r>
        <w:rPr>
          <w:rFonts w:hint="eastAsia"/>
        </w:rPr>
        <w:t xml:space="preserve">源代码。原因是完整源程序较长，直接粘贴会削弱论文主体的可读性；同时，数学建模论文更应突出模型假设、递推公式、参数解释和结果检验。若比赛提交系统要求源程序，完整代码可作为独立附件提交，正文附录仅保留项目结构、核心算法伪代码和关键结果核查。</w:t>
      </w:r>
    </w:p>
    <w:bookmarkEnd w:id="184"/>
    <w:bookmarkEnd w:id="1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3" Target="media/rId153.png" /><Relationship Type="http://schemas.openxmlformats.org/officeDocument/2006/relationships/image" Id="rId160" Target="media/rId160.png" /><Relationship Type="http://schemas.openxmlformats.org/officeDocument/2006/relationships/image" Id="rId86" Target="media/rId86.png" /><Relationship Type="http://schemas.openxmlformats.org/officeDocument/2006/relationships/image" Id="rId142" Target="media/rId142.png" /><Relationship Type="http://schemas.openxmlformats.org/officeDocument/2006/relationships/image" Id="rId35" Target="media/rId35.png" /><Relationship Type="http://schemas.openxmlformats.org/officeDocument/2006/relationships/image" Id="rId134" Target="media/rId134.png" /><Relationship Type="http://schemas.openxmlformats.org/officeDocument/2006/relationships/image" Id="rId21" Target="media/rId21.png" /><Relationship Type="http://schemas.openxmlformats.org/officeDocument/2006/relationships/image" Id="rId131" Target="media/rId131.png" /><Relationship Type="http://schemas.openxmlformats.org/officeDocument/2006/relationships/image" Id="rId157" Target="media/rId157.png" /><Relationship Type="http://schemas.openxmlformats.org/officeDocument/2006/relationships/image" Id="rId127" Target="media/rId127.png" /><Relationship Type="http://schemas.openxmlformats.org/officeDocument/2006/relationships/image" Id="rId146" Target="media/rId146.png" /><Relationship Type="http://schemas.openxmlformats.org/officeDocument/2006/relationships/image" Id="rId18" Target="media/rId18.png" /><Relationship Type="http://schemas.openxmlformats.org/officeDocument/2006/relationships/image" Id="rId25" Target="media/rId25.png" /><Relationship Type="http://schemas.openxmlformats.org/officeDocument/2006/relationships/image" Id="rId121" Target="media/rId121.png" /><Relationship Type="http://schemas.openxmlformats.org/officeDocument/2006/relationships/image" Id="rId149" Target="media/rId149.png" /><Relationship Type="http://schemas.openxmlformats.org/officeDocument/2006/relationships/image" Id="rId114" Target="media/rId114.png" /><Relationship Type="http://schemas.openxmlformats.org/officeDocument/2006/relationships/image" Id="rId75" Target="media/rId75.png" /><Relationship Type="http://schemas.openxmlformats.org/officeDocument/2006/relationships/image" Id="rId72" Target="media/rId72.png" /><Relationship Type="http://schemas.openxmlformats.org/officeDocument/2006/relationships/image" Id="rId57" Target="media/rId57.png" /><Relationship Type="http://schemas.openxmlformats.org/officeDocument/2006/relationships/image" Id="rId91" Target="media/rId91.png" /><Relationship Type="http://schemas.openxmlformats.org/officeDocument/2006/relationships/image" Id="rId47" Target="media/rId47.png" /><Relationship Type="http://schemas.openxmlformats.org/officeDocument/2006/relationships/image" Id="rId79" Target="media/rId79.png" /><Relationship Type="http://schemas.openxmlformats.org/officeDocument/2006/relationships/image" Id="rId98" Target="media/rId98.png" /><Relationship Type="http://schemas.openxmlformats.org/officeDocument/2006/relationships/image" Id="rId50" Target="media/rId50.png" /><Relationship Type="http://schemas.openxmlformats.org/officeDocument/2006/relationships/image" Id="rId68" Target="media/rId68.png" /><Relationship Type="http://schemas.openxmlformats.org/officeDocument/2006/relationships/image" Id="rId60" Target="media/rId60.png" /><Relationship Type="http://schemas.openxmlformats.org/officeDocument/2006/relationships/image" Id="rId95" Target="media/rId95.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image" Id="rId40" Target="media/rId40.png" /><Relationship Type="http://schemas.openxmlformats.org/officeDocument/2006/relationships/image" Id="rId138" Target="media/rId138.png" /><Relationship Type="http://schemas.openxmlformats.org/officeDocument/2006/relationships/image" Id="rId110" Target="media/rId110.png" /><Relationship Type="http://schemas.openxmlformats.org/officeDocument/2006/relationships/image" Id="rId10" Target="media/rId10.png" /><Relationship Type="http://schemas.openxmlformats.org/officeDocument/2006/relationships/image" Id="rId54" Target="media/rId54.png" /><Relationship Type="http://schemas.openxmlformats.org/officeDocument/2006/relationships/image" Id="rId117" Target="media/rId117.png" /><Relationship Type="http://schemas.openxmlformats.org/officeDocument/2006/relationships/hyperlink" Id="rId177" Target="https://fred.stlouisfed.org/series/OVXCLS" TargetMode="External" /><Relationship Type="http://schemas.openxmlformats.org/officeDocument/2006/relationships/hyperlink" Id="rId175" Target="https://publications.opec.org/momr/chapter/147/2738" TargetMode="External" /><Relationship Type="http://schemas.openxmlformats.org/officeDocument/2006/relationships/hyperlink" Id="rId173" Target="https://www.eia.gov/dnav/pet/pet_sum_sndw_dcus_nus_w.htm" TargetMode="External" /><Relationship Type="http://schemas.openxmlformats.org/officeDocument/2006/relationships/hyperlink" Id="rId170" Target="https://www.eia.gov/international/analysis/special-topics/World_Oil_Transit_Chokepoints" TargetMode="External" /><Relationship Type="http://schemas.openxmlformats.org/officeDocument/2006/relationships/hyperlink" Id="rId171" Target="https://www.iea.org/about/oil-security-and-emergency-response/strait-of-hormuz" TargetMode="External" /><Relationship Type="http://schemas.openxmlformats.org/officeDocument/2006/relationships/hyperlink" Id="rId172" Target="https://www.iea.org/news/iea-governing-board-concludes-2022-collective-actions" TargetMode="External" /><Relationship Type="http://schemas.openxmlformats.org/officeDocument/2006/relationships/hyperlink" Id="rId174" Target="https://www.jodidata.org/oil/" TargetMode="External" /><Relationship Type="http://schemas.openxmlformats.org/officeDocument/2006/relationships/hyperlink" Id="rId176" Target="https://www.matteoiacoviello.com/gpr.htm" TargetMode="External" /></Relationships>
</file>

<file path=word/_rels/footnotes.xml.rels><?xml version="1.0" encoding="UTF-8"?><Relationships xmlns="http://schemas.openxmlformats.org/package/2006/relationships"><Relationship Type="http://schemas.openxmlformats.org/officeDocument/2006/relationships/hyperlink" Id="rId177" Target="https://fred.stlouisfed.org/series/OVXCLS" TargetMode="External" /><Relationship Type="http://schemas.openxmlformats.org/officeDocument/2006/relationships/hyperlink" Id="rId175" Target="https://publications.opec.org/momr/chapter/147/2738" TargetMode="External" /><Relationship Type="http://schemas.openxmlformats.org/officeDocument/2006/relationships/hyperlink" Id="rId173" Target="https://www.eia.gov/dnav/pet/pet_sum_sndw_dcus_nus_w.htm" TargetMode="External" /><Relationship Type="http://schemas.openxmlformats.org/officeDocument/2006/relationships/hyperlink" Id="rId170" Target="https://www.eia.gov/international/analysis/special-topics/World_Oil_Transit_Chokepoints" TargetMode="External" /><Relationship Type="http://schemas.openxmlformats.org/officeDocument/2006/relationships/hyperlink" Id="rId171" Target="https://www.iea.org/about/oil-security-and-emergency-response/strait-of-hormuz" TargetMode="External" /><Relationship Type="http://schemas.openxmlformats.org/officeDocument/2006/relationships/hyperlink" Id="rId172" Target="https://www.iea.org/news/iea-governing-board-concludes-2022-collective-actions" TargetMode="External" /><Relationship Type="http://schemas.openxmlformats.org/officeDocument/2006/relationships/hyperlink" Id="rId174" Target="https://www.jodidata.org/oil/" TargetMode="External" /><Relationship Type="http://schemas.openxmlformats.org/officeDocument/2006/relationships/hyperlink" Id="rId176" Target="https://www.matteoiacoviello.com/gpr.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2026-05-13T06:44:21Z</dcterms:created>
  <dcterms:modified xsi:type="dcterms:W3CDTF">2026-05-13T06:44:21Z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