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0.png" ContentType="image/png"/>
  <Override PartName="/word/media/rId177.png" ContentType="image/png"/>
  <Override PartName="/word/media/rId86.png" ContentType="image/png"/>
  <Override PartName="/word/media/rId159.png" ContentType="image/png"/>
  <Override PartName="/word/media/rId36.png" ContentType="image/png"/>
  <Override PartName="/word/media/rId151.png" ContentType="image/png"/>
  <Override PartName="/word/media/rId22.png" ContentType="image/png"/>
  <Override PartName="/word/media/rId148.png" ContentType="image/png"/>
  <Override PartName="/word/media/rId174.png" ContentType="image/png"/>
  <Override PartName="/word/media/rId139.png" ContentType="image/png"/>
  <Override PartName="/word/media/rId163.png" ContentType="image/png"/>
  <Override PartName="/word/media/rId19.png" ContentType="image/png"/>
  <Override PartName="/word/media/rId26.png" ContentType="image/png"/>
  <Override PartName="/word/media/rId133.png" ContentType="image/png"/>
  <Override PartName="/word/media/rId166.png" ContentType="image/png"/>
  <Override PartName="/word/media/rId123.png" ContentType="image/png"/>
  <Override PartName="/word/media/rId97.png" ContentType="image/png"/>
  <Override PartName="/word/media/rId101.png" ContentType="image/png"/>
  <Override PartName="/word/media/rId55.png" ContentType="image/png"/>
  <Override PartName="/word/media/rId93.png" ContentType="image/png"/>
  <Override PartName="/word/media/rId46.png" ContentType="image/png"/>
  <Override PartName="/word/media/rId79.png" ContentType="image/png"/>
  <Override PartName="/word/media/rId50.png" ContentType="image/png"/>
  <Override PartName="/word/media/rId67.png" ContentType="image/png"/>
  <Override PartName="/word/media/rId58.png" ContentType="image/png"/>
  <Override PartName="/word/media/rId105.png" ContentType="image/png"/>
  <Override PartName="/word/media/rId83.png" ContentType="image/png"/>
  <Override PartName="/word/media/rId74.png" ContentType="image/png"/>
  <Override PartName="/word/media/rId63.png" ContentType="image/png"/>
  <Override PartName="/word/media/rId70.png" ContentType="image/png"/>
  <Override PartName="/word/media/rId155.png" ContentType="image/png"/>
  <Override PartName="/word/media/rId119.png" ContentType="image/png"/>
  <Override PartName="/word/media/rId143.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霍尔木兹海峡封锁对国际原油价格影响的动态建模与情景预测</w:t>
      </w:r>
    </w:p>
    <w:p>
      <w:pPr>
        <w:pStyle w:val="Author"/>
      </w:pPr>
      <w:r>
        <w:rPr>
          <w:rFonts w:hint="eastAsia"/>
        </w:rPr>
        <w:t xml:space="preserve">数学建模</w:t>
      </w:r>
      <w:r>
        <w:t xml:space="preserve"> A </w:t>
      </w:r>
      <w:r>
        <w:rPr>
          <w:rFonts w:hint="eastAsia"/>
        </w:rPr>
        <w:t xml:space="preserve">题项目组</w:t>
      </w:r>
    </w:p>
    <w:p>
      <w:pPr>
        <w:pStyle w:val="Date"/>
      </w:pPr>
      <w:r>
        <w:t xml:space="preserve">2026 </w:t>
      </w:r>
      <w:r>
        <w:rPr>
          <w:rFonts w:hint="eastAsia"/>
        </w:rPr>
        <w:t xml:space="preserve">年</w:t>
      </w:r>
      <w:r>
        <w:t xml:space="preserve"> 5 </w:t>
      </w:r>
      <w:r>
        <w:rPr>
          <w:rFonts w:hint="eastAsia"/>
        </w:rPr>
        <w:t xml:space="preserve">月</w:t>
      </w:r>
    </w:p>
    <w:sdt>
      <w:sdtPr>
        <w:docPartObj>
          <w:docPartGallery w:val="Table of Contents"/>
          <w:docPartUnique/>
        </w:docPartObj>
      </w:sdtPr>
      <w:sdtContent>
        <w:p>
          <w:pPr>
            <w:pStyle w:val="TOCHeading"/>
          </w:pPr>
          <w:r>
            <w:t xml:space="preserve">目录</w:t>
          </w:r>
        </w:p>
        <w:p>
          <w:r>
            <w:fldChar w:fldCharType="begin" w:dirty="true"/>
            <w:instrText xml:space="preserve">TOC \o "1-2" \h \z \u</w:instrText>
            <w:fldChar w:fldCharType="separate"/>
            <w:fldChar w:fldCharType="end"/>
          </w:r>
        </w:p>
      </w:sdtContent>
    </w:sdt>
    <w:p>
      <w:pPr>
        <w:pStyle w:val="FirstParagraph"/>
      </w:pPr>
      <w:r>
        <w:rPr>
          <w:rFonts w:hint="eastAsia"/>
          <w:b/>
          <w:bCs/>
        </w:rPr>
        <w:t xml:space="preserve">霍尔木兹海峡封锁对国际原油价格影响的</w:t>
      </w:r>
      <w:r>
        <w:br/>
      </w:r>
      <w:r>
        <w:rPr>
          <w:rFonts w:hint="eastAsia"/>
          <w:b/>
          <w:bCs/>
        </w:rPr>
        <w:t xml:space="preserve">动态建模与情景预测</w:t>
      </w:r>
    </w:p>
    <w:p>
      <w:r>
        <w:pict>
          <v:rect style="width:0;height:1.5pt" o:hralign="center" o:hrstd="t" o:hr="t"/>
        </w:pict>
      </w:r>
    </w:p>
    <w:p>
      <w:pPr>
        <w:pStyle w:val="FirstParagraph"/>
      </w:pPr>
      <w:r>
        <w:rPr>
          <w:rFonts w:hint="eastAsia"/>
        </w:rPr>
        <w:t xml:space="preserve">数学建模</w:t>
      </w:r>
      <w:r>
        <w:t xml:space="preserve"> A </w:t>
      </w:r>
      <w:r>
        <w:rPr>
          <w:rFonts w:hint="eastAsia"/>
        </w:rPr>
        <w:t xml:space="preserve">题项目组</w:t>
      </w:r>
    </w:p>
    <w:p>
      <w:pPr>
        <w:pStyle w:val="BodyText"/>
      </w:pPr>
      <w:r>
        <w:t xml:space="preserve">2026 </w:t>
      </w:r>
      <w:r>
        <w:rPr>
          <w:rFonts w:hint="eastAsia"/>
        </w:rPr>
        <w:t xml:space="preserve">年</w:t>
      </w:r>
      <w:r>
        <w:t xml:space="preserve"> 5 </w:t>
      </w:r>
      <w:r>
        <w:rPr>
          <w:rFonts w:hint="eastAsia"/>
        </w:rPr>
        <w:t xml:space="preserve">月</w:t>
      </w:r>
    </w:p>
    <w:p>
      <w:pPr>
        <w:pStyle w:val="BodyText"/>
      </w:pPr>
      <w:r>
        <w:rPr>
          <w:rFonts w:hint="eastAsia"/>
          <w:b/>
          <w:bCs/>
        </w:rPr>
        <w:t xml:space="preserve">摘要</w:t>
      </w:r>
    </w:p>
    <w:p>
      <w:pPr>
        <w:pStyle w:val="BodyText"/>
      </w:pPr>
      <w:r>
        <w:rPr>
          <w:rFonts w:hint="eastAsia"/>
        </w:rPr>
        <w:t xml:space="preserve">霍尔木兹海峡是全球原油运输的关键咽喉。若发生封锁，供应中断、地缘风险重估、战略储备释放、商业库存缓冲、绕道运输恢复和市场预期修复会共同作用于国际原油价格。本文以附件布伦特原油期货主力合约价格数据为基础，建立</w:t>
      </w:r>
      <w:r>
        <w:rPr>
          <w:rFonts w:hint="eastAsia"/>
        </w:rPr>
        <w:t xml:space="preserve">“传统供需基准–短期冲击模型–中长期油价调节模型–敏感性分析”</w:t>
      </w:r>
      <w:r>
        <w:rPr>
          <w:rFonts w:hint="eastAsia"/>
        </w:rPr>
        <w:t xml:space="preserve">的模型链条。</w:t>
      </w:r>
    </w:p>
    <w:p>
      <w:pPr>
        <w:pStyle w:val="BodyText"/>
      </w:pPr>
      <w:r>
        <w:rPr>
          <w:rFonts w:hint="eastAsia"/>
        </w:rPr>
        <w:t xml:space="preserve">针对任务一，本文清洗</w:t>
      </w:r>
      <w:r>
        <w:t xml:space="preserve"> 2017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5 </w:t>
      </w:r>
      <w:r>
        <w:rPr>
          <w:rFonts w:hint="eastAsia"/>
        </w:rPr>
        <w:t xml:space="preserve">月的原始价格序列，截取</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日为冲突窗口。附件数据显示，窗口内最高收盘价为</w:t>
      </w:r>
      <w:r>
        <w:t xml:space="preserve"> 114.06 </w:t>
      </w:r>
      <w:r>
        <w:rPr>
          <w:rFonts w:hint="eastAsia"/>
        </w:rPr>
        <w:t xml:space="preserve">美元/桶，最高盘中价为</w:t>
      </w:r>
      <w:r>
        <w:t xml:space="preserve"> 119.50 </w:t>
      </w:r>
      <w:r>
        <w:rPr>
          <w:rFonts w:hint="eastAsia"/>
        </w:rPr>
        <w:t xml:space="preserve">美元/桶。按题面短期低弹性和供应中断范围建立线性需求反事实基准，可得</w:t>
      </w:r>
      <w:r>
        <w:t xml:space="preserve"> 278–337 </w:t>
      </w:r>
      <w:r>
        <w:rPr>
          <w:rFonts w:hint="eastAsia"/>
        </w:rPr>
        <w:t xml:space="preserve">美元/桶的理论压力区间；常弹性需求口径会给出更高的机械上界。两种口径均显著高于附件真实价格，说明必须引入政策缓冲、需求收缩、价格传导折价和市场预期修复。</w:t>
      </w:r>
    </w:p>
    <w:p>
      <w:pPr>
        <w:pStyle w:val="BodyText"/>
      </w:pPr>
      <w:r>
        <w:rPr>
          <w:rFonts w:hint="eastAsia"/>
        </w:rPr>
        <w:t xml:space="preserve">为解释日度价格路径，本文构建短期冲击模型：物理供需层纳入供应中断、SPR</w:t>
      </w:r>
      <w:r>
        <w:t xml:space="preserve"> </w:t>
      </w:r>
      <w:r>
        <w:rPr>
          <w:rFonts w:hint="eastAsia"/>
        </w:rPr>
        <w:t xml:space="preserve">释放、商业库存、绕道运输、需求收缩和恐慌衰减，市场价格形成层纳入地缘风险溢价、冲击不确定性、持续封锁制度风险、缓冲确认折价和预期修复折价。其中，缓冲确认与预期修复由</w:t>
      </w:r>
      <w:r>
        <w:t xml:space="preserve"> </w:t>
      </w:r>
      <w:r>
        <w:rPr>
          <w:rFonts w:hint="eastAsia"/>
        </w:rPr>
        <w:t xml:space="preserve">SPR、库存和绕道对总短缺压力的覆盖率触发，而不是单纯按日历时间外生扣减。短期冲击模型在</w:t>
      </w:r>
      <w:r>
        <w:t xml:space="preserve"> 46 </w:t>
      </w:r>
      <w:r>
        <w:rPr>
          <w:rFonts w:hint="eastAsia"/>
        </w:rPr>
        <w:t xml:space="preserve">个交易日内取得</w:t>
      </w:r>
      <w:r>
        <w:t xml:space="preserve"> RMSE </w:t>
      </w:r>
      <w:r>
        <w:rPr>
          <w:rFonts w:hint="eastAsia"/>
        </w:rPr>
        <w:t xml:space="preserve">为</w:t>
      </w:r>
      <w:r>
        <w:t xml:space="preserve"> 3.38 </w:t>
      </w:r>
      <w:r>
        <w:rPr>
          <w:rFonts w:hint="eastAsia"/>
        </w:rPr>
        <w:t xml:space="preserve">美元/桶、MAE</w:t>
      </w:r>
      <w:r>
        <w:t xml:space="preserve"> </w:t>
      </w:r>
      <w:r>
        <w:rPr>
          <w:rFonts w:hint="eastAsia"/>
        </w:rPr>
        <w:t xml:space="preserve">为</w:t>
      </w:r>
      <w:r>
        <w:t xml:space="preserve"> 2.76 </w:t>
      </w:r>
      <w:r>
        <w:rPr>
          <w:rFonts w:hint="eastAsia"/>
        </w:rPr>
        <w:t xml:space="preserve">美元/桶、MAPE</w:t>
      </w:r>
      <w:r>
        <w:t xml:space="preserve"> </w:t>
      </w:r>
      <w:r>
        <w:rPr>
          <w:rFonts w:hint="eastAsia"/>
        </w:rPr>
        <w:t xml:space="preserve">为</w:t>
      </w:r>
      <w:r>
        <w:t xml:space="preserve"> 2.76% </w:t>
      </w:r>
      <w:r>
        <w:rPr>
          <w:rFonts w:hint="eastAsia"/>
        </w:rPr>
        <w:t xml:space="preserve">的拟合效果，并优于上一日价格朴素基准和滚动</w:t>
      </w:r>
      <w:r>
        <w:t xml:space="preserve"> ARIMA </w:t>
      </w:r>
      <w:r>
        <w:rPr>
          <w:rFonts w:hint="eastAsia"/>
        </w:rPr>
        <w:t xml:space="preserve">基准。加入仅使用历史滞后价格特征的阶段</w:t>
      </w:r>
      <w:r>
        <w:t xml:space="preserve"> Ridge </w:t>
      </w:r>
      <w:r>
        <w:rPr>
          <w:rFonts w:hint="eastAsia"/>
        </w:rPr>
        <w:t xml:space="preserve">收益率辅助层后，RMSE</w:t>
      </w:r>
      <w:r>
        <w:t xml:space="preserve"> </w:t>
      </w:r>
      <w:r>
        <w:rPr>
          <w:rFonts w:hint="eastAsia"/>
        </w:rPr>
        <w:t xml:space="preserve">进一步降至</w:t>
      </w:r>
      <w:r>
        <w:t xml:space="preserve"> 3.18 </w:t>
      </w:r>
      <w:r>
        <w:rPr>
          <w:rFonts w:hint="eastAsia"/>
        </w:rPr>
        <w:t xml:space="preserve">美元/桶、方向命中率为</w:t>
      </w:r>
      <w:r>
        <w:t xml:space="preserve"> </w:t>
      </w:r>
      <w:r>
        <w:rPr>
          <w:rFonts w:hint="eastAsia"/>
        </w:rPr>
        <w:t xml:space="preserve">68.9%。滞后平移、拐点、机制消融和结构稳定性检验表明，模型不是简单滞后复制，110–120</w:t>
      </w:r>
      <w:r>
        <w:t xml:space="preserve"> </w:t>
      </w:r>
      <w:r>
        <w:rPr>
          <w:rFonts w:hint="eastAsia"/>
        </w:rPr>
        <w:t xml:space="preserve">美元平台也不是外生设定的价格上限。</w:t>
      </w:r>
    </w:p>
    <w:p>
      <w:pPr>
        <w:pStyle w:val="BodyText"/>
      </w:pPr>
      <w:r>
        <w:rPr>
          <w:rFonts w:hint="eastAsia"/>
        </w:rPr>
        <w:t xml:space="preserve">针对任务二，本文构建中长期油价调节模型，给出</w:t>
      </w:r>
      <w:r>
        <w:t xml:space="preserve"> 60–180 </w:t>
      </w:r>
      <w:r>
        <w:rPr>
          <w:rFonts w:hint="eastAsia"/>
        </w:rPr>
        <w:t xml:space="preserve">天乐观、中性、悲观三种情景路径，并将</w:t>
      </w:r>
      <w:r>
        <w:t xml:space="preserve"> EIA、JODI、OPEC </w:t>
      </w:r>
      <w:r>
        <w:rPr>
          <w:rFonts w:hint="eastAsia"/>
        </w:rPr>
        <w:t xml:space="preserve">官方外生数据和</w:t>
      </w:r>
      <w:r>
        <w:t xml:space="preserve"> OVX </w:t>
      </w:r>
      <w:r>
        <w:rPr>
          <w:rFonts w:hint="eastAsia"/>
        </w:rPr>
        <w:t xml:space="preserve">市场隐含波动率推进到中长期参数约束层。中长期油价调节模型显示，中性情景第</w:t>
      </w:r>
      <w:r>
        <w:t xml:space="preserve"> 180 </w:t>
      </w:r>
      <w:r>
        <w:rPr>
          <w:rFonts w:hint="eastAsia"/>
        </w:rPr>
        <w:t xml:space="preserve">天价格约为</w:t>
      </w:r>
      <w:r>
        <w:t xml:space="preserve"> 94.15 </w:t>
      </w:r>
      <w:r>
        <w:rPr>
          <w:rFonts w:hint="eastAsia"/>
        </w:rPr>
        <w:t xml:space="preserve">美元/桶，悲观情景第</w:t>
      </w:r>
      <w:r>
        <w:t xml:space="preserve"> 180 </w:t>
      </w:r>
      <w:r>
        <w:rPr>
          <w:rFonts w:hint="eastAsia"/>
        </w:rPr>
        <w:t xml:space="preserve">天约为</w:t>
      </w:r>
      <w:r>
        <w:t xml:space="preserve"> 110.16 </w:t>
      </w:r>
      <w:r>
        <w:rPr>
          <w:rFonts w:hint="eastAsia"/>
        </w:rPr>
        <w:t xml:space="preserve">美元/桶，且仍保留二次跳涨风险。敏感性分析表明，封锁风险衰减速度、地缘风险权重、不确定性与制度风险强度是综合敏感度最高的三个因素。2000</w:t>
      </w:r>
      <w:r>
        <w:t xml:space="preserve"> </w:t>
      </w:r>
      <w:r>
        <w:rPr>
          <w:rFonts w:hint="eastAsia"/>
        </w:rPr>
        <w:t xml:space="preserve">次蒙特卡洛情景树显示，第</w:t>
      </w:r>
      <w:r>
        <w:t xml:space="preserve"> 180 </w:t>
      </w:r>
      <w:r>
        <w:rPr>
          <w:rFonts w:hint="eastAsia"/>
        </w:rPr>
        <w:t xml:space="preserve">天价格</w:t>
      </w:r>
      <w:r>
        <w:t xml:space="preserve"> 5%–95% </w:t>
      </w:r>
      <w:r>
        <w:rPr>
          <w:rFonts w:hint="eastAsia"/>
        </w:rPr>
        <w:t xml:space="preserve">区间为</w:t>
      </w:r>
      <w:r>
        <w:t xml:space="preserve"> 89.58–106.44 </w:t>
      </w:r>
      <w:r>
        <w:rPr>
          <w:rFonts w:hint="eastAsia"/>
        </w:rPr>
        <w:t xml:space="preserve">美元/桶，外推期最高价突破</w:t>
      </w:r>
      <w:r>
        <w:t xml:space="preserve"> 120 </w:t>
      </w:r>
      <w:r>
        <w:rPr>
          <w:rFonts w:hint="eastAsia"/>
        </w:rPr>
        <w:t xml:space="preserve">美元/桶的条件概率约为</w:t>
      </w:r>
      <w:r>
        <w:t xml:space="preserve"> </w:t>
      </w:r>
      <w:r>
        <w:rPr>
          <w:rFonts w:hint="eastAsia"/>
        </w:rPr>
        <w:t xml:space="preserve">16.3%。进一步引入受</w:t>
      </w:r>
      <w:r>
        <w:t xml:space="preserve"> GPR </w:t>
      </w:r>
      <w:r>
        <w:rPr>
          <w:rFonts w:hint="eastAsia"/>
        </w:rPr>
        <w:t xml:space="preserve">与</w:t>
      </w:r>
      <w:r>
        <w:t xml:space="preserve"> OVX </w:t>
      </w:r>
      <w:r>
        <w:rPr>
          <w:rFonts w:hint="eastAsia"/>
        </w:rPr>
        <w:t xml:space="preserve">约束的三状态转移扰动后，外推期最高价</w:t>
      </w:r>
      <w:r>
        <w:t xml:space="preserve"> P95 </w:t>
      </w:r>
      <w:r>
        <w:rPr>
          <w:rFonts w:hint="eastAsia"/>
        </w:rPr>
        <w:t xml:space="preserve">为</w:t>
      </w:r>
      <w:r>
        <w:t xml:space="preserve"> 130.51 </w:t>
      </w:r>
      <w:r>
        <w:rPr>
          <w:rFonts w:hint="eastAsia"/>
        </w:rPr>
        <w:t xml:space="preserve">美元/桶，突破</w:t>
      </w:r>
      <w:r>
        <w:t xml:space="preserve"> 120 </w:t>
      </w:r>
      <w:r>
        <w:rPr>
          <w:rFonts w:hint="eastAsia"/>
        </w:rPr>
        <w:t xml:space="preserve">美元/桶的条件概率为</w:t>
      </w:r>
      <w:r>
        <w:t xml:space="preserve"> 38.3%。GPR </w:t>
      </w:r>
      <w:r>
        <w:rPr>
          <w:rFonts w:hint="eastAsia"/>
        </w:rPr>
        <w:t xml:space="preserve">滞后检验、OVX</w:t>
      </w:r>
      <w:r>
        <w:t xml:space="preserve"> </w:t>
      </w:r>
      <w:r>
        <w:rPr>
          <w:rFonts w:hint="eastAsia"/>
        </w:rPr>
        <w:t xml:space="preserve">隐含波动率检验和</w:t>
      </w:r>
      <w:r>
        <w:t xml:space="preserve"> 2017–2026 </w:t>
      </w:r>
      <w:r>
        <w:rPr>
          <w:rFonts w:hint="eastAsia"/>
        </w:rPr>
        <w:t xml:space="preserve">年历史同长度窗口检验说明，2026</w:t>
      </w:r>
      <w:r>
        <w:t xml:space="preserve"> </w:t>
      </w:r>
      <w:r>
        <w:rPr>
          <w:rFonts w:hint="eastAsia"/>
        </w:rPr>
        <w:t xml:space="preserve">冲突窗口具有罕见地缘风险和高波动特征；外部风险指标在本文中用于中长期约束和风险校验，不作为短期同步拟合因子。</w:t>
      </w:r>
    </w:p>
    <w:p>
      <w:pPr>
        <w:pStyle w:val="BodyText"/>
      </w:pPr>
      <w:r>
        <w:rPr>
          <w:rFonts w:hint="eastAsia"/>
          <w:b/>
          <w:bCs/>
        </w:rPr>
        <w:t xml:space="preserve">关键词：</w:t>
      </w:r>
      <w:r>
        <w:t xml:space="preserve"> </w:t>
      </w:r>
      <w:r>
        <w:rPr>
          <w:rFonts w:hint="eastAsia"/>
        </w:rPr>
        <w:t xml:space="preserve">霍尔木兹海峡；原油价格；短期冲击模型；中长期油价调节模型；战略石油储备；敏感性分析</w:t>
      </w:r>
    </w:p>
    <w:p>
      <w:pPr>
        <w:pStyle w:val="BodyText"/>
      </w:pPr>
      <w:r>
        <w:t xml:space="preserve"> </w:t>
      </w:r>
    </w:p>
    <w:bookmarkStart w:id="9" w:name="问题重述"/>
    <w:p>
      <w:pPr>
        <w:pStyle w:val="Heading1"/>
      </w:pPr>
      <w:r>
        <w:rPr>
          <w:rFonts w:hint="eastAsia"/>
        </w:rPr>
        <w:t xml:space="preserve">问题重述</w:t>
      </w:r>
    </w:p>
    <w:p>
      <w:pPr>
        <w:pStyle w:val="FirstParagraph"/>
      </w:pPr>
      <w:r>
        <w:rPr>
          <w:rFonts w:hint="eastAsia"/>
        </w:rPr>
        <w:t xml:space="preserve">霍尔木兹海峡连接波斯湾和阿曼湾，是中东原油进入国际市场的重要通道。若该通道发生封锁，全球原油市场将面对突发供应缺口。赛题要求分析封锁对国际原油价格的影响，并特别关注短期价格冲击、缓冲机制、持续</w:t>
      </w:r>
      <w:r>
        <w:t xml:space="preserve"> 60–180 </w:t>
      </w:r>
      <w:r>
        <w:rPr>
          <w:rFonts w:hint="eastAsia"/>
        </w:rPr>
        <w:t xml:space="preserve">天时的价格路径以及关键因素敏感性。</w:t>
      </w:r>
    </w:p>
    <w:p>
      <w:pPr>
        <w:pStyle w:val="BodyText"/>
      </w:pPr>
      <w:r>
        <w:rPr>
          <w:rFonts w:hint="eastAsia"/>
        </w:rPr>
        <w:t xml:space="preserve">本文将问题拆解为四个层次：</w:t>
      </w:r>
    </w:p>
    <w:p>
      <w:pPr>
        <w:numPr>
          <w:ilvl w:val="0"/>
          <w:numId w:val="1001"/>
        </w:numPr>
      </w:pPr>
      <w:r>
        <w:rPr>
          <w:rFonts w:hint="eastAsia"/>
        </w:rPr>
        <w:t xml:space="preserve">数据层：清洗附件价格数据，确定真实拟合口径和冲突窗口。</w:t>
      </w:r>
    </w:p>
    <w:p>
      <w:pPr>
        <w:numPr>
          <w:ilvl w:val="0"/>
          <w:numId w:val="1001"/>
        </w:numPr>
      </w:pPr>
      <w:r>
        <w:rPr>
          <w:rFonts w:hint="eastAsia"/>
        </w:rPr>
        <w:t xml:space="preserve">基准层：用传统低弹性供需模型估计无缓冲理论上界。</w:t>
      </w:r>
    </w:p>
    <w:p>
      <w:pPr>
        <w:numPr>
          <w:ilvl w:val="0"/>
          <w:numId w:val="1001"/>
        </w:numPr>
      </w:pPr>
      <w:r>
        <w:rPr>
          <w:rFonts w:hint="eastAsia"/>
        </w:rPr>
        <w:t xml:space="preserve">短期冲击层：引入</w:t>
      </w:r>
      <w:r>
        <w:t xml:space="preserve"> </w:t>
      </w:r>
      <w:r>
        <w:rPr>
          <w:rFonts w:hint="eastAsia"/>
        </w:rPr>
        <w:t xml:space="preserve">SPR、库存、绕道、需求调整、恐慌衰减和预期修复，解释</w:t>
      </w:r>
      <w:r>
        <w:t xml:space="preserve"> 0–60 </w:t>
      </w:r>
      <w:r>
        <w:rPr>
          <w:rFonts w:hint="eastAsia"/>
        </w:rPr>
        <w:t xml:space="preserve">天现实价格路径。</w:t>
      </w:r>
    </w:p>
    <w:p>
      <w:pPr>
        <w:numPr>
          <w:ilvl w:val="0"/>
          <w:numId w:val="1001"/>
        </w:numPr>
      </w:pPr>
      <w:r>
        <w:rPr>
          <w:rFonts w:hint="eastAsia"/>
        </w:rPr>
        <w:t xml:space="preserve">中长期调节层：构建</w:t>
      </w:r>
      <w:r>
        <w:t xml:space="preserve"> 60–180 </w:t>
      </w:r>
      <w:r>
        <w:rPr>
          <w:rFonts w:hint="eastAsia"/>
        </w:rPr>
        <w:t xml:space="preserve">天中长期油价调节模型，并通过敏感性分析识别关键变量。</w:t>
      </w:r>
    </w:p>
    <w:p>
      <w:pPr>
        <w:pStyle w:val="TableCaption"/>
      </w:pPr>
      <w:r>
        <w:rPr>
          <w:rFonts w:hint="eastAsia"/>
        </w:rPr>
        <w:t xml:space="preserve">赛题任务与本文模型回应</w:t>
      </w:r>
    </w:p>
    <w:tbl>
      <w:tblPr>
        <w:tblStyle w:val="Table"/>
        <w:tblW w:type="auto" w:w="0"/>
        <w:tblLook w:firstRow="1" w:lastRow="0" w:firstColumn="0" w:lastColumn="0" w:noHBand="0" w:noVBand="0" w:val="0020"/>
        <w:tblCaption w:val="赛题任务与本文模型回应"/>
      </w:tblPr>
      <w:tblGrid>
        <w:gridCol w:w="2640"/>
        <w:gridCol w:w="2640"/>
        <w:gridCol w:w="2640"/>
      </w:tblGrid>
      <w:tr>
        <w:trPr>
          <w:tblHeader w:val="on"/>
        </w:trPr>
        <w:tc>
          <w:tcPr/>
          <w:p>
            <w:pPr>
              <w:pStyle w:val="Compact"/>
              <w:jc w:val="left"/>
            </w:pPr>
            <w:r>
              <w:rPr>
                <w:rFonts w:hint="eastAsia"/>
              </w:rPr>
              <w:t xml:space="preserve">赛题要求</w:t>
            </w:r>
          </w:p>
        </w:tc>
        <w:tc>
          <w:tcPr/>
          <w:p>
            <w:pPr>
              <w:pStyle w:val="Compact"/>
              <w:jc w:val="left"/>
            </w:pPr>
            <w:r>
              <w:rPr>
                <w:rFonts w:hint="eastAsia"/>
              </w:rPr>
              <w:t xml:space="preserve">题面重点</w:t>
            </w:r>
          </w:p>
        </w:tc>
        <w:tc>
          <w:tcPr/>
          <w:p>
            <w:pPr>
              <w:pStyle w:val="Compact"/>
              <w:jc w:val="left"/>
            </w:pPr>
            <w:r>
              <w:rPr>
                <w:rFonts w:hint="eastAsia"/>
              </w:rPr>
              <w:t xml:space="preserve">本文回应</w:t>
            </w:r>
          </w:p>
        </w:tc>
      </w:tr>
      <w:tr>
        <w:tc>
          <w:tcPr/>
          <w:p>
            <w:pPr>
              <w:pStyle w:val="Compact"/>
              <w:jc w:val="left"/>
            </w:pPr>
            <w:r>
              <w:rPr>
                <w:rFonts w:hint="eastAsia"/>
              </w:rPr>
              <w:t xml:space="preserve">任务</w:t>
            </w:r>
            <w:r>
              <w:t xml:space="preserve"> </w:t>
            </w:r>
            <w:r>
              <w:rPr>
                <w:rFonts w:hint="eastAsia"/>
              </w:rPr>
              <w:t xml:space="preserve">1：短期冲击模型（0–60</w:t>
            </w:r>
            <w:r>
              <w:t xml:space="preserve"> </w:t>
            </w:r>
            <w:r>
              <w:rPr>
                <w:rFonts w:hint="eastAsia"/>
              </w:rPr>
              <w:t xml:space="preserve">天）</w:t>
            </w:r>
          </w:p>
        </w:tc>
        <w:tc>
          <w:tcPr/>
          <w:p>
            <w:pPr>
              <w:pStyle w:val="Compact"/>
              <w:jc w:val="left"/>
            </w:pPr>
            <w:r>
              <w:rPr>
                <w:rFonts w:hint="eastAsia"/>
              </w:rPr>
              <w:t xml:space="preserve">建立</w:t>
            </w:r>
            <w:r>
              <w:t xml:space="preserve"> 0–60 </w:t>
            </w:r>
            <w:r>
              <w:rPr>
                <w:rFonts w:hint="eastAsia"/>
              </w:rPr>
              <w:t xml:space="preserve">天日度供需平衡模型，使用附件布伦特原油价格数据，并考虑供应中断、SPR、库存、绕道、恐慌需求和短期弹性。</w:t>
            </w:r>
          </w:p>
        </w:tc>
        <w:tc>
          <w:tcPr/>
          <w:p>
            <w:pPr>
              <w:pStyle w:val="Compact"/>
              <w:jc w:val="left"/>
            </w:pPr>
            <w:r>
              <w:rPr>
                <w:rFonts w:hint="eastAsia"/>
              </w:rPr>
              <w:t xml:space="preserve">完成附件数据清洗、传统供需基准、短期冲击模型、参数校准和鲁棒性检验，给出</w:t>
            </w:r>
            <w:r>
              <w:t xml:space="preserve"> </w:t>
            </w:r>
            <w:r>
              <w:rPr>
                <w:rFonts w:hint="eastAsia"/>
              </w:rPr>
              <w:t xml:space="preserve">RMSE、MAE、MAPE、基准对比、滞后检验、机制消融和参数扰动测试。</w:t>
            </w:r>
          </w:p>
        </w:tc>
      </w:tr>
      <w:tr>
        <w:tc>
          <w:tcPr/>
          <w:p>
            <w:pPr>
              <w:pStyle w:val="Compact"/>
              <w:jc w:val="left"/>
            </w:pPr>
            <w:r>
              <w:rPr>
                <w:rFonts w:hint="eastAsia"/>
              </w:rPr>
              <w:t xml:space="preserve">任务</w:t>
            </w:r>
            <w:r>
              <w:t xml:space="preserve"> </w:t>
            </w:r>
            <w:r>
              <w:rPr>
                <w:rFonts w:hint="eastAsia"/>
              </w:rPr>
              <w:t xml:space="preserve">2：中长期油价调节模型（60–180</w:t>
            </w:r>
            <w:r>
              <w:t xml:space="preserve"> </w:t>
            </w:r>
            <w:r>
              <w:rPr>
                <w:rFonts w:hint="eastAsia"/>
              </w:rPr>
              <w:t xml:space="preserve">天）</w:t>
            </w:r>
          </w:p>
        </w:tc>
        <w:tc>
          <w:tcPr/>
          <w:p>
            <w:pPr>
              <w:pStyle w:val="Compact"/>
              <w:jc w:val="left"/>
            </w:pPr>
            <w:r>
              <w:rPr>
                <w:rFonts w:hint="eastAsia"/>
              </w:rPr>
              <w:t xml:space="preserve">若封锁持续到</w:t>
            </w:r>
            <w:r>
              <w:t xml:space="preserve"> 60–180 </w:t>
            </w:r>
            <w:r>
              <w:rPr>
                <w:rFonts w:hint="eastAsia"/>
              </w:rPr>
              <w:t xml:space="preserve">天，预测油价变化和价格平衡点，考虑增产、长期弹性、阿联酋增产约束和库存耗尽跳变风险。</w:t>
            </w:r>
          </w:p>
        </w:tc>
        <w:tc>
          <w:tcPr/>
          <w:p>
            <w:pPr>
              <w:pStyle w:val="Compact"/>
              <w:jc w:val="left"/>
            </w:pPr>
            <w:r>
              <w:rPr>
                <w:rFonts w:hint="eastAsia"/>
              </w:rPr>
              <w:t xml:space="preserve">构建乐观、中性、悲观三情景路径，给出第</w:t>
            </w:r>
            <w:r>
              <w:t xml:space="preserve"> 60/90/120/180 </w:t>
            </w:r>
            <w:r>
              <w:rPr>
                <w:rFonts w:hint="eastAsia"/>
              </w:rPr>
              <w:t xml:space="preserve">天价格、外推期峰值、库存风险、二次跳涨风险和关键参数敏感性排序。</w:t>
            </w:r>
          </w:p>
        </w:tc>
      </w:tr>
    </w:tbl>
    <w:bookmarkEnd w:id="9"/>
    <w:bookmarkStart w:id="17" w:name="问题分析与总体思路"/>
    <w:p>
      <w:pPr>
        <w:pStyle w:val="Heading1"/>
      </w:pPr>
      <w:r>
        <w:rPr>
          <w:rFonts w:hint="eastAsia"/>
        </w:rPr>
        <w:t xml:space="preserve">问题分析与总体思路</w:t>
      </w:r>
    </w:p>
    <w:p>
      <w:pPr>
        <w:pStyle w:val="FirstParagraph"/>
      </w:pPr>
      <w:r>
        <w:rPr>
          <w:rFonts w:hint="eastAsia"/>
        </w:rPr>
        <w:t xml:space="preserve">本题的难点不在于直接套用一个时间序列模型，而在于解释</w:t>
      </w:r>
      <w:r>
        <w:rPr>
          <w:rFonts w:hint="eastAsia"/>
        </w:rPr>
        <w:t xml:space="preserve">“为什么低弹性供需冲击会给出很高理论价格，而附件真实价格却停留在约</w:t>
      </w:r>
      <w:r>
        <w:t xml:space="preserve"> 110–120 </w:t>
      </w:r>
      <w:r>
        <w:rPr>
          <w:rFonts w:hint="eastAsia"/>
        </w:rPr>
        <w:t xml:space="preserve">美元/桶的平台附近”</w:t>
      </w:r>
      <w:r>
        <w:rPr>
          <w:rFonts w:hint="eastAsia"/>
        </w:rPr>
        <w:t xml:space="preserve">。因此，本文将建模思路分成三条互相支撑的证据线。</w:t>
      </w:r>
    </w:p>
    <w:p>
      <w:pPr>
        <w:numPr>
          <w:ilvl w:val="0"/>
          <w:numId w:val="1002"/>
        </w:numPr>
      </w:pPr>
      <w:r>
        <w:rPr>
          <w:rFonts w:hint="eastAsia"/>
        </w:rPr>
        <w:t xml:space="preserve">先建立传统供需基准，用题面低短期弹性和供应中断范围计算无缓冲理论上界，作为后续动态模型的反事实参照。</w:t>
      </w:r>
    </w:p>
    <w:p>
      <w:pPr>
        <w:numPr>
          <w:ilvl w:val="0"/>
          <w:numId w:val="1002"/>
        </w:numPr>
      </w:pPr>
      <w:r>
        <w:rPr>
          <w:rFonts w:hint="eastAsia"/>
        </w:rPr>
        <w:t xml:space="preserve">再建立短期冲击模型，把</w:t>
      </w:r>
      <w:r>
        <w:t xml:space="preserve"> </w:t>
      </w:r>
      <w:r>
        <w:rPr>
          <w:rFonts w:hint="eastAsia"/>
        </w:rPr>
        <w:t xml:space="preserve">SPR、商业库存、绕道运输、需求收缩、恐慌衰减和预期修复纳入同一日度递推框架，解释附件冲突窗口内的真实价格路径。</w:t>
      </w:r>
    </w:p>
    <w:p>
      <w:pPr>
        <w:numPr>
          <w:ilvl w:val="0"/>
          <w:numId w:val="1002"/>
        </w:numPr>
      </w:pPr>
      <w:r>
        <w:rPr>
          <w:rFonts w:hint="eastAsia"/>
        </w:rPr>
        <w:t xml:space="preserve">最后建立中长期油价调节模型，并通过三情景预测、敏感性分析、蒙特卡洛情景树、滞后地缘风险指数检验和历史样本稳健性检验识别影响长期价格平衡点和二次跳涨风险的关键变量。</w:t>
      </w:r>
    </w:p>
    <w:bookmarkStart w:id="10" w:name="fig:paper-roadmap"/>
    <w:tbl>
      <w:tblPr>
        <w:tblStyle w:val="FigureTable"/>
        <w:tblW w:type="auto" w:w="0"/>
        <w:jc w:val="center"/>
        <w:tblLook w:firstRow="0" w:lastRow="0" w:firstColumn="0" w:lastColumn="0"/>
      </w:tblPr>
      <w:tblGrid/>
    </w:tbl>
    <w:p>
      <w:pPr>
        <w:pStyle w:val="ImageCaption"/>
      </w:pPr>
      <w:r>
        <w:rPr>
          <w:rFonts w:hint="eastAsia"/>
        </w:rPr>
        <w:t xml:space="preserve">本文总体技术路线</w:t>
      </w:r>
    </w:p>
    <w:bookmarkEnd w:id="10"/>
    <w:p>
      <w:pPr>
        <w:pStyle w:val="BodyText"/>
      </w:pPr>
      <w:r>
        <w:rPr>
          <w:rFonts w:hint="eastAsia"/>
        </w:rPr>
        <w:t xml:space="preserve">这一技术路线的核心原则是：真实价格只来自附件数据；长期部分采用情景预测和区间表达；模型检验覆盖朴素基准、滞后复制、参数过拟合和结构稳定性等关键边界。</w:t>
      </w:r>
    </w:p>
    <w:p>
      <w:pPr>
        <w:pStyle w:val="BodyText"/>
      </w:pPr>
      <w:r>
        <w:rPr>
          <w:rFonts w:hint="eastAsia"/>
        </w:rPr>
        <w:t xml:space="preserve">最终论文使用赛题给定的两个模型名称组织主线：任务</w:t>
      </w:r>
      <w:r>
        <w:t xml:space="preserve"> 1 </w:t>
      </w:r>
      <w:r>
        <w:rPr>
          <w:rFonts w:hint="eastAsia"/>
        </w:rPr>
        <w:t xml:space="preserve">为短期冲击模型，任务</w:t>
      </w:r>
      <w:r>
        <w:t xml:space="preserve"> 2 </w:t>
      </w:r>
      <w:r>
        <w:rPr>
          <w:rFonts w:hint="eastAsia"/>
        </w:rPr>
        <w:t xml:space="preserve">为中长期油价调节模型。传统供需模型用于提供反事实基准；三情景、蒙特卡洛和状态转移情景树是中长期油价调节模型内部的条件外推方法；消融实验、敏感性分析和蒙特卡洛情景树用于证明因素是否值得保留，并刻画多因素同时恶化时的尾部风险。因素纳入原则见</w:t>
      </w:r>
      <w:hyperlink w:anchor="tab:factor-inclusion">
        <w:r>
          <w:rPr>
            <w:rStyle w:val="Hyperlink"/>
          </w:rPr>
          <w:t xml:space="preserve">1</w:t>
        </w:r>
      </w:hyperlink>
      <w:r>
        <w:t xml:space="preserve">。</w:t>
      </w:r>
    </w:p>
    <w:bookmarkStart w:id="11" w:name="tab:factor-inclusion"/>
    <w:p>
      <w:pPr>
        <w:pStyle w:val="TableCaption"/>
      </w:pPr>
      <w:r>
        <w:rPr>
          <w:rFonts w:hint="eastAsia"/>
        </w:rPr>
        <w:t xml:space="preserve">因素纳入原则</w:t>
      </w:r>
    </w:p>
    <w:tbl>
      <w:tblPr>
        <w:tblStyle w:val="Table"/>
        <w:tblW w:type="auto" w:w="0"/>
        <w:tblLook w:firstRow="1" w:lastRow="0" w:firstColumn="0" w:lastColumn="0" w:noHBand="0" w:noVBand="0" w:val="0020"/>
        <w:tblCaption w:val="因素纳入原则"/>
      </w:tblPr>
      <w:tblGrid>
        <w:gridCol w:w="2640"/>
        <w:gridCol w:w="2640"/>
        <w:gridCol w:w="2640"/>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因素</w:t>
            </w:r>
          </w:p>
        </w:tc>
        <w:tc>
          <w:tcPr/>
          <w:p>
            <w:pPr>
              <w:pStyle w:val="Compact"/>
              <w:jc w:val="left"/>
            </w:pPr>
            <w:r>
              <w:rPr>
                <w:rFonts w:hint="eastAsia"/>
              </w:rPr>
              <w:t xml:space="preserve">处理方式</w:t>
            </w:r>
          </w:p>
        </w:tc>
      </w:tr>
      <w:tr>
        <w:tc>
          <w:tcPr/>
          <w:p>
            <w:pPr>
              <w:pStyle w:val="Compact"/>
              <w:jc w:val="left"/>
            </w:pPr>
            <w:r>
              <w:rPr>
                <w:rFonts w:hint="eastAsia"/>
              </w:rPr>
              <w:t xml:space="preserve">短期冲击模型物理层</w:t>
            </w:r>
          </w:p>
        </w:tc>
        <w:tc>
          <w:tcPr/>
          <w:p>
            <w:pPr>
              <w:pStyle w:val="Compact"/>
              <w:jc w:val="left"/>
            </w:pPr>
            <w:r>
              <w:rPr>
                <w:rFonts w:hint="eastAsia"/>
              </w:rPr>
              <w:t xml:space="preserve">供应中断、短期弹性、SPR、商业库存、绕道运输、需求收缩、恐慌衰减</w:t>
            </w:r>
          </w:p>
        </w:tc>
        <w:tc>
          <w:tcPr/>
          <w:p>
            <w:pPr>
              <w:pStyle w:val="Compact"/>
              <w:jc w:val="left"/>
            </w:pPr>
            <w:r>
              <w:rPr>
                <w:rFonts w:hint="eastAsia"/>
              </w:rPr>
              <w:t xml:space="preserve">进入短期冲击模型，参与</w:t>
            </w:r>
            <w:r>
              <w:t xml:space="preserve"> 0–60 </w:t>
            </w:r>
            <w:r>
              <w:rPr>
                <w:rFonts w:hint="eastAsia"/>
              </w:rPr>
              <w:t xml:space="preserve">天路径拟合与机制解释</w:t>
            </w:r>
          </w:p>
        </w:tc>
      </w:tr>
      <w:tr>
        <w:tc>
          <w:tcPr/>
          <w:p>
            <w:pPr>
              <w:pStyle w:val="Compact"/>
              <w:jc w:val="left"/>
            </w:pPr>
            <w:r>
              <w:rPr>
                <w:rFonts w:hint="eastAsia"/>
              </w:rPr>
              <w:t xml:space="preserve">短期冲击模型价格形成层</w:t>
            </w:r>
          </w:p>
        </w:tc>
        <w:tc>
          <w:tcPr/>
          <w:p>
            <w:pPr>
              <w:pStyle w:val="Compact"/>
              <w:jc w:val="left"/>
            </w:pPr>
            <w:r>
              <w:rPr>
                <w:rFonts w:hint="eastAsia"/>
              </w:rPr>
              <w:t xml:space="preserve">地缘风险溢价、冲击不确定性、持续封锁制度风险、缓冲确认折价、预期修复折价</w:t>
            </w:r>
          </w:p>
        </w:tc>
        <w:tc>
          <w:tcPr/>
          <w:p>
            <w:pPr>
              <w:pStyle w:val="Compact"/>
              <w:jc w:val="left"/>
            </w:pPr>
            <w:r>
              <w:rPr>
                <w:rFonts w:hint="eastAsia"/>
              </w:rPr>
              <w:t xml:space="preserve">进入短期冲击模型，但必须通过基准对比、消融实验和稳健性检验证明必要性</w:t>
            </w:r>
          </w:p>
        </w:tc>
      </w:tr>
      <w:tr>
        <w:tc>
          <w:tcPr/>
          <w:p>
            <w:pPr>
              <w:pStyle w:val="Compact"/>
              <w:jc w:val="left"/>
            </w:pPr>
            <w:r>
              <w:rPr>
                <w:rFonts w:hint="eastAsia"/>
              </w:rPr>
              <w:t xml:space="preserve">中长期调节层</w:t>
            </w:r>
          </w:p>
        </w:tc>
        <w:tc>
          <w:tcPr/>
          <w:p>
            <w:pPr>
              <w:pStyle w:val="Compact"/>
              <w:jc w:val="left"/>
            </w:pPr>
            <w:r>
              <w:t xml:space="preserve">OPEC+ </w:t>
            </w:r>
            <w:r>
              <w:rPr>
                <w:rFonts w:hint="eastAsia"/>
              </w:rPr>
              <w:t xml:space="preserve">剩余产能、非</w:t>
            </w:r>
            <w:r>
              <w:t xml:space="preserve"> OPEC </w:t>
            </w:r>
            <w:r>
              <w:rPr>
                <w:rFonts w:hint="eastAsia"/>
              </w:rPr>
              <w:t xml:space="preserve">供给响应、冲突升级概率</w:t>
            </w:r>
          </w:p>
        </w:tc>
        <w:tc>
          <w:tcPr/>
          <w:p>
            <w:pPr>
              <w:pStyle w:val="Compact"/>
              <w:jc w:val="left"/>
            </w:pPr>
            <w:r>
              <w:rPr>
                <w:rFonts w:hint="eastAsia"/>
              </w:rPr>
              <w:t xml:space="preserve">不强行用于短期拟合，进入中长期油价调节模型和尾部风险解释</w:t>
            </w:r>
          </w:p>
        </w:tc>
      </w:tr>
      <w:tr>
        <w:tc>
          <w:tcPr/>
          <w:p>
            <w:pPr>
              <w:pStyle w:val="Compact"/>
              <w:jc w:val="left"/>
            </w:pPr>
            <w:r>
              <w:rPr>
                <w:rFonts w:hint="eastAsia"/>
              </w:rPr>
              <w:t xml:space="preserve">改进方向</w:t>
            </w:r>
          </w:p>
        </w:tc>
        <w:tc>
          <w:tcPr/>
          <w:p>
            <w:pPr>
              <w:pStyle w:val="Compact"/>
              <w:jc w:val="left"/>
            </w:pPr>
            <w:r>
              <w:rPr>
                <w:rFonts w:hint="eastAsia"/>
              </w:rPr>
              <w:t xml:space="preserve">油轮保险费、美元指数、期货期限结构、投机资金和套保需求</w:t>
            </w:r>
          </w:p>
        </w:tc>
        <w:tc>
          <w:tcPr/>
          <w:p>
            <w:pPr>
              <w:pStyle w:val="Compact"/>
              <w:jc w:val="left"/>
            </w:pPr>
            <w:r>
              <w:rPr>
                <w:rFonts w:hint="eastAsia"/>
              </w:rPr>
              <w:t xml:space="preserve">当前缺少附件内真实外生数据，不单独参数化，作为后续扩展方向</w:t>
            </w:r>
          </w:p>
        </w:tc>
      </w:tr>
    </w:tbl>
    <w:bookmarkEnd w:id="11"/>
    <w:bookmarkStart w:id="13" w:name="可复现实现原则"/>
    <w:p>
      <w:pPr>
        <w:pStyle w:val="Heading2"/>
      </w:pPr>
      <w:r>
        <w:rPr>
          <w:rFonts w:hint="eastAsia"/>
        </w:rPr>
        <w:t xml:space="preserve">可复现实现原则</w:t>
      </w:r>
    </w:p>
    <w:p>
      <w:pPr>
        <w:pStyle w:val="FirstParagraph"/>
      </w:pPr>
      <w:r>
        <w:rPr>
          <w:rFonts w:hint="eastAsia"/>
        </w:rPr>
        <w:t xml:space="preserve">本文将工程实现转化为建模可信度的一部分：数据处理保证口径可追溯，仿真程序保证模型可复现，图表系统保证论证过程可检查。具体而言，本文所有清洗数据、外部校验数据、参数校准结果、蒙特卡洛样本、敏感性结果、论文图表和最终</w:t>
      </w:r>
      <w:r>
        <w:t xml:space="preserve"> PDF/DOCX </w:t>
      </w:r>
      <w:r>
        <w:rPr>
          <w:rFonts w:hint="eastAsia"/>
        </w:rPr>
        <w:t xml:space="preserve">均由统一项目脚本生成，使每一个结论都可以回溯到明确的数据文件、模型参数和图表来源。</w:t>
      </w:r>
    </w:p>
    <w:bookmarkStart w:id="12" w:name="tab:engineering-implementation"/>
    <w:p>
      <w:pPr>
        <w:pStyle w:val="TableCaption"/>
      </w:pPr>
      <w:r>
        <w:rPr>
          <w:rFonts w:hint="eastAsia"/>
        </w:rPr>
        <w:t xml:space="preserve">可复现实现对建模质量的作用</w:t>
      </w:r>
    </w:p>
    <w:tbl>
      <w:tblPr>
        <w:tblStyle w:val="Table"/>
        <w:tblW w:type="auto" w:w="0"/>
        <w:tblLook w:firstRow="1" w:lastRow="0" w:firstColumn="0" w:lastColumn="0" w:noHBand="0" w:noVBand="0" w:val="0020"/>
        <w:tblCaption w:val="可复现实现对建模质量的作用"/>
      </w:tblPr>
      <w:tblGrid>
        <w:gridCol w:w="2640"/>
        <w:gridCol w:w="2640"/>
        <w:gridCol w:w="2640"/>
      </w:tblGrid>
      <w:tr>
        <w:trPr>
          <w:tblHeader w:val="on"/>
        </w:trPr>
        <w:tc>
          <w:tcPr/>
          <w:p>
            <w:pPr>
              <w:pStyle w:val="Compact"/>
              <w:jc w:val="left"/>
            </w:pPr>
            <w:r>
              <w:rPr>
                <w:rFonts w:hint="eastAsia"/>
              </w:rPr>
              <w:t xml:space="preserve">实现维度</w:t>
            </w:r>
          </w:p>
        </w:tc>
        <w:tc>
          <w:tcPr/>
          <w:p>
            <w:pPr>
              <w:pStyle w:val="Compact"/>
              <w:jc w:val="left"/>
            </w:pPr>
            <w:r>
              <w:rPr>
                <w:rFonts w:hint="eastAsia"/>
              </w:rPr>
              <w:t xml:space="preserve">在本文中的落地方式</w:t>
            </w:r>
          </w:p>
        </w:tc>
        <w:tc>
          <w:tcPr/>
          <w:p>
            <w:pPr>
              <w:pStyle w:val="Compact"/>
              <w:jc w:val="left"/>
            </w:pPr>
            <w:r>
              <w:rPr>
                <w:rFonts w:hint="eastAsia"/>
              </w:rPr>
              <w:t xml:space="preserve">对建模质量的作用</w:t>
            </w:r>
          </w:p>
        </w:tc>
      </w:tr>
      <w:tr>
        <w:tc>
          <w:tcPr/>
          <w:p>
            <w:pPr>
              <w:pStyle w:val="Compact"/>
              <w:jc w:val="left"/>
            </w:pPr>
            <w:r>
              <w:rPr>
                <w:rFonts w:hint="eastAsia"/>
              </w:rPr>
              <w:t xml:space="preserve">数据处理</w:t>
            </w:r>
          </w:p>
        </w:tc>
        <w:tc>
          <w:tcPr/>
          <w:p>
            <w:pPr>
              <w:pStyle w:val="Compact"/>
              <w:jc w:val="left"/>
            </w:pPr>
            <w:r>
              <w:rPr>
                <w:rFonts w:hint="eastAsia"/>
              </w:rPr>
              <w:t xml:space="preserve">自动清洗附件价格序列，接入</w:t>
            </w:r>
            <w:r>
              <w:t xml:space="preserve"> EIA、JODI、OPEC、GPR、OVX </w:t>
            </w:r>
            <w:r>
              <w:rPr>
                <w:rFonts w:hint="eastAsia"/>
              </w:rPr>
              <w:t xml:space="preserve">等外部校验数据，并统一输出中文命名数据表。</w:t>
            </w:r>
          </w:p>
        </w:tc>
        <w:tc>
          <w:tcPr/>
          <w:p>
            <w:pPr>
              <w:pStyle w:val="Compact"/>
              <w:jc w:val="left"/>
            </w:pPr>
            <w:r>
              <w:rPr>
                <w:rFonts w:hint="eastAsia"/>
              </w:rPr>
              <w:t xml:space="preserve">减少手工处理误差，保证真实价格来自附件，外部数据只用于数量级校验与长期约束。</w:t>
            </w:r>
          </w:p>
        </w:tc>
      </w:tr>
      <w:tr>
        <w:tc>
          <w:tcPr/>
          <w:p>
            <w:pPr>
              <w:pStyle w:val="Compact"/>
              <w:jc w:val="left"/>
            </w:pPr>
            <w:r>
              <w:rPr>
                <w:rFonts w:hint="eastAsia"/>
              </w:rPr>
              <w:t xml:space="preserve">仿真与批量计算</w:t>
            </w:r>
          </w:p>
        </w:tc>
        <w:tc>
          <w:tcPr/>
          <w:p>
            <w:pPr>
              <w:pStyle w:val="Compact"/>
              <w:jc w:val="left"/>
            </w:pPr>
            <w:r>
              <w:rPr>
                <w:rFonts w:hint="eastAsia"/>
              </w:rPr>
              <w:t xml:space="preserve">使用程序完成多目标参数搜索、局部稳健性复核、机制消融、蒙特卡洛情景树和状态转移路径抽样。</w:t>
            </w:r>
          </w:p>
        </w:tc>
        <w:tc>
          <w:tcPr/>
          <w:p>
            <w:pPr>
              <w:pStyle w:val="Compact"/>
              <w:jc w:val="left"/>
            </w:pPr>
            <w:r>
              <w:rPr>
                <w:rFonts w:hint="eastAsia"/>
              </w:rPr>
              <w:t xml:space="preserve">将</w:t>
            </w:r>
            <w:r>
              <w:rPr>
                <w:rFonts w:hint="eastAsia"/>
              </w:rPr>
              <w:t xml:space="preserve">“参数是否偶然”</w:t>
            </w:r>
            <w:r>
              <w:rPr>
                <w:rFonts w:hint="eastAsia"/>
              </w:rPr>
              <w:t xml:space="preserve">“长期是否只是一条线”</w:t>
            </w:r>
            <w:r>
              <w:rPr>
                <w:rFonts w:hint="eastAsia"/>
              </w:rPr>
              <w:t xml:space="preserve">等问题转化为可重复的数值检验。</w:t>
            </w:r>
          </w:p>
        </w:tc>
      </w:tr>
      <w:tr>
        <w:tc>
          <w:tcPr/>
          <w:p>
            <w:pPr>
              <w:pStyle w:val="Compact"/>
              <w:jc w:val="left"/>
            </w:pPr>
            <w:r>
              <w:rPr>
                <w:rFonts w:hint="eastAsia"/>
              </w:rPr>
              <w:t xml:space="preserve">图表与论文生成</w:t>
            </w:r>
          </w:p>
        </w:tc>
        <w:tc>
          <w:tcPr/>
          <w:p>
            <w:pPr>
              <w:pStyle w:val="Compact"/>
              <w:jc w:val="left"/>
            </w:pPr>
            <w:r>
              <w:rPr>
                <w:rFonts w:hint="eastAsia"/>
              </w:rPr>
              <w:t xml:space="preserve">由脚本统一生成拟合图、机制图、敏感性图、蒙特卡洛图、气泡图、热力图和最终论文文件。</w:t>
            </w:r>
          </w:p>
        </w:tc>
        <w:tc>
          <w:tcPr/>
          <w:p>
            <w:pPr>
              <w:pStyle w:val="Compact"/>
              <w:jc w:val="left"/>
            </w:pPr>
            <w:r>
              <w:rPr>
                <w:rFonts w:hint="eastAsia"/>
              </w:rPr>
              <w:t xml:space="preserve">让图表承担论证功能，而不是只做装饰；每张主图都对应一个关键模型问题。</w:t>
            </w:r>
          </w:p>
        </w:tc>
      </w:tr>
    </w:tbl>
    <w:bookmarkEnd w:id="12"/>
    <w:p>
      <w:pPr>
        <w:pStyle w:val="BodyText"/>
      </w:pPr>
      <w:r>
        <w:rPr>
          <w:rFonts w:hint="eastAsia"/>
          <w:b/>
          <w:bCs/>
        </w:rPr>
        <w:t xml:space="preserve">结论</w:t>
      </w:r>
      <w:r>
        <w:rPr>
          <w:rFonts w:hint="eastAsia"/>
        </w:rPr>
        <w:t xml:space="preserve">本文的实现重点是把数据、仿真和图表组织成可追溯的证据链：每个模型结果都能从原始数据、参数文件和生成脚本中复现。</w:t>
      </w:r>
    </w:p>
    <w:bookmarkEnd w:id="13"/>
    <w:bookmarkStart w:id="15" w:name="本文贡献与边界"/>
    <w:p>
      <w:pPr>
        <w:pStyle w:val="Heading2"/>
      </w:pPr>
      <w:r>
        <w:rPr>
          <w:rFonts w:hint="eastAsia"/>
        </w:rPr>
        <w:t xml:space="preserve">本文贡献与边界</w:t>
      </w:r>
    </w:p>
    <w:p>
      <w:pPr>
        <w:pStyle w:val="FirstParagraph"/>
      </w:pPr>
      <w:r>
        <w:rPr>
          <w:rFonts w:hint="eastAsia"/>
        </w:rPr>
        <w:t xml:space="preserve">围绕赛题目标，本文重点回答三个可检验问题：第一，在题面给定低弹性和封锁冲击下，传统供需模型为什么会明显高估价格；第二，哪些缓冲机制能够把理论高位压回附件中的现实价格平台；第三，当封锁延长至</w:t>
      </w:r>
      <w:r>
        <w:t xml:space="preserve"> 60–180 </w:t>
      </w:r>
      <w:r>
        <w:rPr>
          <w:rFonts w:hint="eastAsia"/>
        </w:rPr>
        <w:t xml:space="preserve">天时，哪些因素决定价格中枢和尾部跳涨风险。本文的贡献与边界见</w:t>
      </w:r>
      <w:hyperlink w:anchor="tab:contribution-boundary">
        <w:r>
          <w:rPr>
            <w:rStyle w:val="Hyperlink"/>
          </w:rPr>
          <w:t xml:space="preserve">3</w:t>
        </w:r>
      </w:hyperlink>
      <w:r>
        <w:t xml:space="preserve">。</w:t>
      </w:r>
    </w:p>
    <w:bookmarkStart w:id="14" w:name="tab:contribution-boundary"/>
    <w:p>
      <w:pPr>
        <w:pStyle w:val="TableCaption"/>
      </w:pPr>
      <w:r>
        <w:rPr>
          <w:rFonts w:hint="eastAsia"/>
        </w:rPr>
        <w:t xml:space="preserve">本文贡献与边界</w:t>
      </w:r>
    </w:p>
    <w:tbl>
      <w:tblPr>
        <w:tblStyle w:val="Table"/>
        <w:tblW w:type="auto" w:w="0"/>
        <w:tblLook w:firstRow="1" w:lastRow="0" w:firstColumn="0" w:lastColumn="0" w:noHBand="0" w:noVBand="0" w:val="0020"/>
        <w:tblCaption w:val="本文贡献与边界"/>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本文贡献</w:t>
            </w:r>
          </w:p>
        </w:tc>
        <w:tc>
          <w:tcPr/>
          <w:p>
            <w:pPr>
              <w:pStyle w:val="Compact"/>
              <w:jc w:val="left"/>
            </w:pPr>
            <w:r>
              <w:rPr>
                <w:rFonts w:hint="eastAsia"/>
              </w:rPr>
              <w:t xml:space="preserve">识别边界</w:t>
            </w:r>
          </w:p>
        </w:tc>
      </w:tr>
      <w:tr>
        <w:tc>
          <w:tcPr/>
          <w:p>
            <w:pPr>
              <w:pStyle w:val="Compact"/>
              <w:jc w:val="left"/>
            </w:pPr>
            <w:r>
              <w:rPr>
                <w:rFonts w:hint="eastAsia"/>
              </w:rPr>
              <w:t xml:space="preserve">反事实基准</w:t>
            </w:r>
          </w:p>
        </w:tc>
        <w:tc>
          <w:tcPr/>
          <w:p>
            <w:pPr>
              <w:pStyle w:val="Compact"/>
              <w:jc w:val="left"/>
            </w:pPr>
            <w:r>
              <w:rPr>
                <w:rFonts w:hint="eastAsia"/>
              </w:rPr>
              <w:t xml:space="preserve">依据赛题低弹性假设构造无缓冲价格上界，给出动态模型需要解释的压力来源。</w:t>
            </w:r>
          </w:p>
        </w:tc>
        <w:tc>
          <w:tcPr/>
          <w:p>
            <w:pPr>
              <w:pStyle w:val="Compact"/>
              <w:jc w:val="left"/>
            </w:pPr>
            <w:r>
              <w:rPr>
                <w:rFonts w:hint="eastAsia"/>
              </w:rPr>
              <w:t xml:space="preserve">该上界是题面条件下的反事实压力，不是对现实市场价格的直接预测。</w:t>
            </w:r>
          </w:p>
        </w:tc>
      </w:tr>
      <w:tr>
        <w:tc>
          <w:tcPr/>
          <w:p>
            <w:pPr>
              <w:pStyle w:val="Compact"/>
              <w:jc w:val="left"/>
            </w:pPr>
            <w:r>
              <w:rPr>
                <w:rFonts w:hint="eastAsia"/>
              </w:rPr>
              <w:t xml:space="preserve">短期冲击模型</w:t>
            </w:r>
          </w:p>
        </w:tc>
        <w:tc>
          <w:tcPr/>
          <w:p>
            <w:pPr>
              <w:pStyle w:val="Compact"/>
              <w:jc w:val="left"/>
            </w:pPr>
            <w:r>
              <w:rPr>
                <w:rFonts w:hint="eastAsia"/>
              </w:rPr>
              <w:t xml:space="preserve">将</w:t>
            </w:r>
            <w:r>
              <w:t xml:space="preserve"> </w:t>
            </w:r>
            <w:r>
              <w:rPr>
                <w:rFonts w:hint="eastAsia"/>
              </w:rPr>
              <w:t xml:space="preserve">SPR、商业库存、绕道运输、需求收缩、恐慌衰减、风险溢价和预期修复放入同一日度递推框架，解释附件冲突窗口内的价格平台。</w:t>
            </w:r>
          </w:p>
        </w:tc>
        <w:tc>
          <w:tcPr/>
          <w:p>
            <w:pPr>
              <w:pStyle w:val="Compact"/>
              <w:jc w:val="left"/>
            </w:pPr>
            <w:r>
              <w:rPr>
                <w:rFonts w:hint="eastAsia"/>
              </w:rPr>
              <w:t xml:space="preserve">适用范围限定于</w:t>
            </w:r>
            <w:r>
              <w:t xml:space="preserve"> 2026 </w:t>
            </w:r>
            <w:r>
              <w:rPr>
                <w:rFonts w:hint="eastAsia"/>
              </w:rPr>
              <w:t xml:space="preserve">冲突窗口下的机制解释，不外推为跨年份通用交易模型。</w:t>
            </w:r>
          </w:p>
        </w:tc>
      </w:tr>
      <w:tr>
        <w:tc>
          <w:tcPr/>
          <w:p>
            <w:pPr>
              <w:pStyle w:val="Compact"/>
              <w:jc w:val="left"/>
            </w:pPr>
            <w:r>
              <w:rPr>
                <w:rFonts w:hint="eastAsia"/>
              </w:rPr>
              <w:t xml:space="preserve">模型鲁棒性检验</w:t>
            </w:r>
          </w:p>
        </w:tc>
        <w:tc>
          <w:tcPr/>
          <w:p>
            <w:pPr>
              <w:pStyle w:val="Compact"/>
              <w:jc w:val="left"/>
            </w:pPr>
            <w:r>
              <w:rPr>
                <w:rFonts w:hint="eastAsia"/>
              </w:rPr>
              <w:t xml:space="preserve">与朴素上一日、漂移随机游走和</w:t>
            </w:r>
            <w:r>
              <w:t xml:space="preserve"> ARIMA </w:t>
            </w:r>
            <w:r>
              <w:rPr>
                <w:rFonts w:hint="eastAsia"/>
              </w:rPr>
              <w:t xml:space="preserve">基准比较，并加入</w:t>
            </w:r>
            <w:r>
              <w:t xml:space="preserve"> DM </w:t>
            </w:r>
            <w:r>
              <w:rPr>
                <w:rFonts w:hint="eastAsia"/>
              </w:rPr>
              <w:t xml:space="preserve">检验、滞后平移、机制消融和参数扰动测试。</w:t>
            </w:r>
          </w:p>
        </w:tc>
        <w:tc>
          <w:tcPr/>
          <w:p>
            <w:pPr>
              <w:pStyle w:val="Compact"/>
              <w:jc w:val="left"/>
            </w:pPr>
            <w:r>
              <w:rPr>
                <w:rFonts w:hint="eastAsia"/>
              </w:rPr>
              <w:t xml:space="preserve">检验提供支持性证据，但不能替代未来真实观测对长期外推的事后验证。</w:t>
            </w:r>
          </w:p>
        </w:tc>
      </w:tr>
      <w:tr>
        <w:tc>
          <w:tcPr/>
          <w:p>
            <w:pPr>
              <w:pStyle w:val="Compact"/>
              <w:jc w:val="left"/>
            </w:pPr>
            <w:r>
              <w:rPr>
                <w:rFonts w:hint="eastAsia"/>
              </w:rPr>
              <w:t xml:space="preserve">中长期油价调节模型</w:t>
            </w:r>
          </w:p>
        </w:tc>
        <w:tc>
          <w:tcPr/>
          <w:p>
            <w:pPr>
              <w:pStyle w:val="Compact"/>
              <w:jc w:val="left"/>
            </w:pPr>
            <w:r>
              <w:rPr>
                <w:rFonts w:hint="eastAsia"/>
              </w:rPr>
              <w:t xml:space="preserve">把短期冲击模型延伸到</w:t>
            </w:r>
            <w:r>
              <w:t xml:space="preserve"> 60–180 </w:t>
            </w:r>
            <w:r>
              <w:rPr>
                <w:rFonts w:hint="eastAsia"/>
              </w:rPr>
              <w:t xml:space="preserve">天，输出乐观、中性、悲观路径、蒙特卡洛区间和状态转移尾部风险。</w:t>
            </w:r>
          </w:p>
        </w:tc>
        <w:tc>
          <w:tcPr/>
          <w:p>
            <w:pPr>
              <w:pStyle w:val="Compact"/>
              <w:jc w:val="left"/>
            </w:pPr>
            <w:r>
              <w:rPr>
                <w:rFonts w:hint="eastAsia"/>
              </w:rPr>
              <w:t xml:space="preserve">中长期结果是条件情景预测，不把中性曲线写成未来每日油价的精确点预测。</w:t>
            </w:r>
          </w:p>
        </w:tc>
      </w:tr>
      <w:tr>
        <w:tc>
          <w:tcPr/>
          <w:p>
            <w:pPr>
              <w:pStyle w:val="Compact"/>
              <w:jc w:val="left"/>
            </w:pPr>
            <w:r>
              <w:rPr>
                <w:rFonts w:hint="eastAsia"/>
              </w:rPr>
              <w:t xml:space="preserve">外部合理性校验</w:t>
            </w:r>
          </w:p>
        </w:tc>
        <w:tc>
          <w:tcPr/>
          <w:p>
            <w:pPr>
              <w:pStyle w:val="Compact"/>
              <w:jc w:val="left"/>
            </w:pPr>
            <w:r>
              <w:rPr>
                <w:rFonts w:hint="eastAsia"/>
              </w:rPr>
              <w:t xml:space="preserve">使用</w:t>
            </w:r>
            <w:r>
              <w:t xml:space="preserve"> EIA </w:t>
            </w:r>
            <w:r>
              <w:rPr>
                <w:rFonts w:hint="eastAsia"/>
              </w:rPr>
              <w:t xml:space="preserve">周度数据、JODI</w:t>
            </w:r>
            <w:r>
              <w:t xml:space="preserve"> </w:t>
            </w:r>
            <w:r>
              <w:rPr>
                <w:rFonts w:hint="eastAsia"/>
              </w:rPr>
              <w:t xml:space="preserve">多国月度石油数据、OPEC</w:t>
            </w:r>
            <w:r>
              <w:t xml:space="preserve"> </w:t>
            </w:r>
            <w:r>
              <w:rPr>
                <w:rFonts w:hint="eastAsia"/>
              </w:rPr>
              <w:t xml:space="preserve">全球供需平衡表、GPR</w:t>
            </w:r>
            <w:r>
              <w:t xml:space="preserve"> </w:t>
            </w:r>
            <w:r>
              <w:rPr>
                <w:rFonts w:hint="eastAsia"/>
              </w:rPr>
              <w:t xml:space="preserve">指数、OVX</w:t>
            </w:r>
            <w:r>
              <w:t xml:space="preserve"> </w:t>
            </w:r>
            <w:r>
              <w:rPr>
                <w:rFonts w:hint="eastAsia"/>
              </w:rPr>
              <w:t xml:space="preserve">隐含波动率和</w:t>
            </w:r>
            <w:r>
              <w:t xml:space="preserve"> 2017–2026 </w:t>
            </w:r>
            <w:r>
              <w:rPr>
                <w:rFonts w:hint="eastAsia"/>
              </w:rPr>
              <w:t xml:space="preserve">历史同长度窗口验证数量级、事件极端性与风险环境。</w:t>
            </w:r>
          </w:p>
        </w:tc>
        <w:tc>
          <w:tcPr/>
          <w:p>
            <w:pPr>
              <w:pStyle w:val="Compact"/>
              <w:jc w:val="left"/>
            </w:pPr>
            <w:r>
              <w:rPr>
                <w:rFonts w:hint="eastAsia"/>
              </w:rPr>
              <w:t xml:space="preserve">外部数据用于数量级校验和约束；JODI</w:t>
            </w:r>
            <w:r>
              <w:t xml:space="preserve"> </w:t>
            </w:r>
            <w:r>
              <w:rPr>
                <w:rFonts w:hint="eastAsia"/>
              </w:rPr>
              <w:t xml:space="preserve">按多国上报口径解释，附件价格仍是短期拟合目标。</w:t>
            </w:r>
          </w:p>
        </w:tc>
      </w:tr>
    </w:tbl>
    <w:bookmarkEnd w:id="14"/>
    <w:p>
      <w:pPr>
        <w:pStyle w:val="BodyText"/>
      </w:pPr>
      <w:r>
        <w:rPr>
          <w:rFonts w:hint="eastAsia"/>
          <w:b/>
          <w:bCs/>
        </w:rPr>
        <w:t xml:space="preserve">结论</w:t>
      </w:r>
      <w:r>
        <w:rPr>
          <w:rFonts w:hint="eastAsia"/>
        </w:rPr>
        <w:t xml:space="preserve">本文的论证链条是</w:t>
      </w:r>
      <w:r>
        <w:rPr>
          <w:rFonts w:hint="eastAsia"/>
        </w:rPr>
        <w:t xml:space="preserve">“反事实压力—机制缓冲—鲁棒性检验—条件外推”</w:t>
      </w:r>
      <w:r>
        <w:rPr>
          <w:rFonts w:hint="eastAsia"/>
        </w:rPr>
        <w:t xml:space="preserve">：先说明高价压力来源，再说明缓冲机制如何改变价格路径，并用基准、消融、敏感性和历史窗口检验支撑模型解释。</w:t>
      </w:r>
    </w:p>
    <w:bookmarkEnd w:id="15"/>
    <w:bookmarkStart w:id="16" w:name="文献依据与建模约束"/>
    <w:p>
      <w:pPr>
        <w:pStyle w:val="Heading2"/>
      </w:pPr>
      <w:r>
        <w:rPr>
          <w:rFonts w:hint="eastAsia"/>
        </w:rPr>
        <w:t xml:space="preserve">文献依据与建模约束</w:t>
      </w:r>
    </w:p>
    <w:p>
      <w:pPr>
        <w:pStyle w:val="FirstParagraph"/>
      </w:pPr>
      <w:r>
        <w:rPr>
          <w:rFonts w:hint="eastAsia"/>
        </w:rPr>
        <w:t xml:space="preserve">本文将文献调研转化为可执行的建模约束。Kilian（2009）和</w:t>
      </w:r>
      <w:r>
        <w:t xml:space="preserve"> </w:t>
      </w:r>
      <w:r>
        <w:rPr>
          <w:rFonts w:hint="eastAsia"/>
        </w:rPr>
        <w:t xml:space="preserve">Hamilton（2009）表明，油价冲击不能只由当期供应缺口解释，还需要区分供给、需求、预防性需求和宏观环境；Kilian</w:t>
      </w:r>
      <w:r>
        <w:t xml:space="preserve"> </w:t>
      </w:r>
      <w:r>
        <w:rPr>
          <w:rFonts w:hint="eastAsia"/>
        </w:rPr>
        <w:t xml:space="preserve">与</w:t>
      </w:r>
      <w:r>
        <w:t xml:space="preserve"> </w:t>
      </w:r>
      <w:r>
        <w:rPr>
          <w:rFonts w:hint="eastAsia"/>
        </w:rPr>
        <w:t xml:space="preserve">Murphy（2014）进一步说明库存和投机性需求会影响油价路径。因此，本文将传统供需模型定位为低弹性反事实上界，而不是最终预测模型。</w:t>
      </w:r>
    </w:p>
    <w:p>
      <w:pPr>
        <w:pStyle w:val="BodyText"/>
      </w:pPr>
      <w:r>
        <w:rPr>
          <w:rFonts w:hint="eastAsia"/>
        </w:rPr>
        <w:t xml:space="preserve">在预测评价方面，Alquist</w:t>
      </w:r>
      <w:r>
        <w:t xml:space="preserve"> </w:t>
      </w:r>
      <w:r>
        <w:rPr>
          <w:rFonts w:hint="eastAsia"/>
        </w:rPr>
        <w:t xml:space="preserve">与</w:t>
      </w:r>
      <w:r>
        <w:t xml:space="preserve"> </w:t>
      </w:r>
      <w:r>
        <w:rPr>
          <w:rFonts w:hint="eastAsia"/>
        </w:rPr>
        <w:t xml:space="preserve">Kilian（2010）以及</w:t>
      </w:r>
      <w:r>
        <w:t xml:space="preserve"> Alquist、Kilian </w:t>
      </w:r>
      <w:r>
        <w:rPr>
          <w:rFonts w:hint="eastAsia"/>
        </w:rPr>
        <w:t xml:space="preserve">与</w:t>
      </w:r>
      <w:r>
        <w:t xml:space="preserve"> </w:t>
      </w:r>
      <w:r>
        <w:rPr>
          <w:rFonts w:hint="eastAsia"/>
        </w:rPr>
        <w:t xml:space="preserve">Vigfusson（2013）指出，原油价格预测必须与无变化预测、随机游走等强基准比较，并明确预测期限和不确定性边界。因此，本文在短期部分设置上一日价格朴素基准、漂移随机游走和滚动</w:t>
      </w:r>
      <w:r>
        <w:t xml:space="preserve"> </w:t>
      </w:r>
      <w:r>
        <w:rPr>
          <w:rFonts w:hint="eastAsia"/>
        </w:rPr>
        <w:t xml:space="preserve">ARIMA；在长期部分不把中性线写成逐日真实价格预测，而是同时给出三情景中心路径、蒙特卡洛扇形区间和状态转移尾部风险。</w:t>
      </w:r>
    </w:p>
    <w:p>
      <w:pPr>
        <w:pStyle w:val="BodyText"/>
      </w:pPr>
      <w:r>
        <w:rPr>
          <w:rFonts w:hint="eastAsia"/>
        </w:rPr>
        <w:t xml:space="preserve">在政策缓冲方面，Newell</w:t>
      </w:r>
      <w:r>
        <w:t xml:space="preserve"> </w:t>
      </w:r>
      <w:r>
        <w:rPr>
          <w:rFonts w:hint="eastAsia"/>
        </w:rPr>
        <w:t xml:space="preserve">与</w:t>
      </w:r>
      <w:r>
        <w:t xml:space="preserve"> </w:t>
      </w:r>
      <w:r>
        <w:rPr>
          <w:rFonts w:hint="eastAsia"/>
        </w:rPr>
        <w:t xml:space="preserve">Prest（2017）、Kilian</w:t>
      </w:r>
      <w:r>
        <w:t xml:space="preserve"> </w:t>
      </w:r>
      <w:r>
        <w:rPr>
          <w:rFonts w:hint="eastAsia"/>
        </w:rPr>
        <w:t xml:space="preserve">与</w:t>
      </w:r>
      <w:r>
        <w:t xml:space="preserve"> </w:t>
      </w:r>
      <w:r>
        <w:rPr>
          <w:rFonts w:hint="eastAsia"/>
        </w:rPr>
        <w:t xml:space="preserve">Zhou（2019）和</w:t>
      </w:r>
      <w:r>
        <w:t xml:space="preserve"> Stevens </w:t>
      </w:r>
      <w:r>
        <w:rPr>
          <w:rFonts w:hint="eastAsia"/>
        </w:rPr>
        <w:t xml:space="preserve">与</w:t>
      </w:r>
      <w:r>
        <w:t xml:space="preserve"> </w:t>
      </w:r>
      <w:r>
        <w:rPr>
          <w:rFonts w:hint="eastAsia"/>
        </w:rPr>
        <w:t xml:space="preserve">Zhang（2021）均表明，SPR</w:t>
      </w:r>
      <w:r>
        <w:t xml:space="preserve"> </w:t>
      </w:r>
      <w:r>
        <w:rPr>
          <w:rFonts w:hint="eastAsia"/>
        </w:rPr>
        <w:t xml:space="preserve">释放能够影响油价，但其作用通常是临时削峰和稳定预期，不能被写成完全抵消供应中断的万能机制。因此，本文把</w:t>
      </w:r>
      <w:r>
        <w:t xml:space="preserve"> </w:t>
      </w:r>
      <w:r>
        <w:rPr>
          <w:rFonts w:hint="eastAsia"/>
        </w:rPr>
        <w:t xml:space="preserve">SPR、商业库存和绕道运输都作为部分缓冲变量：它们改变剩余缺口和价格峰值，却不直接决定长期均衡价格。</w:t>
      </w:r>
    </w:p>
    <w:p>
      <w:pPr>
        <w:pStyle w:val="BodyText"/>
      </w:pPr>
      <w:r>
        <w:rPr>
          <w:rFonts w:hint="eastAsia"/>
        </w:rPr>
        <w:t xml:space="preserve">在风险变量方面，Caldara</w:t>
      </w:r>
      <w:r>
        <w:t xml:space="preserve"> </w:t>
      </w:r>
      <w:r>
        <w:rPr>
          <w:rFonts w:hint="eastAsia"/>
        </w:rPr>
        <w:t xml:space="preserve">与</w:t>
      </w:r>
      <w:r>
        <w:t xml:space="preserve"> </w:t>
      </w:r>
      <w:r>
        <w:rPr>
          <w:rFonts w:hint="eastAsia"/>
        </w:rPr>
        <w:t xml:space="preserve">Iacoviello（2022）提供了</w:t>
      </w:r>
      <w:r>
        <w:t xml:space="preserve"> GPR </w:t>
      </w:r>
      <w:r>
        <w:rPr>
          <w:rFonts w:hint="eastAsia"/>
        </w:rPr>
        <w:t xml:space="preserve">指数的理论和数据基础，Mei</w:t>
      </w:r>
      <w:r>
        <w:t xml:space="preserve"> </w:t>
      </w:r>
      <w:r>
        <w:rPr>
          <w:rFonts w:hint="eastAsia"/>
        </w:rPr>
        <w:t xml:space="preserve">等（2020）、Liu</w:t>
      </w:r>
      <w:r>
        <w:t xml:space="preserve"> </w:t>
      </w:r>
      <w:r>
        <w:rPr>
          <w:rFonts w:hint="eastAsia"/>
        </w:rPr>
        <w:t xml:space="preserve">等（2019）说明地缘风险更适合解释油价波动和尾部风险。由于</w:t>
      </w:r>
      <w:r>
        <w:t xml:space="preserve"> GPR </w:t>
      </w:r>
      <w:r>
        <w:rPr>
          <w:rFonts w:hint="eastAsia"/>
        </w:rPr>
        <w:t xml:space="preserve">来自新闻文本，本文将其作为外部风险校验和滞后检验变量，不进入短期同步拟合。进一步地，本文接入</w:t>
      </w:r>
      <w:r>
        <w:t xml:space="preserve"> Cboe/FRED </w:t>
      </w:r>
      <w:r>
        <w:rPr>
          <w:rFonts w:hint="eastAsia"/>
        </w:rPr>
        <w:t xml:space="preserve">的</w:t>
      </w:r>
      <w:r>
        <w:t xml:space="preserve"> OVX </w:t>
      </w:r>
      <w:r>
        <w:rPr>
          <w:rFonts w:hint="eastAsia"/>
        </w:rPr>
        <w:t xml:space="preserve">原油</w:t>
      </w:r>
      <w:r>
        <w:t xml:space="preserve"> ETF </w:t>
      </w:r>
      <w:r>
        <w:rPr>
          <w:rFonts w:hint="eastAsia"/>
        </w:rPr>
        <w:t xml:space="preserve">隐含波动率，将更接近市场交易定价的风险变量用于长期风险权重和不确定性强度约束，而非短期方向预测因子。</w:t>
      </w:r>
    </w:p>
    <w:p>
      <w:pPr>
        <w:pStyle w:val="TableCaption"/>
      </w:pPr>
      <w:r>
        <w:rPr>
          <w:rFonts w:hint="eastAsia"/>
        </w:rPr>
        <w:t xml:space="preserve">核心文献对本文模型设计的约束</w:t>
      </w:r>
    </w:p>
    <w:tbl>
      <w:tblPr>
        <w:tblStyle w:val="Table"/>
        <w:tblW w:type="auto" w:w="0"/>
        <w:tblLook w:firstRow="1" w:lastRow="0" w:firstColumn="0" w:lastColumn="0" w:noHBand="0" w:noVBand="0" w:val="0020"/>
        <w:tblCaption w:val="核心文献对本文模型设计的约束"/>
      </w:tblPr>
      <w:tblGrid>
        <w:gridCol w:w="2640"/>
        <w:gridCol w:w="2640"/>
        <w:gridCol w:w="2640"/>
      </w:tblGrid>
      <w:tr>
        <w:trPr>
          <w:tblHeader w:val="on"/>
        </w:trPr>
        <w:tc>
          <w:tcPr/>
          <w:p>
            <w:pPr>
              <w:pStyle w:val="Compact"/>
              <w:jc w:val="left"/>
            </w:pPr>
            <w:r>
              <w:rPr>
                <w:rFonts w:hint="eastAsia"/>
              </w:rPr>
              <w:t xml:space="preserve">文献主线</w:t>
            </w:r>
          </w:p>
        </w:tc>
        <w:tc>
          <w:tcPr/>
          <w:p>
            <w:pPr>
              <w:pStyle w:val="Compact"/>
              <w:jc w:val="left"/>
            </w:pPr>
            <w:r>
              <w:rPr>
                <w:rFonts w:hint="eastAsia"/>
              </w:rPr>
              <w:t xml:space="preserve">对本文的约束</w:t>
            </w:r>
          </w:p>
        </w:tc>
        <w:tc>
          <w:tcPr/>
          <w:p>
            <w:pPr>
              <w:pStyle w:val="Compact"/>
              <w:jc w:val="left"/>
            </w:pPr>
            <w:r>
              <w:rPr>
                <w:rFonts w:hint="eastAsia"/>
              </w:rPr>
              <w:t xml:space="preserve">落地位置</w:t>
            </w:r>
          </w:p>
        </w:tc>
      </w:tr>
      <w:tr>
        <w:tc>
          <w:tcPr/>
          <w:p>
            <w:pPr>
              <w:pStyle w:val="Compact"/>
              <w:jc w:val="left"/>
            </w:pPr>
            <w:r>
              <w:rPr>
                <w:rFonts w:hint="eastAsia"/>
              </w:rPr>
              <w:t xml:space="preserve">油价冲击分解</w:t>
            </w:r>
          </w:p>
        </w:tc>
        <w:tc>
          <w:tcPr/>
          <w:p>
            <w:pPr>
              <w:pStyle w:val="Compact"/>
              <w:jc w:val="left"/>
            </w:pPr>
            <w:r>
              <w:rPr>
                <w:rFonts w:hint="eastAsia"/>
              </w:rPr>
              <w:t xml:space="preserve">不能只用供应缺口解释油价，需纳入库存、预期和风险重估</w:t>
            </w:r>
          </w:p>
        </w:tc>
        <w:tc>
          <w:tcPr/>
          <w:p>
            <w:pPr>
              <w:pStyle w:val="Compact"/>
              <w:jc w:val="left"/>
            </w:pPr>
            <w:r>
              <w:rPr>
                <w:rFonts w:hint="eastAsia"/>
              </w:rPr>
              <w:t xml:space="preserve">传统基准与短期冲击模型</w:t>
            </w:r>
          </w:p>
        </w:tc>
      </w:tr>
      <w:tr>
        <w:tc>
          <w:tcPr/>
          <w:p>
            <w:pPr>
              <w:pStyle w:val="Compact"/>
              <w:jc w:val="left"/>
            </w:pPr>
            <w:r>
              <w:rPr>
                <w:rFonts w:hint="eastAsia"/>
              </w:rPr>
              <w:t xml:space="preserve">随机游走强基准</w:t>
            </w:r>
          </w:p>
        </w:tc>
        <w:tc>
          <w:tcPr/>
          <w:p>
            <w:pPr>
              <w:pStyle w:val="Compact"/>
              <w:jc w:val="left"/>
            </w:pPr>
            <w:r>
              <w:t xml:space="preserve">RMSE </w:t>
            </w:r>
            <w:r>
              <w:rPr>
                <w:rFonts w:hint="eastAsia"/>
              </w:rPr>
              <w:t xml:space="preserve">必须和</w:t>
            </w:r>
            <w:r>
              <w:t xml:space="preserve"> no-change、Random Walk、ARIMA </w:t>
            </w:r>
            <w:r>
              <w:rPr>
                <w:rFonts w:hint="eastAsia"/>
              </w:rPr>
              <w:t xml:space="preserve">等基准比较</w:t>
            </w:r>
          </w:p>
        </w:tc>
        <w:tc>
          <w:tcPr/>
          <w:p>
            <w:pPr>
              <w:pStyle w:val="Compact"/>
              <w:jc w:val="left"/>
            </w:pPr>
            <w:r>
              <w:rPr>
                <w:rFonts w:hint="eastAsia"/>
              </w:rPr>
              <w:t xml:space="preserve">短期模型基准对比与</w:t>
            </w:r>
            <w:r>
              <w:t xml:space="preserve"> DM </w:t>
            </w:r>
            <w:r>
              <w:rPr>
                <w:rFonts w:hint="eastAsia"/>
              </w:rPr>
              <w:t xml:space="preserve">检验</w:t>
            </w:r>
          </w:p>
        </w:tc>
      </w:tr>
      <w:tr>
        <w:tc>
          <w:tcPr/>
          <w:p>
            <w:pPr>
              <w:pStyle w:val="Compact"/>
              <w:jc w:val="left"/>
            </w:pPr>
            <w:r>
              <w:t xml:space="preserve">SPR </w:t>
            </w:r>
            <w:r>
              <w:rPr>
                <w:rFonts w:hint="eastAsia"/>
              </w:rPr>
              <w:t xml:space="preserve">与库存政策缓冲</w:t>
            </w:r>
          </w:p>
        </w:tc>
        <w:tc>
          <w:tcPr/>
          <w:p>
            <w:pPr>
              <w:pStyle w:val="Compact"/>
              <w:jc w:val="left"/>
            </w:pPr>
            <w:r>
              <w:t xml:space="preserve">SPR </w:t>
            </w:r>
            <w:r>
              <w:rPr>
                <w:rFonts w:hint="eastAsia"/>
              </w:rPr>
              <w:t xml:space="preserve">是削峰和争取时间，不是完全填补缺口的万能变量</w:t>
            </w:r>
          </w:p>
        </w:tc>
        <w:tc>
          <w:tcPr/>
          <w:p>
            <w:pPr>
              <w:pStyle w:val="Compact"/>
              <w:jc w:val="left"/>
            </w:pPr>
            <w:r>
              <w:rPr>
                <w:rFonts w:hint="eastAsia"/>
              </w:rPr>
              <w:t xml:space="preserve">物理供需层、消融实验和长期敏感性分析</w:t>
            </w:r>
          </w:p>
        </w:tc>
      </w:tr>
      <w:tr>
        <w:tc>
          <w:tcPr/>
          <w:p>
            <w:pPr>
              <w:pStyle w:val="Compact"/>
              <w:jc w:val="left"/>
            </w:pPr>
            <w:r>
              <w:t xml:space="preserve">GPR </w:t>
            </w:r>
            <w:r>
              <w:rPr>
                <w:rFonts w:hint="eastAsia"/>
              </w:rPr>
              <w:t xml:space="preserve">与</w:t>
            </w:r>
            <w:r>
              <w:t xml:space="preserve"> OVX </w:t>
            </w:r>
            <w:r>
              <w:rPr>
                <w:rFonts w:hint="eastAsia"/>
              </w:rPr>
              <w:t xml:space="preserve">波动风险</w:t>
            </w:r>
          </w:p>
        </w:tc>
        <w:tc>
          <w:tcPr/>
          <w:p>
            <w:pPr>
              <w:pStyle w:val="Compact"/>
              <w:jc w:val="left"/>
            </w:pPr>
            <w:r>
              <w:t xml:space="preserve">GPR </w:t>
            </w:r>
            <w:r>
              <w:rPr>
                <w:rFonts w:hint="eastAsia"/>
              </w:rPr>
              <w:t xml:space="preserve">适合做风险校验，OVX</w:t>
            </w:r>
            <w:r>
              <w:t xml:space="preserve"> </w:t>
            </w:r>
            <w:r>
              <w:rPr>
                <w:rFonts w:hint="eastAsia"/>
              </w:rPr>
              <w:t xml:space="preserve">适合做市场隐含波动率约束，二者均不宜同步解释同日或同月油价方向</w:t>
            </w:r>
          </w:p>
        </w:tc>
        <w:tc>
          <w:tcPr/>
          <w:p>
            <w:pPr>
              <w:pStyle w:val="Compact"/>
              <w:jc w:val="left"/>
            </w:pPr>
            <w:r>
              <w:rPr>
                <w:rFonts w:hint="eastAsia"/>
              </w:rPr>
              <w:t xml:space="preserve">滞后</w:t>
            </w:r>
            <w:r>
              <w:t xml:space="preserve"> GPR </w:t>
            </w:r>
            <w:r>
              <w:rPr>
                <w:rFonts w:hint="eastAsia"/>
              </w:rPr>
              <w:t xml:space="preserve">检验、OVX</w:t>
            </w:r>
            <w:r>
              <w:t xml:space="preserve"> </w:t>
            </w:r>
            <w:r>
              <w:rPr>
                <w:rFonts w:hint="eastAsia"/>
              </w:rPr>
              <w:t xml:space="preserve">滞后波动检验和长期尾部风险解释</w:t>
            </w:r>
          </w:p>
        </w:tc>
      </w:tr>
      <w:tr>
        <w:tc>
          <w:tcPr/>
          <w:p>
            <w:pPr>
              <w:pStyle w:val="Compact"/>
              <w:jc w:val="left"/>
            </w:pPr>
            <w:r>
              <w:rPr>
                <w:rFonts w:hint="eastAsia"/>
              </w:rPr>
              <w:t xml:space="preserve">长期预测不确定性</w:t>
            </w:r>
          </w:p>
        </w:tc>
        <w:tc>
          <w:tcPr/>
          <w:p>
            <w:pPr>
              <w:pStyle w:val="Compact"/>
              <w:jc w:val="left"/>
            </w:pPr>
            <w:r>
              <w:rPr>
                <w:rFonts w:hint="eastAsia"/>
              </w:rPr>
              <w:t xml:space="preserve">中长期结果应报告情景、区间和尾部概率，不夸大单点预测</w:t>
            </w:r>
          </w:p>
        </w:tc>
        <w:tc>
          <w:tcPr/>
          <w:p>
            <w:pPr>
              <w:pStyle w:val="Compact"/>
              <w:jc w:val="left"/>
            </w:pPr>
            <w:r>
              <w:rPr>
                <w:rFonts w:hint="eastAsia"/>
              </w:rPr>
              <w:t xml:space="preserve">中长期油价调节模型、蒙特卡洛和状态转移情景树</w:t>
            </w:r>
          </w:p>
        </w:tc>
      </w:tr>
    </w:tbl>
    <w:bookmarkEnd w:id="16"/>
    <w:bookmarkEnd w:id="17"/>
    <w:bookmarkStart w:id="30" w:name="数据处理与描述性分析"/>
    <w:p>
      <w:pPr>
        <w:pStyle w:val="Heading1"/>
      </w:pPr>
      <w:r>
        <w:rPr>
          <w:rFonts w:hint="eastAsia"/>
        </w:rPr>
        <w:t xml:space="preserve">数据处理与描述性分析</w:t>
      </w:r>
    </w:p>
    <w:bookmarkStart w:id="25" w:name="数据来源与清洗口径"/>
    <w:p>
      <w:pPr>
        <w:pStyle w:val="Heading2"/>
      </w:pPr>
      <w:r>
        <w:rPr>
          <w:rFonts w:hint="eastAsia"/>
        </w:rPr>
        <w:t xml:space="preserve">数据来源与清洗口径</w:t>
      </w:r>
    </w:p>
    <w:p>
      <w:pPr>
        <w:pStyle w:val="FirstParagraph"/>
      </w:pPr>
      <w:r>
        <w:rPr>
          <w:rFonts w:hint="eastAsia"/>
        </w:rPr>
        <w:t xml:space="preserve">本文使用附件中的布伦特原油期货主力合约价格数据，字段包括交易日期、开盘价、最高价、最低价、收盘价和前收盘价。原始数据共</w:t>
      </w:r>
      <w:r>
        <w:t xml:space="preserve"> 2237 </w:t>
      </w:r>
      <w:r>
        <w:rPr>
          <w:rFonts w:hint="eastAsia"/>
        </w:rPr>
        <w:t xml:space="preserve">条，覆盖</w:t>
      </w:r>
      <w:r>
        <w:t xml:space="preserve"> 2017 </w:t>
      </w:r>
      <w:r>
        <w:rPr>
          <w:rFonts w:hint="eastAsia"/>
        </w:rPr>
        <w:t xml:space="preserve">年</w:t>
      </w:r>
      <w:r>
        <w:t xml:space="preserve"> 9 </w:t>
      </w:r>
      <w:r>
        <w:rPr>
          <w:rFonts w:hint="eastAsia"/>
        </w:rPr>
        <w:t xml:space="preserve">月</w:t>
      </w:r>
      <w:r>
        <w:t xml:space="preserve"> 1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日。数据清洗步骤包括日期解析、数值字段标准化、收益率计算、滚动波动率计算和冲突窗口截取。第一条记录的前收盘价缺失属于正常时间序列边界，冲突窗口内收盘价不存在缺失。</w:t>
      </w:r>
    </w:p>
    <w:p>
      <w:pPr>
        <w:pStyle w:val="BodyText"/>
      </w:pPr>
      <w:r>
        <w:rPr>
          <w:rFonts w:hint="eastAsia"/>
        </w:rPr>
        <w:t xml:space="preserve">本文采用附件</w:t>
      </w:r>
      <w:r>
        <w:t xml:space="preserve"> CSV </w:t>
      </w:r>
      <w:r>
        <w:rPr>
          <w:rFonts w:hint="eastAsia"/>
        </w:rPr>
        <w:t xml:space="preserve">中的</w:t>
      </w:r>
      <w:r>
        <w:t xml:space="preserve"> </w:t>
      </w:r>
      <w:r>
        <w:rPr>
          <w:rStyle w:val="VerbatimChar"/>
        </w:rPr>
        <w:t xml:space="preserve">close_price</w:t>
      </w:r>
      <w:r>
        <w:t xml:space="preserve"> </w:t>
      </w:r>
      <w:r>
        <w:rPr>
          <w:rFonts w:hint="eastAsia"/>
        </w:rPr>
        <w:t xml:space="preserve">作为拟合目标。题面中提到的极端峰值和附件</w:t>
      </w:r>
      <w:r>
        <w:t xml:space="preserve"> CSV </w:t>
      </w:r>
      <w:r>
        <w:rPr>
          <w:rFonts w:hint="eastAsia"/>
        </w:rPr>
        <w:t xml:space="preserve">的收盘价口径并不完全一致，因此本文在建模评价中坚持</w:t>
      </w:r>
      <w:r>
        <w:rPr>
          <w:rFonts w:hint="eastAsia"/>
        </w:rPr>
        <w:t xml:space="preserve">“以附件数据为准”</w:t>
      </w:r>
      <w:r>
        <w:rPr>
          <w:rFonts w:hint="eastAsia"/>
        </w:rPr>
        <w:t xml:space="preserve">，并把题面峰值作为极端冲击叙述背景。</w:t>
      </w:r>
    </w:p>
    <w:p>
      <w:pPr>
        <w:pStyle w:val="BodyText"/>
      </w:pPr>
      <w:r>
        <w:rPr>
          <w:rFonts w:hint="eastAsia"/>
        </w:rPr>
        <w:t xml:space="preserve">为统一数据口径，本文将数据分为</w:t>
      </w:r>
      <w:r>
        <w:rPr>
          <w:rFonts w:hint="eastAsia"/>
        </w:rPr>
        <w:t xml:space="preserve">“拟合目标”</w:t>
      </w:r>
      <w:r>
        <w:rPr>
          <w:rFonts w:hint="eastAsia"/>
        </w:rPr>
        <w:t xml:space="preserve">“长期约束”</w:t>
      </w:r>
      <w:r>
        <w:rPr>
          <w:rFonts w:hint="eastAsia"/>
        </w:rPr>
        <w:t xml:space="preserve">“风险校验”</w:t>
      </w:r>
      <w:r>
        <w:rPr>
          <w:rFonts w:hint="eastAsia"/>
        </w:rPr>
        <w:t xml:space="preserve">和</w:t>
      </w:r>
      <w:r>
        <w:rPr>
          <w:rFonts w:hint="eastAsia"/>
        </w:rPr>
        <w:t xml:space="preserve">“候选市场变量”</w:t>
      </w:r>
      <w:r>
        <w:rPr>
          <w:rFonts w:hint="eastAsia"/>
        </w:rPr>
        <w:t xml:space="preserve">四类。短期拟合的真实价格目标只来自赛题附件；EIA、JODI、OPEC、GPR、OVX</w:t>
      </w:r>
      <w:r>
        <w:t xml:space="preserve"> </w:t>
      </w:r>
      <w:r>
        <w:rPr>
          <w:rFonts w:hint="eastAsia"/>
        </w:rPr>
        <w:t xml:space="preserve">和期限结构资料用于数量级约束、风险校验或后续扩展，不构造新的真实油价。</w:t>
      </w:r>
      <w:hyperlink w:anchor="tab:external-data-role">
        <w:r>
          <w:rPr>
            <w:rStyle w:val="Hyperlink"/>
          </w:rPr>
          <w:t xml:space="preserve">4</w:t>
        </w:r>
      </w:hyperlink>
      <w:r>
        <w:t xml:space="preserve"> </w:t>
      </w:r>
      <w:r>
        <w:rPr>
          <w:rFonts w:hint="eastAsia"/>
        </w:rPr>
        <w:t xml:space="preserve">给出各类数据在模型中的位置。</w:t>
      </w:r>
    </w:p>
    <w:bookmarkStart w:id="18" w:name="tab:external-data-role"/>
    <w:p>
      <w:pPr>
        <w:pStyle w:val="TableCaption"/>
      </w:pPr>
      <w:r>
        <w:rPr>
          <w:rFonts w:hint="eastAsia"/>
        </w:rPr>
        <w:t xml:space="preserve">外部数据来源、模型作用与使用边界</w:t>
      </w:r>
    </w:p>
    <w:tbl>
      <w:tblPr>
        <w:tblStyle w:val="Table"/>
        <w:tblW w:type="auto" w:w="0"/>
        <w:tblLook w:firstRow="1" w:lastRow="0" w:firstColumn="0" w:lastColumn="0" w:noHBand="0" w:noVBand="0" w:val="0020"/>
        <w:tblCaption w:val="外部数据来源、模型作用与使用边界"/>
      </w:tblPr>
      <w:tblGrid>
        <w:gridCol w:w="1980"/>
        <w:gridCol w:w="1980"/>
        <w:gridCol w:w="1980"/>
        <w:gridCol w:w="1980"/>
      </w:tblGrid>
      <w:tr>
        <w:trPr>
          <w:tblHeader w:val="on"/>
        </w:trPr>
        <w:tc>
          <w:tcPr/>
          <w:p>
            <w:pPr>
              <w:pStyle w:val="Compact"/>
              <w:jc w:val="left"/>
            </w:pPr>
            <w:r>
              <w:rPr>
                <w:rFonts w:hint="eastAsia"/>
              </w:rPr>
              <w:t xml:space="preserve">来源</w:t>
            </w:r>
          </w:p>
        </w:tc>
        <w:tc>
          <w:tcPr/>
          <w:p>
            <w:pPr>
              <w:pStyle w:val="Compact"/>
              <w:jc w:val="left"/>
            </w:pPr>
            <w:r>
              <w:rPr>
                <w:rFonts w:hint="eastAsia"/>
              </w:rPr>
              <w:t xml:space="preserve">数据对象</w:t>
            </w:r>
          </w:p>
        </w:tc>
        <w:tc>
          <w:tcPr/>
          <w:p>
            <w:pPr>
              <w:pStyle w:val="Compact"/>
              <w:jc w:val="left"/>
            </w:pPr>
            <w:r>
              <w:rPr>
                <w:rFonts w:hint="eastAsia"/>
              </w:rPr>
              <w:t xml:space="preserve">在模型中的作用</w:t>
            </w:r>
          </w:p>
        </w:tc>
        <w:tc>
          <w:tcPr/>
          <w:p>
            <w:pPr>
              <w:pStyle w:val="Compact"/>
              <w:jc w:val="left"/>
            </w:pPr>
            <w:r>
              <w:rPr>
                <w:rFonts w:hint="eastAsia"/>
              </w:rPr>
              <w:t xml:space="preserve">使用边界</w:t>
            </w:r>
          </w:p>
        </w:tc>
      </w:tr>
      <w:tr>
        <w:tc>
          <w:tcPr/>
          <w:p>
            <w:pPr>
              <w:pStyle w:val="Compact"/>
              <w:jc w:val="left"/>
            </w:pPr>
            <w:r>
              <w:rPr>
                <w:rFonts w:hint="eastAsia"/>
              </w:rPr>
              <w:t xml:space="preserve">赛题附件</w:t>
            </w:r>
            <w:r>
              <w:t xml:space="preserve"> CSV</w:t>
            </w:r>
          </w:p>
        </w:tc>
        <w:tc>
          <w:tcPr/>
          <w:p>
            <w:pPr>
              <w:pStyle w:val="Compact"/>
              <w:jc w:val="left"/>
            </w:pPr>
            <w:r>
              <w:t xml:space="preserve">2017–2026 </w:t>
            </w:r>
            <w:r>
              <w:rPr>
                <w:rFonts w:hint="eastAsia"/>
              </w:rPr>
              <w:t xml:space="preserve">年布伦特原油期货主力合约价格</w:t>
            </w:r>
          </w:p>
        </w:tc>
        <w:tc>
          <w:tcPr/>
          <w:p>
            <w:pPr>
              <w:pStyle w:val="Compact"/>
              <w:jc w:val="left"/>
            </w:pPr>
            <w:r>
              <w:rPr>
                <w:rFonts w:hint="eastAsia"/>
              </w:rPr>
              <w:t xml:space="preserve">短期冲击模型拟合目标、基准模型对比、历史滚动窗口检验</w:t>
            </w:r>
          </w:p>
        </w:tc>
        <w:tc>
          <w:tcPr/>
          <w:p>
            <w:pPr>
              <w:pStyle w:val="Compact"/>
              <w:jc w:val="left"/>
            </w:pPr>
            <w:r>
              <w:rPr>
                <w:rFonts w:hint="eastAsia"/>
              </w:rPr>
              <w:t xml:space="preserve">唯一真实价格来源；短期</w:t>
            </w:r>
            <w:r>
              <w:t xml:space="preserve"> RMSE、MAE、MAPE </w:t>
            </w:r>
            <w:r>
              <w:rPr>
                <w:rFonts w:hint="eastAsia"/>
              </w:rPr>
              <w:t xml:space="preserve">均以附件收盘价计算</w:t>
            </w:r>
          </w:p>
        </w:tc>
      </w:tr>
      <w:tr>
        <w:tc>
          <w:tcPr/>
          <w:p>
            <w:pPr>
              <w:pStyle w:val="Compact"/>
              <w:jc w:val="left"/>
            </w:pPr>
            <w:r>
              <w:t xml:space="preserve">EIA </w:t>
            </w:r>
            <w:r>
              <w:rPr>
                <w:rFonts w:hint="eastAsia"/>
              </w:rPr>
              <w:t xml:space="preserve">周度石油数据</w:t>
            </w:r>
          </w:p>
        </w:tc>
        <w:tc>
          <w:tcPr/>
          <w:p>
            <w:pPr>
              <w:pStyle w:val="Compact"/>
              <w:jc w:val="left"/>
            </w:pPr>
            <w:r>
              <w:rPr>
                <w:rFonts w:hint="eastAsia"/>
              </w:rPr>
              <w:t xml:space="preserve">美国</w:t>
            </w:r>
            <w:r>
              <w:t xml:space="preserve"> SPR </w:t>
            </w:r>
            <w:r>
              <w:rPr>
                <w:rFonts w:hint="eastAsia"/>
              </w:rPr>
              <w:t xml:space="preserve">库存、商业库存、原油产量</w:t>
            </w:r>
          </w:p>
        </w:tc>
        <w:tc>
          <w:tcPr/>
          <w:p>
            <w:pPr>
              <w:pStyle w:val="Compact"/>
              <w:jc w:val="left"/>
            </w:pPr>
            <w:r>
              <w:rPr>
                <w:rFonts w:hint="eastAsia"/>
              </w:rPr>
              <w:t xml:space="preserve">中长期油价调节模型中的库存缓冲、SPR</w:t>
            </w:r>
            <w:r>
              <w:t xml:space="preserve"> </w:t>
            </w:r>
            <w:r>
              <w:rPr>
                <w:rFonts w:hint="eastAsia"/>
              </w:rPr>
              <w:t xml:space="preserve">释放强度和非海湾供给恢复数量级校验</w:t>
            </w:r>
          </w:p>
        </w:tc>
        <w:tc>
          <w:tcPr/>
          <w:p>
            <w:pPr>
              <w:pStyle w:val="Compact"/>
              <w:jc w:val="left"/>
            </w:pPr>
            <w:r>
              <w:rPr>
                <w:rFonts w:hint="eastAsia"/>
              </w:rPr>
              <w:t xml:space="preserve">美国口径，不等同全球总量；不参与短期模型拟合</w:t>
            </w:r>
          </w:p>
        </w:tc>
      </w:tr>
      <w:tr>
        <w:tc>
          <w:tcPr/>
          <w:p>
            <w:pPr>
              <w:pStyle w:val="Compact"/>
              <w:jc w:val="left"/>
            </w:pPr>
            <w:r>
              <w:t xml:space="preserve">JODI Oil World Database</w:t>
            </w:r>
          </w:p>
        </w:tc>
        <w:tc>
          <w:tcPr/>
          <w:p>
            <w:pPr>
              <w:pStyle w:val="Compact"/>
              <w:jc w:val="left"/>
            </w:pPr>
            <w:r>
              <w:rPr>
                <w:rFonts w:hint="eastAsia"/>
              </w:rPr>
              <w:t xml:space="preserve">多国月度产量、库存、进出口、需求、炼厂产出</w:t>
            </w:r>
          </w:p>
        </w:tc>
        <w:tc>
          <w:tcPr/>
          <w:p>
            <w:pPr>
              <w:pStyle w:val="Compact"/>
              <w:jc w:val="left"/>
            </w:pPr>
            <w:r>
              <w:rPr>
                <w:rFonts w:hint="eastAsia"/>
              </w:rPr>
              <w:t xml:space="preserve">多国上报口径下的供需与库存约束，辅助校验中长期参数方向</w:t>
            </w:r>
          </w:p>
        </w:tc>
        <w:tc>
          <w:tcPr/>
          <w:p>
            <w:pPr>
              <w:pStyle w:val="Compact"/>
              <w:jc w:val="left"/>
            </w:pPr>
            <w:r>
              <w:rPr>
                <w:rFonts w:hint="eastAsia"/>
              </w:rPr>
              <w:t xml:space="preserve">有国家覆盖差异和发布滞后，只作同口径数量级校验</w:t>
            </w:r>
          </w:p>
        </w:tc>
      </w:tr>
      <w:tr>
        <w:tc>
          <w:tcPr/>
          <w:p>
            <w:pPr>
              <w:pStyle w:val="Compact"/>
              <w:jc w:val="left"/>
            </w:pPr>
            <w:r>
              <w:t xml:space="preserve">OPEC MOMR</w:t>
            </w:r>
          </w:p>
        </w:tc>
        <w:tc>
          <w:tcPr/>
          <w:p>
            <w:pPr>
              <w:pStyle w:val="Compact"/>
              <w:jc w:val="left"/>
            </w:pPr>
            <w:r>
              <w:rPr>
                <w:rFonts w:hint="eastAsia"/>
              </w:rPr>
              <w:t xml:space="preserve">全球供需平衡表、需求增量、非</w:t>
            </w:r>
            <w:r>
              <w:t xml:space="preserve"> DoC </w:t>
            </w:r>
            <w:r>
              <w:rPr>
                <w:rFonts w:hint="eastAsia"/>
              </w:rPr>
              <w:t xml:space="preserve">供给增量、DoC</w:t>
            </w:r>
            <w:r>
              <w:t xml:space="preserve"> </w:t>
            </w:r>
            <w:r>
              <w:rPr>
                <w:rFonts w:hint="eastAsia"/>
              </w:rPr>
              <w:t xml:space="preserve">原油需求差额</w:t>
            </w:r>
          </w:p>
        </w:tc>
        <w:tc>
          <w:tcPr/>
          <w:p>
            <w:pPr>
              <w:pStyle w:val="Compact"/>
              <w:jc w:val="left"/>
            </w:pPr>
            <w:r>
              <w:rPr>
                <w:rFonts w:hint="eastAsia"/>
              </w:rPr>
              <w:t xml:space="preserve">约束中长期油价调节模型中的需求背景、供给恢复和尾部压力</w:t>
            </w:r>
          </w:p>
        </w:tc>
        <w:tc>
          <w:tcPr/>
          <w:p>
            <w:pPr>
              <w:pStyle w:val="Compact"/>
              <w:jc w:val="left"/>
            </w:pPr>
            <w:r>
              <w:rPr>
                <w:rFonts w:hint="eastAsia"/>
              </w:rPr>
              <w:t xml:space="preserve">正常基线预测，不替代霍尔木兹封锁冲击参数</w:t>
            </w:r>
          </w:p>
        </w:tc>
      </w:tr>
      <w:tr>
        <w:tc>
          <w:tcPr/>
          <w:p>
            <w:pPr>
              <w:pStyle w:val="Compact"/>
              <w:jc w:val="left"/>
            </w:pPr>
            <w:r>
              <w:t xml:space="preserve">Caldara-Iacoviello GPR</w:t>
            </w:r>
          </w:p>
        </w:tc>
        <w:tc>
          <w:tcPr/>
          <w:p>
            <w:pPr>
              <w:pStyle w:val="Compact"/>
              <w:jc w:val="left"/>
            </w:pPr>
            <w:r>
              <w:rPr>
                <w:rFonts w:hint="eastAsia"/>
              </w:rPr>
              <w:t xml:space="preserve">月度地缘政治风险指数</w:t>
            </w:r>
          </w:p>
        </w:tc>
        <w:tc>
          <w:tcPr/>
          <w:p>
            <w:pPr>
              <w:pStyle w:val="Compact"/>
              <w:jc w:val="left"/>
            </w:pPr>
            <w:r>
              <w:rPr>
                <w:rFonts w:hint="eastAsia"/>
              </w:rPr>
              <w:t xml:space="preserve">外部校验地缘风险溢价，并进行滞后相关检验</w:t>
            </w:r>
          </w:p>
        </w:tc>
        <w:tc>
          <w:tcPr/>
          <w:p>
            <w:pPr>
              <w:pStyle w:val="Compact"/>
              <w:jc w:val="left"/>
            </w:pPr>
            <w:r>
              <w:rPr>
                <w:rFonts w:hint="eastAsia"/>
              </w:rPr>
              <w:t xml:space="preserve">指数由新闻构造，避免同月解释同月价格；不作为短期同步拟合输入</w:t>
            </w:r>
          </w:p>
        </w:tc>
      </w:tr>
      <w:tr>
        <w:tc>
          <w:tcPr/>
          <w:p>
            <w:pPr>
              <w:pStyle w:val="Compact"/>
              <w:jc w:val="left"/>
            </w:pPr>
            <w:r>
              <w:t xml:space="preserve">FRED/Cboe OVX</w:t>
            </w:r>
          </w:p>
        </w:tc>
        <w:tc>
          <w:tcPr/>
          <w:p>
            <w:pPr>
              <w:pStyle w:val="Compact"/>
              <w:jc w:val="left"/>
            </w:pPr>
            <w:r>
              <w:rPr>
                <w:rFonts w:hint="eastAsia"/>
              </w:rPr>
              <w:t xml:space="preserve">原油</w:t>
            </w:r>
            <w:r>
              <w:t xml:space="preserve"> ETF </w:t>
            </w:r>
            <w:r>
              <w:rPr>
                <w:rFonts w:hint="eastAsia"/>
              </w:rPr>
              <w:t xml:space="preserve">隐含波动率</w:t>
            </w:r>
          </w:p>
        </w:tc>
        <w:tc>
          <w:tcPr/>
          <w:p>
            <w:pPr>
              <w:pStyle w:val="Compact"/>
              <w:jc w:val="left"/>
            </w:pPr>
            <w:r>
              <w:rPr>
                <w:rFonts w:hint="eastAsia"/>
              </w:rPr>
              <w:t xml:space="preserve">约束长期状态转移压力、不确定性强度和尾部风险</w:t>
            </w:r>
          </w:p>
        </w:tc>
        <w:tc>
          <w:tcPr/>
          <w:p>
            <w:pPr>
              <w:pStyle w:val="Compact"/>
              <w:jc w:val="left"/>
            </w:pPr>
            <w:r>
              <w:rPr>
                <w:rFonts w:hint="eastAsia"/>
              </w:rPr>
              <w:t xml:space="preserve">反映期权市场波动预期，不直接预测日度价格方向</w:t>
            </w:r>
          </w:p>
        </w:tc>
      </w:tr>
      <w:tr>
        <w:tc>
          <w:tcPr/>
          <w:p>
            <w:pPr>
              <w:pStyle w:val="Compact"/>
              <w:jc w:val="left"/>
            </w:pPr>
            <w:r>
              <w:t xml:space="preserve">ICE / EIA </w:t>
            </w:r>
            <w:r>
              <w:rPr>
                <w:rFonts w:hint="eastAsia"/>
              </w:rPr>
              <w:t xml:space="preserve">报道</w:t>
            </w:r>
          </w:p>
        </w:tc>
        <w:tc>
          <w:tcPr/>
          <w:p>
            <w:pPr>
              <w:pStyle w:val="Compact"/>
              <w:jc w:val="left"/>
            </w:pPr>
            <w:r>
              <w:t xml:space="preserve">Brent </w:t>
            </w:r>
            <w:r>
              <w:rPr>
                <w:rFonts w:hint="eastAsia"/>
              </w:rPr>
              <w:t xml:space="preserve">多期限官方结算价候选来源、现货-近月期货价差公开证据</w:t>
            </w:r>
          </w:p>
        </w:tc>
        <w:tc>
          <w:tcPr/>
          <w:p>
            <w:pPr>
              <w:pStyle w:val="Compact"/>
              <w:jc w:val="left"/>
            </w:pPr>
            <w:r>
              <w:rPr>
                <w:rFonts w:hint="eastAsia"/>
              </w:rPr>
              <w:t xml:space="preserve">候选期限结构变量，用于未来约束近端短缺和库存压力</w:t>
            </w:r>
          </w:p>
        </w:tc>
        <w:tc>
          <w:tcPr/>
          <w:p>
            <w:pPr>
              <w:pStyle w:val="Compact"/>
              <w:jc w:val="left"/>
            </w:pPr>
            <w:r>
              <w:rPr>
                <w:rFonts w:hint="eastAsia"/>
              </w:rPr>
              <w:t xml:space="preserve">当前未获得完整可复现多期限曲线，暂不写入数值模型；后续只采用</w:t>
            </w:r>
            <w:r>
              <w:t xml:space="preserve"> ICE </w:t>
            </w:r>
            <w:r>
              <w:rPr>
                <w:rFonts w:hint="eastAsia"/>
              </w:rPr>
              <w:t xml:space="preserve">官方多期限结算价口径</w:t>
            </w:r>
          </w:p>
        </w:tc>
      </w:tr>
    </w:tbl>
    <w:bookmarkEnd w:id="18"/>
    <w:p>
      <w:pPr>
        <w:pStyle w:val="TableCaption"/>
      </w:pPr>
      <w:r>
        <w:rPr>
          <w:rFonts w:hint="eastAsia"/>
        </w:rPr>
        <w:t xml:space="preserve">附件数据和冲突窗口关键统计</w:t>
      </w:r>
    </w:p>
    <w:tbl>
      <w:tblPr>
        <w:tblStyle w:val="Table"/>
        <w:tblW w:type="auto" w:w="0"/>
        <w:tblLook w:firstRow="1" w:lastRow="0" w:firstColumn="0" w:lastColumn="0" w:noHBand="0" w:noVBand="0" w:val="0020"/>
        <w:tblCaption w:val="附件数据和冲突窗口关键统计"/>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原始记录数</w:t>
            </w:r>
          </w:p>
        </w:tc>
        <w:tc>
          <w:tcPr/>
          <w:p>
            <w:pPr>
              <w:pStyle w:val="Compact"/>
              <w:jc w:val="right"/>
            </w:pPr>
            <w:r>
              <w:t xml:space="preserve">2237</w:t>
            </w:r>
          </w:p>
        </w:tc>
      </w:tr>
      <w:tr>
        <w:tc>
          <w:tcPr/>
          <w:p>
            <w:pPr>
              <w:pStyle w:val="Compact"/>
              <w:jc w:val="left"/>
            </w:pPr>
            <w:r>
              <w:rPr>
                <w:rFonts w:hint="eastAsia"/>
              </w:rPr>
              <w:t xml:space="preserve">全样本日期范围</w:t>
            </w:r>
          </w:p>
        </w:tc>
        <w:tc>
          <w:tcPr/>
          <w:p>
            <w:pPr>
              <w:pStyle w:val="Compact"/>
              <w:jc w:val="right"/>
            </w:pPr>
            <w:r>
              <w:t xml:space="preserve">2017-09-01 </w:t>
            </w:r>
            <w:r>
              <w:rPr>
                <w:rFonts w:hint="eastAsia"/>
              </w:rPr>
              <w:t xml:space="preserve">至</w:t>
            </w:r>
            <w:r>
              <w:t xml:space="preserve"> 2026-05-05</w:t>
            </w:r>
          </w:p>
        </w:tc>
      </w:tr>
      <w:tr>
        <w:tc>
          <w:tcPr/>
          <w:p>
            <w:pPr>
              <w:pStyle w:val="Compact"/>
              <w:jc w:val="left"/>
            </w:pPr>
            <w:r>
              <w:rPr>
                <w:rFonts w:hint="eastAsia"/>
              </w:rPr>
              <w:t xml:space="preserve">冲突窗口日期范围</w:t>
            </w:r>
          </w:p>
        </w:tc>
        <w:tc>
          <w:tcPr/>
          <w:p>
            <w:pPr>
              <w:pStyle w:val="Compact"/>
              <w:jc w:val="right"/>
            </w:pPr>
            <w:r>
              <w:t xml:space="preserve">2026-03-02 </w:t>
            </w:r>
            <w:r>
              <w:rPr>
                <w:rFonts w:hint="eastAsia"/>
              </w:rPr>
              <w:t xml:space="preserve">至</w:t>
            </w:r>
            <w:r>
              <w:t xml:space="preserve"> 2026-05-05</w:t>
            </w:r>
          </w:p>
        </w:tc>
      </w:tr>
      <w:tr>
        <w:tc>
          <w:tcPr/>
          <w:p>
            <w:pPr>
              <w:pStyle w:val="Compact"/>
              <w:jc w:val="left"/>
            </w:pPr>
            <w:r>
              <w:rPr>
                <w:rFonts w:hint="eastAsia"/>
              </w:rPr>
              <w:t xml:space="preserve">冲突窗口交易日数</w:t>
            </w:r>
          </w:p>
        </w:tc>
        <w:tc>
          <w:tcPr/>
          <w:p>
            <w:pPr>
              <w:pStyle w:val="Compact"/>
              <w:jc w:val="right"/>
            </w:pPr>
            <w:r>
              <w:t xml:space="preserve">46</w:t>
            </w:r>
          </w:p>
        </w:tc>
      </w:tr>
      <w:tr>
        <w:tc>
          <w:tcPr/>
          <w:p>
            <w:pPr>
              <w:pStyle w:val="Compact"/>
              <w:jc w:val="left"/>
            </w:pPr>
            <w:r>
              <w:rPr>
                <w:rFonts w:hint="eastAsia"/>
              </w:rPr>
              <w:t xml:space="preserve">冲突窗口最低收盘价</w:t>
            </w:r>
          </w:p>
        </w:tc>
        <w:tc>
          <w:tcPr/>
          <w:p>
            <w:pPr>
              <w:pStyle w:val="Compact"/>
              <w:jc w:val="right"/>
            </w:pPr>
            <w:r>
              <w:t xml:space="preserve">78.07</w:t>
            </w:r>
          </w:p>
        </w:tc>
      </w:tr>
      <w:tr>
        <w:tc>
          <w:tcPr/>
          <w:p>
            <w:pPr>
              <w:pStyle w:val="Compact"/>
              <w:jc w:val="left"/>
            </w:pPr>
            <w:r>
              <w:rPr>
                <w:rFonts w:hint="eastAsia"/>
              </w:rPr>
              <w:t xml:space="preserve">冲突窗口最高收盘价</w:t>
            </w:r>
          </w:p>
        </w:tc>
        <w:tc>
          <w:tcPr/>
          <w:p>
            <w:pPr>
              <w:pStyle w:val="Compact"/>
              <w:jc w:val="right"/>
            </w:pPr>
            <w:r>
              <w:t xml:space="preserve">114.06</w:t>
            </w:r>
          </w:p>
        </w:tc>
      </w:tr>
      <w:tr>
        <w:tc>
          <w:tcPr/>
          <w:p>
            <w:pPr>
              <w:pStyle w:val="Compact"/>
              <w:jc w:val="left"/>
            </w:pPr>
            <w:r>
              <w:rPr>
                <w:rFonts w:hint="eastAsia"/>
              </w:rPr>
              <w:t xml:space="preserve">冲突窗口最高盘中价</w:t>
            </w:r>
          </w:p>
        </w:tc>
        <w:tc>
          <w:tcPr/>
          <w:p>
            <w:pPr>
              <w:pStyle w:val="Compact"/>
              <w:jc w:val="right"/>
            </w:pPr>
            <w:r>
              <w:t xml:space="preserve">119.50</w:t>
            </w:r>
          </w:p>
        </w:tc>
      </w:tr>
      <w:tr>
        <w:tc>
          <w:tcPr/>
          <w:p>
            <w:pPr>
              <w:pStyle w:val="Compact"/>
              <w:jc w:val="left"/>
            </w:pPr>
            <w:r>
              <w:rPr>
                <w:rFonts w:hint="eastAsia"/>
              </w:rPr>
              <w:t xml:space="preserve">冲突窗口平均收盘价</w:t>
            </w:r>
          </w:p>
        </w:tc>
        <w:tc>
          <w:tcPr/>
          <w:p>
            <w:pPr>
              <w:pStyle w:val="Compact"/>
              <w:jc w:val="right"/>
            </w:pPr>
            <w:r>
              <w:t xml:space="preserve">99.72</w:t>
            </w:r>
          </w:p>
        </w:tc>
      </w:tr>
      <w:tr>
        <w:tc>
          <w:tcPr/>
          <w:p>
            <w:pPr>
              <w:pStyle w:val="Compact"/>
              <w:jc w:val="left"/>
            </w:pPr>
            <w:r>
              <w:rPr>
                <w:rFonts w:hint="eastAsia"/>
              </w:rPr>
              <w:t xml:space="preserve">冲突窗口末日收盘价</w:t>
            </w:r>
          </w:p>
        </w:tc>
        <w:tc>
          <w:tcPr/>
          <w:p>
            <w:pPr>
              <w:pStyle w:val="Compact"/>
              <w:jc w:val="right"/>
            </w:pPr>
            <w:r>
              <w:t xml:space="preserve">110.31</w:t>
            </w:r>
          </w:p>
        </w:tc>
      </w:tr>
    </w:tbl>
    <w:p>
      <w:pPr>
        <w:pStyle w:val="BodyText"/>
      </w:pPr>
      <w:r>
        <w:rPr>
          <w:rFonts w:hint="eastAsia"/>
        </w:rPr>
        <w:t xml:space="preserve">为增强中长期油价调节模型的外部约束，本文进一步补充</w:t>
      </w:r>
      <w:r>
        <w:t xml:space="preserve"> EIA </w:t>
      </w:r>
      <w:r>
        <w:rPr>
          <w:rFonts w:hint="eastAsia"/>
        </w:rPr>
        <w:t xml:space="preserve">官方周度数据，包括美国</w:t>
      </w:r>
      <w:r>
        <w:t xml:space="preserve"> SPR </w:t>
      </w:r>
      <w:r>
        <w:rPr>
          <w:rFonts w:hint="eastAsia"/>
        </w:rPr>
        <w:t xml:space="preserve">原油库存、美国商业原油库存和美国原油产量。由于</w:t>
      </w:r>
      <w:r>
        <w:t xml:space="preserve"> EIA </w:t>
      </w:r>
      <w:r>
        <w:rPr>
          <w:rFonts w:hint="eastAsia"/>
        </w:rPr>
        <w:t xml:space="preserve">数据为美国口径，本文只将其用于校验</w:t>
      </w:r>
      <w:r>
        <w:t xml:space="preserve"> </w:t>
      </w:r>
      <w:r>
        <w:rPr>
          <w:rFonts w:hint="eastAsia"/>
        </w:rPr>
        <w:t xml:space="preserve">SPR、商业库存和非海湾供给恢复的数量级。</w:t>
      </w:r>
    </w:p>
    <w:p>
      <w:pPr>
        <w:pStyle w:val="TableCaption"/>
      </w:pPr>
      <w:r>
        <w:t xml:space="preserve">EIA </w:t>
      </w:r>
      <w:r>
        <w:rPr>
          <w:rFonts w:hint="eastAsia"/>
        </w:rPr>
        <w:t xml:space="preserve">官方外生数据摘要</w:t>
      </w:r>
    </w:p>
    <w:tbl>
      <w:tblPr>
        <w:tblStyle w:val="Table"/>
        <w:tblW w:type="auto" w:w="0"/>
        <w:tblLook w:firstRow="1" w:lastRow="0" w:firstColumn="0" w:lastColumn="0" w:noHBand="0" w:noVBand="0" w:val="0020"/>
        <w:tblCaption w:val="EIA 官方外生数据摘要"/>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冲突前数值</w:t>
            </w:r>
          </w:p>
        </w:tc>
        <w:tc>
          <w:tcPr/>
          <w:p>
            <w:pPr>
              <w:pStyle w:val="Compact"/>
              <w:jc w:val="right"/>
            </w:pPr>
            <w:r>
              <w:rPr>
                <w:rFonts w:hint="eastAsia"/>
              </w:rPr>
              <w:t xml:space="preserve">窗口末数值</w:t>
            </w:r>
          </w:p>
        </w:tc>
        <w:tc>
          <w:tcPr/>
          <w:p>
            <w:pPr>
              <w:pStyle w:val="Compact"/>
              <w:jc w:val="right"/>
            </w:pPr>
            <w:r>
              <w:rPr>
                <w:rFonts w:hint="eastAsia"/>
              </w:rPr>
              <w:t xml:space="preserve">窗口变化</w:t>
            </w:r>
          </w:p>
        </w:tc>
        <w:tc>
          <w:tcPr/>
          <w:p>
            <w:pPr>
              <w:pStyle w:val="Compact"/>
              <w:jc w:val="right"/>
            </w:pPr>
            <w:r>
              <w:rPr>
                <w:rFonts w:hint="eastAsia"/>
              </w:rPr>
              <w:t xml:space="preserve">日均变化</w:t>
            </w:r>
          </w:p>
        </w:tc>
      </w:tr>
      <w:tr>
        <w:tc>
          <w:tcPr/>
          <w:p>
            <w:pPr>
              <w:pStyle w:val="Compact"/>
              <w:jc w:val="left"/>
            </w:pPr>
            <w:r>
              <w:rPr>
                <w:rFonts w:hint="eastAsia"/>
              </w:rPr>
              <w:t xml:space="preserve">美国</w:t>
            </w:r>
            <w:r>
              <w:t xml:space="preserve"> SPR </w:t>
            </w:r>
            <w:r>
              <w:rPr>
                <w:rFonts w:hint="eastAsia"/>
              </w:rPr>
              <w:t xml:space="preserve">库存</w:t>
            </w:r>
          </w:p>
        </w:tc>
        <w:tc>
          <w:tcPr/>
          <w:p>
            <w:pPr>
              <w:pStyle w:val="Compact"/>
              <w:jc w:val="right"/>
            </w:pPr>
            <w:r>
              <w:t xml:space="preserve">415441</w:t>
            </w:r>
          </w:p>
        </w:tc>
        <w:tc>
          <w:tcPr/>
          <w:p>
            <w:pPr>
              <w:pStyle w:val="Compact"/>
              <w:jc w:val="right"/>
            </w:pPr>
            <w:r>
              <w:t xml:space="preserve">392700</w:t>
            </w:r>
          </w:p>
        </w:tc>
        <w:tc>
          <w:tcPr/>
          <w:p>
            <w:pPr>
              <w:pStyle w:val="Compact"/>
              <w:jc w:val="right"/>
            </w:pPr>
            <w:r>
              <w:t xml:space="preserve">-2274.1 </w:t>
            </w:r>
            <w:r>
              <w:rPr>
                <w:rFonts w:hint="eastAsia"/>
              </w:rPr>
              <w:t xml:space="preserve">万桶</w:t>
            </w:r>
          </w:p>
        </w:tc>
        <w:tc>
          <w:tcPr/>
          <w:p>
            <w:pPr>
              <w:pStyle w:val="Compact"/>
              <w:jc w:val="right"/>
            </w:pPr>
            <w:r>
              <w:t xml:space="preserve">-36.10 </w:t>
            </w:r>
            <w:r>
              <w:rPr>
                <w:rFonts w:hint="eastAsia"/>
              </w:rPr>
              <w:t xml:space="preserve">万桶/日</w:t>
            </w:r>
          </w:p>
        </w:tc>
      </w:tr>
      <w:tr>
        <w:tc>
          <w:tcPr/>
          <w:p>
            <w:pPr>
              <w:pStyle w:val="Compact"/>
              <w:jc w:val="left"/>
            </w:pPr>
            <w:r>
              <w:rPr>
                <w:rFonts w:hint="eastAsia"/>
              </w:rPr>
              <w:t xml:space="preserve">美国商业库存</w:t>
            </w:r>
          </w:p>
        </w:tc>
        <w:tc>
          <w:tcPr/>
          <w:p>
            <w:pPr>
              <w:pStyle w:val="Compact"/>
              <w:jc w:val="right"/>
            </w:pPr>
            <w:r>
              <w:t xml:space="preserve">439279</w:t>
            </w:r>
          </w:p>
        </w:tc>
        <w:tc>
          <w:tcPr/>
          <w:p>
            <w:pPr>
              <w:pStyle w:val="Compact"/>
              <w:jc w:val="right"/>
            </w:pPr>
            <w:r>
              <w:t xml:space="preserve">457182</w:t>
            </w:r>
          </w:p>
        </w:tc>
        <w:tc>
          <w:tcPr/>
          <w:p>
            <w:pPr>
              <w:pStyle w:val="Compact"/>
              <w:jc w:val="right"/>
            </w:pPr>
            <w:r>
              <w:t xml:space="preserve">1790.3 </w:t>
            </w:r>
            <w:r>
              <w:rPr>
                <w:rFonts w:hint="eastAsia"/>
              </w:rPr>
              <w:t xml:space="preserve">万桶</w:t>
            </w:r>
          </w:p>
        </w:tc>
        <w:tc>
          <w:tcPr/>
          <w:p>
            <w:pPr>
              <w:pStyle w:val="Compact"/>
              <w:jc w:val="right"/>
            </w:pPr>
            <w:r>
              <w:t xml:space="preserve">28.42 </w:t>
            </w:r>
            <w:r>
              <w:rPr>
                <w:rFonts w:hint="eastAsia"/>
              </w:rPr>
              <w:t xml:space="preserve">万桶/日</w:t>
            </w:r>
          </w:p>
        </w:tc>
      </w:tr>
      <w:tr>
        <w:tc>
          <w:tcPr/>
          <w:p>
            <w:pPr>
              <w:pStyle w:val="Compact"/>
              <w:jc w:val="left"/>
            </w:pPr>
            <w:r>
              <w:rPr>
                <w:rFonts w:hint="eastAsia"/>
              </w:rPr>
              <w:t xml:space="preserve">美国原油产量</w:t>
            </w:r>
          </w:p>
        </w:tc>
        <w:tc>
          <w:tcPr/>
          <w:p>
            <w:pPr>
              <w:pStyle w:val="Compact"/>
              <w:jc w:val="right"/>
            </w:pPr>
            <w:r>
              <w:t xml:space="preserve">13696</w:t>
            </w:r>
          </w:p>
        </w:tc>
        <w:tc>
          <w:tcPr/>
          <w:p>
            <w:pPr>
              <w:pStyle w:val="Compact"/>
              <w:jc w:val="right"/>
            </w:pPr>
            <w:r>
              <w:t xml:space="preserve">13573</w:t>
            </w:r>
          </w:p>
        </w:tc>
        <w:tc>
          <w:tcPr/>
          <w:p>
            <w:pPr>
              <w:pStyle w:val="Compact"/>
              <w:jc w:val="right"/>
            </w:pPr>
            <w:r>
              <w:t xml:space="preserve">-12.3 </w:t>
            </w:r>
            <w:r>
              <w:rPr>
                <w:rFonts w:hint="eastAsia"/>
              </w:rPr>
              <w:t xml:space="preserve">万桶/日</w:t>
            </w:r>
          </w:p>
        </w:tc>
        <w:tc>
          <w:tcPr/>
          <w:p>
            <w:pPr>
              <w:pStyle w:val="Compact"/>
              <w:jc w:val="right"/>
            </w:pPr>
            <w:r>
              <w:t xml:space="preserve">-0.20 </w:t>
            </w:r>
            <w:r>
              <w:rPr>
                <w:rFonts w:hint="eastAsia"/>
              </w:rPr>
              <w:t xml:space="preserve">万桶/日</w:t>
            </w:r>
          </w:p>
        </w:tc>
      </w:tr>
    </w:tbl>
    <w:p>
      <w:pPr>
        <w:pStyle w:val="BodyText"/>
      </w:pPr>
      <w:r>
        <w:rPr>
          <w:rFonts w:hint="eastAsia"/>
        </w:rPr>
        <w:t xml:space="preserve">该外部数据带来三个约束。第一，美国</w:t>
      </w:r>
      <w:r>
        <w:t xml:space="preserve"> SPR </w:t>
      </w:r>
      <w:r>
        <w:rPr>
          <w:rFonts w:hint="eastAsia"/>
        </w:rPr>
        <w:t xml:space="preserve">释放强度明显低于赛题给定的国际协调释放上限，因此模型中的</w:t>
      </w:r>
      <w:r>
        <w:t xml:space="preserve"> SPR </w:t>
      </w:r>
      <w:r>
        <w:rPr>
          <w:rFonts w:hint="eastAsia"/>
        </w:rPr>
        <w:t xml:space="preserve">参数应解释为全球或多国协调缓冲能力，而非美国单独释放量。第二，美国商业库存并未在冲突窗口内快速耗尽，说明库存缓冲不能被写成机械消耗项。第三，美国原油产量短期变化较小，支持</w:t>
      </w:r>
      <w:r>
        <w:rPr>
          <w:rFonts w:hint="eastAsia"/>
        </w:rPr>
        <w:t xml:space="preserve">“非海湾供给恢复较慢，难以单独抵消封锁缺口”</w:t>
      </w:r>
      <w:r>
        <w:rPr>
          <w:rFonts w:hint="eastAsia"/>
        </w:rPr>
        <w:t xml:space="preserve">的长期设定。</w:t>
      </w:r>
    </w:p>
    <w:p>
      <w:pPr>
        <w:pStyle w:val="BodyText"/>
      </w:pPr>
      <w:r>
        <w:rPr>
          <w:rFonts w:hint="eastAsia"/>
        </w:rPr>
        <w:t xml:space="preserve">为补强全球口径约束，本文进一步接入</w:t>
      </w:r>
      <w:r>
        <w:t xml:space="preserve"> JODI Oil World Database。JODI </w:t>
      </w:r>
      <w:r>
        <w:rPr>
          <w:rFonts w:hint="eastAsia"/>
        </w:rPr>
        <w:t xml:space="preserve">数据由国际能源论坛协调，汇集多国官方上报的月度石油数据。本文抽取一次石油和二次石油中的产量、库存、进出口、油品需求与炼厂产出，并采用</w:t>
      </w:r>
      <w:r>
        <w:t xml:space="preserve"> 2026 </w:t>
      </w:r>
      <w:r>
        <w:rPr>
          <w:rFonts w:hint="eastAsia"/>
        </w:rPr>
        <w:t xml:space="preserve">年</w:t>
      </w:r>
      <w:r>
        <w:t xml:space="preserve"> 2 </w:t>
      </w:r>
      <w:r>
        <w:rPr>
          <w:rFonts w:hint="eastAsia"/>
        </w:rPr>
        <w:t xml:space="preserve">月已上报国家/地区作为同口径样本。由于</w:t>
      </w:r>
      <w:r>
        <w:t xml:space="preserve"> JODI </w:t>
      </w:r>
      <w:r>
        <w:rPr>
          <w:rFonts w:hint="eastAsia"/>
        </w:rPr>
        <w:t xml:space="preserve">存在国家覆盖差异和发布滞后，本文将其表述为</w:t>
      </w:r>
      <w:r>
        <w:rPr>
          <w:rFonts w:hint="eastAsia"/>
        </w:rPr>
        <w:t xml:space="preserve">“多国上报口径”</w:t>
      </w:r>
      <w:r>
        <w:rPr>
          <w:rFonts w:hint="eastAsia"/>
        </w:rPr>
        <w:t xml:space="preserve">，用于中长期参数方向和数量级校验。</w:t>
      </w:r>
    </w:p>
    <w:p>
      <w:pPr>
        <w:pStyle w:val="TableCaption"/>
      </w:pPr>
      <w:r>
        <w:t xml:space="preserve">JODI </w:t>
      </w:r>
      <w:r>
        <w:rPr>
          <w:rFonts w:hint="eastAsia"/>
        </w:rPr>
        <w:t xml:space="preserve">多国口径外生约束摘要</w:t>
      </w:r>
    </w:p>
    <w:tbl>
      <w:tblPr>
        <w:tblStyle w:val="Table"/>
        <w:tblW w:type="auto" w:w="0"/>
        <w:tblLook w:firstRow="1" w:lastRow="0" w:firstColumn="0" w:lastColumn="0" w:noHBand="0" w:noVBand="0" w:val="0020"/>
        <w:tblCaption w:val="JODI 多国口径外生约束摘要"/>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月份</w:t>
            </w:r>
          </w:p>
        </w:tc>
        <w:tc>
          <w:tcPr/>
          <w:p>
            <w:pPr>
              <w:pStyle w:val="Compact"/>
              <w:jc w:val="right"/>
            </w:pPr>
            <w:r>
              <w:rPr>
                <w:rFonts w:hint="eastAsia"/>
              </w:rPr>
              <w:t xml:space="preserve">数值</w:t>
            </w:r>
          </w:p>
        </w:tc>
        <w:tc>
          <w:tcPr/>
          <w:p>
            <w:pPr>
              <w:pStyle w:val="Compact"/>
              <w:jc w:val="right"/>
            </w:pPr>
            <w:r>
              <w:rPr>
                <w:rFonts w:hint="eastAsia"/>
              </w:rPr>
              <w:t xml:space="preserve">单位</w:t>
            </w:r>
          </w:p>
        </w:tc>
        <w:tc>
          <w:tcPr/>
          <w:p>
            <w:pPr>
              <w:pStyle w:val="Compact"/>
              <w:jc w:val="right"/>
            </w:pPr>
            <w:r>
              <w:rPr>
                <w:rFonts w:hint="eastAsia"/>
              </w:rPr>
              <w:t xml:space="preserve">同口径较上年末变化</w:t>
            </w:r>
          </w:p>
        </w:tc>
      </w:tr>
      <w:tr>
        <w:tc>
          <w:tcPr/>
          <w:p>
            <w:pPr>
              <w:pStyle w:val="Compact"/>
              <w:jc w:val="left"/>
            </w:pPr>
            <w:r>
              <w:rPr>
                <w:rFonts w:hint="eastAsia"/>
              </w:rPr>
              <w:t xml:space="preserve">原油及凝析油产量</w:t>
            </w:r>
          </w:p>
        </w:tc>
        <w:tc>
          <w:tcPr/>
          <w:p>
            <w:pPr>
              <w:pStyle w:val="Compact"/>
              <w:jc w:val="right"/>
            </w:pPr>
            <w:r>
              <w:t xml:space="preserve">2026-02</w:t>
            </w:r>
          </w:p>
        </w:tc>
        <w:tc>
          <w:tcPr/>
          <w:p>
            <w:pPr>
              <w:pStyle w:val="Compact"/>
              <w:jc w:val="right"/>
            </w:pPr>
            <w:r>
              <w:t xml:space="preserve">51456.97</w:t>
            </w:r>
          </w:p>
        </w:tc>
        <w:tc>
          <w:tcPr/>
          <w:p>
            <w:pPr>
              <w:pStyle w:val="Compact"/>
              <w:jc w:val="right"/>
            </w:pPr>
            <w:r>
              <w:t xml:space="preserve">KBD</w:t>
            </w:r>
          </w:p>
        </w:tc>
        <w:tc>
          <w:tcPr/>
          <w:p>
            <w:pPr>
              <w:pStyle w:val="Compact"/>
              <w:jc w:val="right"/>
            </w:pPr>
            <w:r>
              <w:t xml:space="preserve">108.39</w:t>
            </w:r>
          </w:p>
        </w:tc>
      </w:tr>
      <w:tr>
        <w:tc>
          <w:tcPr/>
          <w:p>
            <w:pPr>
              <w:pStyle w:val="Compact"/>
              <w:jc w:val="left"/>
            </w:pPr>
            <w:r>
              <w:rPr>
                <w:rFonts w:hint="eastAsia"/>
              </w:rPr>
              <w:t xml:space="preserve">原油及凝析油期末库存</w:t>
            </w:r>
          </w:p>
        </w:tc>
        <w:tc>
          <w:tcPr/>
          <w:p>
            <w:pPr>
              <w:pStyle w:val="Compact"/>
              <w:jc w:val="right"/>
            </w:pPr>
            <w:r>
              <w:t xml:space="preserve">2026-02</w:t>
            </w:r>
          </w:p>
        </w:tc>
        <w:tc>
          <w:tcPr/>
          <w:p>
            <w:pPr>
              <w:pStyle w:val="Compact"/>
              <w:jc w:val="right"/>
            </w:pPr>
            <w:r>
              <w:t xml:space="preserve">2203133.02</w:t>
            </w:r>
          </w:p>
        </w:tc>
        <w:tc>
          <w:tcPr/>
          <w:p>
            <w:pPr>
              <w:pStyle w:val="Compact"/>
              <w:jc w:val="right"/>
            </w:pPr>
            <w:r>
              <w:t xml:space="preserve">KBBL</w:t>
            </w:r>
          </w:p>
        </w:tc>
        <w:tc>
          <w:tcPr/>
          <w:p>
            <w:pPr>
              <w:pStyle w:val="Compact"/>
              <w:jc w:val="right"/>
            </w:pPr>
            <w:r>
              <w:t xml:space="preserve">20073.83</w:t>
            </w:r>
          </w:p>
        </w:tc>
      </w:tr>
      <w:tr>
        <w:tc>
          <w:tcPr/>
          <w:p>
            <w:pPr>
              <w:pStyle w:val="Compact"/>
              <w:jc w:val="left"/>
            </w:pPr>
            <w:r>
              <w:rPr>
                <w:rFonts w:hint="eastAsia"/>
              </w:rPr>
              <w:t xml:space="preserve">原油及凝析油进口</w:t>
            </w:r>
          </w:p>
        </w:tc>
        <w:tc>
          <w:tcPr/>
          <w:p>
            <w:pPr>
              <w:pStyle w:val="Compact"/>
              <w:jc w:val="right"/>
            </w:pPr>
            <w:r>
              <w:t xml:space="preserve">2026-02</w:t>
            </w:r>
          </w:p>
        </w:tc>
        <w:tc>
          <w:tcPr/>
          <w:p>
            <w:pPr>
              <w:pStyle w:val="Compact"/>
              <w:jc w:val="right"/>
            </w:pPr>
            <w:r>
              <w:t xml:space="preserve">26746.71</w:t>
            </w:r>
          </w:p>
        </w:tc>
        <w:tc>
          <w:tcPr/>
          <w:p>
            <w:pPr>
              <w:pStyle w:val="Compact"/>
              <w:jc w:val="right"/>
            </w:pPr>
            <w:r>
              <w:t xml:space="preserve">KBD</w:t>
            </w:r>
          </w:p>
        </w:tc>
        <w:tc>
          <w:tcPr/>
          <w:p>
            <w:pPr>
              <w:pStyle w:val="Compact"/>
              <w:jc w:val="right"/>
            </w:pPr>
            <w:r>
              <w:t xml:space="preserve">-963.69</w:t>
            </w:r>
          </w:p>
        </w:tc>
      </w:tr>
      <w:tr>
        <w:tc>
          <w:tcPr/>
          <w:p>
            <w:pPr>
              <w:pStyle w:val="Compact"/>
              <w:jc w:val="left"/>
            </w:pPr>
            <w:r>
              <w:rPr>
                <w:rFonts w:hint="eastAsia"/>
              </w:rPr>
              <w:t xml:space="preserve">原油及凝析油出口</w:t>
            </w:r>
          </w:p>
        </w:tc>
        <w:tc>
          <w:tcPr/>
          <w:p>
            <w:pPr>
              <w:pStyle w:val="Compact"/>
              <w:jc w:val="right"/>
            </w:pPr>
            <w:r>
              <w:t xml:space="preserve">2026-02</w:t>
            </w:r>
          </w:p>
        </w:tc>
        <w:tc>
          <w:tcPr/>
          <w:p>
            <w:pPr>
              <w:pStyle w:val="Compact"/>
              <w:jc w:val="right"/>
            </w:pPr>
            <w:r>
              <w:t xml:space="preserve">22887.30</w:t>
            </w:r>
          </w:p>
        </w:tc>
        <w:tc>
          <w:tcPr/>
          <w:p>
            <w:pPr>
              <w:pStyle w:val="Compact"/>
              <w:jc w:val="right"/>
            </w:pPr>
            <w:r>
              <w:t xml:space="preserve">KBD</w:t>
            </w:r>
          </w:p>
        </w:tc>
        <w:tc>
          <w:tcPr/>
          <w:p>
            <w:pPr>
              <w:pStyle w:val="Compact"/>
              <w:jc w:val="right"/>
            </w:pPr>
            <w:r>
              <w:t xml:space="preserve">-465.39</w:t>
            </w:r>
          </w:p>
        </w:tc>
      </w:tr>
      <w:tr>
        <w:tc>
          <w:tcPr/>
          <w:p>
            <w:pPr>
              <w:pStyle w:val="Compact"/>
              <w:jc w:val="left"/>
            </w:pPr>
            <w:r>
              <w:rPr>
                <w:rFonts w:hint="eastAsia"/>
              </w:rPr>
              <w:t xml:space="preserve">油品总需求</w:t>
            </w:r>
          </w:p>
        </w:tc>
        <w:tc>
          <w:tcPr/>
          <w:p>
            <w:pPr>
              <w:pStyle w:val="Compact"/>
              <w:jc w:val="right"/>
            </w:pPr>
            <w:r>
              <w:t xml:space="preserve">2026-02</w:t>
            </w:r>
          </w:p>
        </w:tc>
        <w:tc>
          <w:tcPr/>
          <w:p>
            <w:pPr>
              <w:pStyle w:val="Compact"/>
              <w:jc w:val="right"/>
            </w:pPr>
            <w:r>
              <w:t xml:space="preserve">52784.43</w:t>
            </w:r>
          </w:p>
        </w:tc>
        <w:tc>
          <w:tcPr/>
          <w:p>
            <w:pPr>
              <w:pStyle w:val="Compact"/>
              <w:jc w:val="right"/>
            </w:pPr>
            <w:r>
              <w:t xml:space="preserve">KBD</w:t>
            </w:r>
          </w:p>
        </w:tc>
        <w:tc>
          <w:tcPr/>
          <w:p>
            <w:pPr>
              <w:pStyle w:val="Compact"/>
              <w:jc w:val="right"/>
            </w:pPr>
            <w:r>
              <w:t xml:space="preserve">423.81</w:t>
            </w:r>
          </w:p>
        </w:tc>
      </w:tr>
      <w:tr>
        <w:tc>
          <w:tcPr/>
          <w:p>
            <w:pPr>
              <w:pStyle w:val="Compact"/>
              <w:jc w:val="left"/>
            </w:pPr>
            <w:r>
              <w:rPr>
                <w:rFonts w:hint="eastAsia"/>
              </w:rPr>
              <w:t xml:space="preserve">油品炼厂总产出</w:t>
            </w:r>
          </w:p>
        </w:tc>
        <w:tc>
          <w:tcPr/>
          <w:p>
            <w:pPr>
              <w:pStyle w:val="Compact"/>
              <w:jc w:val="right"/>
            </w:pPr>
            <w:r>
              <w:t xml:space="preserve">2026-02</w:t>
            </w:r>
          </w:p>
        </w:tc>
        <w:tc>
          <w:tcPr/>
          <w:p>
            <w:pPr>
              <w:pStyle w:val="Compact"/>
              <w:jc w:val="right"/>
            </w:pPr>
            <w:r>
              <w:t xml:space="preserve">54428.66</w:t>
            </w:r>
          </w:p>
        </w:tc>
        <w:tc>
          <w:tcPr/>
          <w:p>
            <w:pPr>
              <w:pStyle w:val="Compact"/>
              <w:jc w:val="right"/>
            </w:pPr>
            <w:r>
              <w:t xml:space="preserve">KBD</w:t>
            </w:r>
          </w:p>
        </w:tc>
        <w:tc>
          <w:tcPr/>
          <w:p>
            <w:pPr>
              <w:pStyle w:val="Compact"/>
              <w:jc w:val="right"/>
            </w:pPr>
            <w:r>
              <w:t xml:space="preserve">4316.20</w:t>
            </w:r>
          </w:p>
        </w:tc>
      </w:tr>
      <w:tr>
        <w:tc>
          <w:tcPr/>
          <w:p>
            <w:pPr>
              <w:pStyle w:val="Compact"/>
              <w:jc w:val="left"/>
            </w:pPr>
            <w:r>
              <w:rPr>
                <w:rFonts w:hint="eastAsia"/>
              </w:rPr>
              <w:t xml:space="preserve">油品期末库存</w:t>
            </w:r>
          </w:p>
        </w:tc>
        <w:tc>
          <w:tcPr/>
          <w:p>
            <w:pPr>
              <w:pStyle w:val="Compact"/>
              <w:jc w:val="right"/>
            </w:pPr>
            <w:r>
              <w:t xml:space="preserve">2026-02</w:t>
            </w:r>
          </w:p>
        </w:tc>
        <w:tc>
          <w:tcPr/>
          <w:p>
            <w:pPr>
              <w:pStyle w:val="Compact"/>
              <w:jc w:val="right"/>
            </w:pPr>
            <w:r>
              <w:t xml:space="preserve">1837991.05</w:t>
            </w:r>
          </w:p>
        </w:tc>
        <w:tc>
          <w:tcPr/>
          <w:p>
            <w:pPr>
              <w:pStyle w:val="Compact"/>
              <w:jc w:val="right"/>
            </w:pPr>
            <w:r>
              <w:t xml:space="preserve">KBBL</w:t>
            </w:r>
          </w:p>
        </w:tc>
        <w:tc>
          <w:tcPr/>
          <w:p>
            <w:pPr>
              <w:pStyle w:val="Compact"/>
              <w:jc w:val="right"/>
            </w:pPr>
            <w:r>
              <w:t xml:space="preserve">49713.86</w:t>
            </w:r>
          </w:p>
        </w:tc>
      </w:tr>
    </w:tbl>
    <w:p>
      <w:pPr>
        <w:pStyle w:val="BodyText"/>
      </w:pPr>
      <w:r>
        <w:t xml:space="preserve">JODI </w:t>
      </w:r>
      <w:r>
        <w:rPr>
          <w:rFonts w:hint="eastAsia"/>
        </w:rPr>
        <w:t xml:space="preserve">数据对中长期油价调节模型提供了三点约束：非海湾供给恢复和需求调整是多国系统的缓慢响应；库存缓冲应同时区分原油库存和成品油库存；2026</w:t>
      </w:r>
      <w:r>
        <w:t xml:space="preserve"> </w:t>
      </w:r>
      <w:r>
        <w:rPr>
          <w:rFonts w:hint="eastAsia"/>
        </w:rPr>
        <w:t xml:space="preserve">年</w:t>
      </w:r>
      <w:r>
        <w:t xml:space="preserve"> 2 </w:t>
      </w:r>
      <w:r>
        <w:rPr>
          <w:rFonts w:hint="eastAsia"/>
        </w:rPr>
        <w:t xml:space="preserve">月可得数据处于冲突发生前，更适合作为中长期外推的先验约束。</w:t>
      </w:r>
    </w:p>
    <w:p>
      <w:pPr>
        <w:pStyle w:val="BodyText"/>
      </w:pPr>
      <w:r>
        <w:rPr>
          <w:rFonts w:hint="eastAsia"/>
        </w:rPr>
        <w:t xml:space="preserve">在此基础上，本文进一步整理</w:t>
      </w:r>
      <w:r>
        <w:t xml:space="preserve"> OPEC Monthly Oil Market Report </w:t>
      </w:r>
      <w:r>
        <w:rPr>
          <w:rFonts w:hint="eastAsia"/>
        </w:rPr>
        <w:t xml:space="preserve">中的全球供需平衡表。与</w:t>
      </w:r>
      <w:r>
        <w:t xml:space="preserve"> EIA、JODI </w:t>
      </w:r>
      <w:r>
        <w:rPr>
          <w:rFonts w:hint="eastAsia"/>
        </w:rPr>
        <w:t xml:space="preserve">不同，OPEC</w:t>
      </w:r>
      <w:r>
        <w:t xml:space="preserve"> </w:t>
      </w:r>
      <w:r>
        <w:rPr>
          <w:rFonts w:hint="eastAsia"/>
        </w:rPr>
        <w:t xml:space="preserve">表给出的是全球正常情景下的年度和季度供需基线，适合约束中长期油价调节模型中的需求背景、非</w:t>
      </w:r>
      <w:r>
        <w:t xml:space="preserve"> DoC </w:t>
      </w:r>
      <w:r>
        <w:rPr>
          <w:rFonts w:hint="eastAsia"/>
        </w:rPr>
        <w:t xml:space="preserve">供给恢复和</w:t>
      </w:r>
      <w:r>
        <w:t xml:space="preserve"> DoC </w:t>
      </w:r>
      <w:r>
        <w:rPr>
          <w:rFonts w:hint="eastAsia"/>
        </w:rPr>
        <w:t xml:space="preserve">原油需求差额尾部压力。</w:t>
      </w:r>
    </w:p>
    <w:p>
      <w:pPr>
        <w:pStyle w:val="TableCaption"/>
      </w:pPr>
      <w:r>
        <w:t xml:space="preserve">OPEC </w:t>
      </w:r>
      <w:r>
        <w:rPr>
          <w:rFonts w:hint="eastAsia"/>
        </w:rPr>
        <w:t xml:space="preserve">全球供需平衡表关键约束</w:t>
      </w:r>
    </w:p>
    <w:tbl>
      <w:tblPr>
        <w:tblStyle w:val="Table"/>
        <w:tblW w:type="auto" w:w="0"/>
        <w:tblLook w:firstRow="1" w:lastRow="0" w:firstColumn="0" w:lastColumn="0" w:noHBand="0" w:noVBand="0" w:val="0020"/>
        <w:tblCaption w:val="OPEC 全球供需平衡表关键约束"/>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right"/>
            </w:pPr>
            <w:r>
              <w:rPr>
                <w:rFonts w:hint="eastAsia"/>
              </w:rPr>
              <w:t xml:space="preserve">单位</w:t>
            </w:r>
          </w:p>
        </w:tc>
        <w:tc>
          <w:tcPr/>
          <w:p>
            <w:pPr>
              <w:pStyle w:val="Compact"/>
              <w:jc w:val="left"/>
            </w:pPr>
            <w:r>
              <w:rPr>
                <w:rFonts w:hint="eastAsia"/>
              </w:rPr>
              <w:t xml:space="preserve">模型含义</w:t>
            </w:r>
          </w:p>
        </w:tc>
      </w:tr>
      <w:tr>
        <w:tc>
          <w:tcPr/>
          <w:p>
            <w:pPr>
              <w:pStyle w:val="Compact"/>
              <w:jc w:val="left"/>
            </w:pPr>
            <w:r>
              <w:t xml:space="preserve">2026 </w:t>
            </w:r>
            <w:r>
              <w:rPr>
                <w:rFonts w:hint="eastAsia"/>
              </w:rPr>
              <w:t xml:space="preserve">年世界石油需求增量</w:t>
            </w:r>
          </w:p>
        </w:tc>
        <w:tc>
          <w:tcPr/>
          <w:p>
            <w:pPr>
              <w:pStyle w:val="Compact"/>
              <w:jc w:val="right"/>
            </w:pPr>
            <w:r>
              <w:t xml:space="preserve">1.40</w:t>
            </w:r>
          </w:p>
        </w:tc>
        <w:tc>
          <w:tcPr/>
          <w:p>
            <w:pPr>
              <w:pStyle w:val="Compact"/>
              <w:jc w:val="right"/>
            </w:pPr>
            <w:r>
              <w:t xml:space="preserve">mb/d</w:t>
            </w:r>
          </w:p>
        </w:tc>
        <w:tc>
          <w:tcPr/>
          <w:p>
            <w:pPr>
              <w:pStyle w:val="Compact"/>
              <w:jc w:val="left"/>
            </w:pPr>
            <w:r>
              <w:rPr>
                <w:rFonts w:hint="eastAsia"/>
              </w:rPr>
              <w:t xml:space="preserve">长期需求背景仍增长，需求收缩不能设得过强</w:t>
            </w:r>
          </w:p>
        </w:tc>
      </w:tr>
      <w:tr>
        <w:tc>
          <w:tcPr/>
          <w:p>
            <w:pPr>
              <w:pStyle w:val="Compact"/>
              <w:jc w:val="left"/>
            </w:pPr>
            <w:r>
              <w:t xml:space="preserve">2026 </w:t>
            </w:r>
            <w:r>
              <w:rPr>
                <w:rFonts w:hint="eastAsia"/>
              </w:rPr>
              <w:t xml:space="preserve">年非</w:t>
            </w:r>
            <w:r>
              <w:t xml:space="preserve"> DoC </w:t>
            </w:r>
            <w:r>
              <w:rPr>
                <w:rFonts w:hint="eastAsia"/>
              </w:rPr>
              <w:t xml:space="preserve">液体供给增量</w:t>
            </w:r>
          </w:p>
        </w:tc>
        <w:tc>
          <w:tcPr/>
          <w:p>
            <w:pPr>
              <w:pStyle w:val="Compact"/>
              <w:jc w:val="right"/>
            </w:pPr>
            <w:r>
              <w:t xml:space="preserve">0.60</w:t>
            </w:r>
          </w:p>
        </w:tc>
        <w:tc>
          <w:tcPr/>
          <w:p>
            <w:pPr>
              <w:pStyle w:val="Compact"/>
              <w:jc w:val="right"/>
            </w:pPr>
            <w:r>
              <w:t xml:space="preserve">mb/d</w:t>
            </w:r>
          </w:p>
        </w:tc>
        <w:tc>
          <w:tcPr/>
          <w:p>
            <w:pPr>
              <w:pStyle w:val="Compact"/>
              <w:jc w:val="left"/>
            </w:pPr>
            <w:r>
              <w:rPr>
                <w:rFonts w:hint="eastAsia"/>
              </w:rPr>
              <w:t xml:space="preserve">外部供给有恢复能力，但远小于封锁冲击量级</w:t>
            </w:r>
          </w:p>
        </w:tc>
      </w:tr>
      <w:tr>
        <w:tc>
          <w:tcPr/>
          <w:p>
            <w:pPr>
              <w:pStyle w:val="Compact"/>
              <w:jc w:val="left"/>
            </w:pPr>
            <w:r>
              <w:t xml:space="preserve">2026 </w:t>
            </w:r>
            <w:r>
              <w:rPr>
                <w:rFonts w:hint="eastAsia"/>
              </w:rPr>
              <w:t xml:space="preserve">年</w:t>
            </w:r>
            <w:r>
              <w:t xml:space="preserve"> DoC </w:t>
            </w:r>
            <w:r>
              <w:rPr>
                <w:rFonts w:hint="eastAsia"/>
              </w:rPr>
              <w:t xml:space="preserve">原油需求差额增量</w:t>
            </w:r>
          </w:p>
        </w:tc>
        <w:tc>
          <w:tcPr/>
          <w:p>
            <w:pPr>
              <w:pStyle w:val="Compact"/>
              <w:jc w:val="right"/>
            </w:pPr>
            <w:r>
              <w:t xml:space="preserve">0.60</w:t>
            </w:r>
          </w:p>
        </w:tc>
        <w:tc>
          <w:tcPr/>
          <w:p>
            <w:pPr>
              <w:pStyle w:val="Compact"/>
              <w:jc w:val="right"/>
            </w:pPr>
            <w:r>
              <w:t xml:space="preserve">mb/d</w:t>
            </w:r>
          </w:p>
        </w:tc>
        <w:tc>
          <w:tcPr/>
          <w:p>
            <w:pPr>
              <w:pStyle w:val="Compact"/>
              <w:jc w:val="left"/>
            </w:pPr>
            <w:r>
              <w:rPr>
                <w:rFonts w:hint="eastAsia"/>
              </w:rPr>
              <w:t xml:space="preserve">对</w:t>
            </w:r>
            <w:r>
              <w:t xml:space="preserve"> DoC </w:t>
            </w:r>
            <w:r>
              <w:rPr>
                <w:rFonts w:hint="eastAsia"/>
              </w:rPr>
              <w:t xml:space="preserve">原油的压力仍上升，支持保留尾部风险</w:t>
            </w:r>
          </w:p>
        </w:tc>
      </w:tr>
      <w:tr>
        <w:tc>
          <w:tcPr/>
          <w:p>
            <w:pPr>
              <w:pStyle w:val="Compact"/>
              <w:jc w:val="left"/>
            </w:pPr>
            <w:r>
              <w:t xml:space="preserve">2026 </w:t>
            </w:r>
            <w:r>
              <w:rPr>
                <w:rFonts w:hint="eastAsia"/>
              </w:rPr>
              <w:t xml:space="preserve">年</w:t>
            </w:r>
            <w:r>
              <w:t xml:space="preserve"> DoC </w:t>
            </w:r>
            <w:r>
              <w:rPr>
                <w:rFonts w:hint="eastAsia"/>
              </w:rPr>
              <w:t xml:space="preserve">原油需求差额峰值</w:t>
            </w:r>
          </w:p>
        </w:tc>
        <w:tc>
          <w:tcPr/>
          <w:p>
            <w:pPr>
              <w:pStyle w:val="Compact"/>
              <w:jc w:val="right"/>
            </w:pPr>
            <w:r>
              <w:t xml:space="preserve">43.70</w:t>
            </w:r>
          </w:p>
        </w:tc>
        <w:tc>
          <w:tcPr/>
          <w:p>
            <w:pPr>
              <w:pStyle w:val="Compact"/>
              <w:jc w:val="right"/>
            </w:pPr>
            <w:r>
              <w:t xml:space="preserve">mb/d</w:t>
            </w:r>
          </w:p>
        </w:tc>
        <w:tc>
          <w:tcPr/>
          <w:p>
            <w:pPr>
              <w:pStyle w:val="Compact"/>
              <w:jc w:val="left"/>
            </w:pPr>
            <w:r>
              <w:rPr>
                <w:rFonts w:hint="eastAsia"/>
              </w:rPr>
              <w:t xml:space="preserve">下半年需求差额更高，中长期油价调节模型需保留季节性压力</w:t>
            </w:r>
          </w:p>
        </w:tc>
      </w:tr>
      <w:tr>
        <w:tc>
          <w:tcPr/>
          <w:p>
            <w:pPr>
              <w:pStyle w:val="Compact"/>
              <w:jc w:val="left"/>
            </w:pPr>
            <w:r>
              <w:rPr>
                <w:rFonts w:hint="eastAsia"/>
              </w:rPr>
              <w:t xml:space="preserve">峰值高于年均</w:t>
            </w:r>
          </w:p>
        </w:tc>
        <w:tc>
          <w:tcPr/>
          <w:p>
            <w:pPr>
              <w:pStyle w:val="Compact"/>
              <w:jc w:val="right"/>
            </w:pPr>
            <w:r>
              <w:t xml:space="preserve">0.70</w:t>
            </w:r>
          </w:p>
        </w:tc>
        <w:tc>
          <w:tcPr/>
          <w:p>
            <w:pPr>
              <w:pStyle w:val="Compact"/>
              <w:jc w:val="right"/>
            </w:pPr>
            <w:r>
              <w:t xml:space="preserve">mb/d</w:t>
            </w:r>
          </w:p>
        </w:tc>
        <w:tc>
          <w:tcPr/>
          <w:p>
            <w:pPr>
              <w:pStyle w:val="Compact"/>
              <w:jc w:val="left"/>
            </w:pPr>
            <w:r>
              <w:rPr>
                <w:rFonts w:hint="eastAsia"/>
              </w:rPr>
              <w:t xml:space="preserve">用于温和抬升尾部风险权重</w:t>
            </w:r>
          </w:p>
        </w:tc>
      </w:tr>
    </w:tbl>
    <w:p>
      <w:pPr>
        <w:pStyle w:val="BodyText"/>
      </w:pPr>
      <w:r>
        <w:t xml:space="preserve">OPEC </w:t>
      </w:r>
      <w:r>
        <w:rPr>
          <w:rFonts w:hint="eastAsia"/>
        </w:rPr>
        <w:t xml:space="preserve">表说明，在没有霍尔木兹极端封锁的正常基线下，2026</w:t>
      </w:r>
      <w:r>
        <w:t xml:space="preserve"> </w:t>
      </w:r>
      <w:r>
        <w:rPr>
          <w:rFonts w:hint="eastAsia"/>
        </w:rPr>
        <w:t xml:space="preserve">年全球需求仍有增长、非</w:t>
      </w:r>
      <w:r>
        <w:t xml:space="preserve"> DoC </w:t>
      </w:r>
      <w:r>
        <w:rPr>
          <w:rFonts w:hint="eastAsia"/>
        </w:rPr>
        <w:t xml:space="preserve">供给恢复有限且下半年</w:t>
      </w:r>
      <w:r>
        <w:t xml:space="preserve"> DoC </w:t>
      </w:r>
      <w:r>
        <w:rPr>
          <w:rFonts w:hint="eastAsia"/>
        </w:rPr>
        <w:t xml:space="preserve">原油需求差额更高。因此，中长期油价调节模型中的价格回落应解释为政策缓冲、供给恢复、需求弹性和风险溢价衰减共同作用后的条件路径，而非全球需求自然塌陷。</w:t>
      </w:r>
    </w:p>
    <w:p>
      <w:pPr>
        <w:pStyle w:val="BodyText"/>
      </w:pPr>
      <w:r>
        <w:rPr>
          <w:rFonts w:hint="eastAsia"/>
        </w:rPr>
        <w:t xml:space="preserve">本文还接入</w:t>
      </w:r>
      <w:r>
        <w:t xml:space="preserve"> Caldara-Iacoviello </w:t>
      </w:r>
      <w:r>
        <w:rPr>
          <w:rFonts w:hint="eastAsia"/>
        </w:rPr>
        <w:t xml:space="preserve">官方</w:t>
      </w:r>
      <w:r>
        <w:t xml:space="preserve"> GPR </w:t>
      </w:r>
      <w:r>
        <w:rPr>
          <w:rFonts w:hint="eastAsia"/>
        </w:rPr>
        <w:t xml:space="preserve">月度指数，作为地缘风险溢价的外部校验变量。由于</w:t>
      </w:r>
      <w:r>
        <w:t xml:space="preserve"> GPR </w:t>
      </w:r>
      <w:r>
        <w:rPr>
          <w:rFonts w:hint="eastAsia"/>
        </w:rPr>
        <w:t xml:space="preserve">由新闻文本构造，同月指数不直接进入短期拟合；详细滞后检验放在第</w:t>
      </w:r>
      <w:r>
        <w:t xml:space="preserve"> 9.5 </w:t>
      </w:r>
      <w:r>
        <w:rPr>
          <w:rFonts w:hint="eastAsia"/>
        </w:rPr>
        <w:t xml:space="preserve">节统一报告。与此同时，本文接入</w:t>
      </w:r>
      <w:r>
        <w:t xml:space="preserve"> Cboe/FRED </w:t>
      </w:r>
      <w:r>
        <w:rPr>
          <w:rFonts w:hint="eastAsia"/>
        </w:rPr>
        <w:t xml:space="preserve">的</w:t>
      </w:r>
      <w:r>
        <w:t xml:space="preserve"> OVX </w:t>
      </w:r>
      <w:r>
        <w:rPr>
          <w:rFonts w:hint="eastAsia"/>
        </w:rPr>
        <w:t xml:space="preserve">原油</w:t>
      </w:r>
      <w:r>
        <w:t xml:space="preserve"> ETF </w:t>
      </w:r>
      <w:r>
        <w:rPr>
          <w:rFonts w:hint="eastAsia"/>
        </w:rPr>
        <w:t xml:space="preserve">隐含波动率。OVX</w:t>
      </w:r>
      <w:r>
        <w:t xml:space="preserve"> </w:t>
      </w:r>
      <w:r>
        <w:rPr>
          <w:rFonts w:hint="eastAsia"/>
        </w:rPr>
        <w:t xml:space="preserve">反映期权市场对未来约</w:t>
      </w:r>
      <w:r>
        <w:t xml:space="preserve"> 30 </w:t>
      </w:r>
      <w:r>
        <w:rPr>
          <w:rFonts w:hint="eastAsia"/>
        </w:rPr>
        <w:t xml:space="preserve">日油价波动的定价，冲突窗口均值为</w:t>
      </w:r>
      <w:r>
        <w:t xml:space="preserve"> </w:t>
      </w:r>
      <w:r>
        <w:rPr>
          <w:rFonts w:hint="eastAsia"/>
        </w:rPr>
        <w:t xml:space="preserve">87.07，最大值为</w:t>
      </w:r>
      <w:r>
        <w:t xml:space="preserve"> </w:t>
      </w:r>
      <w:r>
        <w:rPr>
          <w:rFonts w:hint="eastAsia"/>
        </w:rPr>
        <w:t xml:space="preserve">120.91，同长度历史窗口均值分位约</w:t>
      </w:r>
      <w:r>
        <w:t xml:space="preserve"> </w:t>
      </w:r>
      <w:r>
        <w:rPr>
          <w:rFonts w:hint="eastAsia"/>
        </w:rPr>
        <w:t xml:space="preserve">97.3%，因此适合进入长期风险权重和不确定性强度约束。</w:t>
      </w:r>
    </w:p>
    <w:p>
      <w:pPr>
        <w:pStyle w:val="BodyText"/>
      </w:pPr>
      <w:r>
        <w:rPr>
          <w:rFonts w:hint="eastAsia"/>
          <w:b/>
          <w:bCs/>
        </w:rPr>
        <w:t xml:space="preserve">结论</w:t>
      </w:r>
      <w:r>
        <w:rPr>
          <w:rFonts w:hint="eastAsia"/>
        </w:rPr>
        <w:t xml:space="preserve">数据使用遵循</w:t>
      </w:r>
      <w:r>
        <w:rPr>
          <w:rFonts w:hint="eastAsia"/>
        </w:rPr>
        <w:t xml:space="preserve">“附件真实价格为主、外部数据服务长期约束与风险校验”</w:t>
      </w:r>
      <w:r>
        <w:rPr>
          <w:rFonts w:hint="eastAsia"/>
        </w:rPr>
        <w:t xml:space="preserve">的原则。EIA、JODI、OPEC</w:t>
      </w:r>
      <w:r>
        <w:t xml:space="preserve"> </w:t>
      </w:r>
      <w:r>
        <w:rPr>
          <w:rFonts w:hint="eastAsia"/>
        </w:rPr>
        <w:t xml:space="preserve">约束供需和库存数量级，GPR</w:t>
      </w:r>
      <w:r>
        <w:t xml:space="preserve"> </w:t>
      </w:r>
      <w:r>
        <w:rPr>
          <w:rFonts w:hint="eastAsia"/>
        </w:rPr>
        <w:t xml:space="preserve">校验地缘风险环境，OVX</w:t>
      </w:r>
      <w:r>
        <w:t xml:space="preserve"> </w:t>
      </w:r>
      <w:r>
        <w:rPr>
          <w:rFonts w:hint="eastAsia"/>
        </w:rPr>
        <w:t xml:space="preserve">约束市场隐含波动率。</w:t>
      </w:r>
    </w:p>
    <w:p>
      <w:pPr>
        <w:pStyle w:val="CaptionedFigure"/>
      </w:pPr>
      <w:r>
        <w:drawing>
          <wp:inline>
            <wp:extent cx="4907280" cy="2453640"/>
            <wp:effectExtent b="0" l="0" r="0" t="0"/>
            <wp:docPr descr="" title="" id="20" name="Picture"/>
            <a:graphic>
              <a:graphicData uri="http://schemas.openxmlformats.org/drawingml/2006/picture">
                <pic:pic>
                  <pic:nvPicPr>
                    <pic:cNvPr descr="布伦特原油长期价格走势.png" id="21" name="Picture"/>
                    <pic:cNvPicPr>
                      <a:picLocks noChangeArrowheads="1" noChangeAspect="1"/>
                    </pic:cNvPicPr>
                  </pic:nvPicPr>
                  <pic:blipFill>
                    <a:blip r:embed="rId19"/>
                    <a:stretch>
                      <a:fillRect/>
                    </a:stretch>
                  </pic:blipFill>
                  <pic:spPr bwMode="auto">
                    <a:xfrm>
                      <a:off x="0" y="0"/>
                      <a:ext cx="4907280" cy="2453640"/>
                    </a:xfrm>
                    <a:prstGeom prst="rect">
                      <a:avLst/>
                    </a:prstGeom>
                    <a:noFill/>
                    <a:ln w="9525">
                      <a:noFill/>
                      <a:headEnd/>
                      <a:tailEnd/>
                    </a:ln>
                  </pic:spPr>
                </pic:pic>
              </a:graphicData>
            </a:graphic>
          </wp:inline>
        </w:drawing>
      </w:r>
    </w:p>
    <w:p>
      <w:pPr>
        <w:pStyle w:val="ImageCaption"/>
      </w:pPr>
      <w:r>
        <w:rPr>
          <w:rFonts w:hint="eastAsia"/>
        </w:rPr>
        <w:t xml:space="preserve">布伦特原油期货主力合约收盘价长期走势</w:t>
      </w:r>
    </w:p>
    <w:p>
      <w:pPr>
        <w:pStyle w:val="CaptionedFigure"/>
      </w:pPr>
      <w:r>
        <w:drawing>
          <wp:inline>
            <wp:extent cx="4907280" cy="2453640"/>
            <wp:effectExtent b="0" l="0" r="0" t="0"/>
            <wp:docPr descr="" title="" id="23" name="Picture"/>
            <a:graphic>
              <a:graphicData uri="http://schemas.openxmlformats.org/drawingml/2006/picture">
                <pic:pic>
                  <pic:nvPicPr>
                    <pic:cNvPr descr="冲突窗口价格走势.png" id="24" name="Picture"/>
                    <pic:cNvPicPr>
                      <a:picLocks noChangeArrowheads="1" noChangeAspect="1"/>
                    </pic:cNvPicPr>
                  </pic:nvPicPr>
                  <pic:blipFill>
                    <a:blip r:embed="rId22"/>
                    <a:stretch>
                      <a:fillRect/>
                    </a:stretch>
                  </pic:blipFill>
                  <pic:spPr bwMode="auto">
                    <a:xfrm>
                      <a:off x="0" y="0"/>
                      <a:ext cx="4907280" cy="2453640"/>
                    </a:xfrm>
                    <a:prstGeom prst="rect">
                      <a:avLst/>
                    </a:prstGeom>
                    <a:noFill/>
                    <a:ln w="9525">
                      <a:noFill/>
                      <a:headEnd/>
                      <a:tailEnd/>
                    </a:ln>
                  </pic:spPr>
                </pic:pic>
              </a:graphicData>
            </a:graphic>
          </wp:inline>
        </w:drawing>
      </w:r>
    </w:p>
    <w:p>
      <w:pPr>
        <w:pStyle w:val="ImageCaption"/>
      </w:pPr>
      <w:r>
        <w:rPr>
          <w:rFonts w:hint="eastAsia"/>
        </w:rPr>
        <w:t xml:space="preserve">冲突窗口内附件真实价格路径</w:t>
      </w:r>
    </w:p>
    <w:bookmarkEnd w:id="25"/>
    <w:bookmarkStart w:id="29" w:name="波动率特征"/>
    <w:p>
      <w:pPr>
        <w:pStyle w:val="Heading2"/>
      </w:pPr>
      <w:r>
        <w:rPr>
          <w:rFonts w:hint="eastAsia"/>
        </w:rPr>
        <w:t xml:space="preserve">波动率特征</w:t>
      </w:r>
    </w:p>
    <w:p>
      <w:pPr>
        <w:pStyle w:val="FirstParagraph"/>
      </w:pPr>
      <w:r>
        <w:rPr>
          <w:rFonts w:hint="eastAsia"/>
        </w:rPr>
        <w:t xml:space="preserve">冲突窗口内，油价从</w:t>
      </w:r>
      <w:r>
        <w:t xml:space="preserve"> 78.07 </w:t>
      </w:r>
      <w:r>
        <w:rPr>
          <w:rFonts w:hint="eastAsia"/>
        </w:rPr>
        <w:t xml:space="preserve">美元/桶快速上行至高位平台，并在后期出现再定价回落和反复震荡。这一现象说明，价格不只是由供应缺口单向推升，还受到政策缓冲、市场确认和预期修复的共同影响。滚动波动率图显示，冲突窗口附近波动明显放大，适合使用事件机制模型而不是普通平稳时间序列模型。</w:t>
      </w:r>
    </w:p>
    <w:p>
      <w:pPr>
        <w:pStyle w:val="CaptionedFigure"/>
      </w:pPr>
      <w:r>
        <w:drawing>
          <wp:inline>
            <wp:extent cx="4907280" cy="3345872"/>
            <wp:effectExtent b="0" l="0" r="0" t="0"/>
            <wp:docPr descr="" title="" id="27" name="Picture"/>
            <a:graphic>
              <a:graphicData uri="http://schemas.openxmlformats.org/drawingml/2006/picture">
                <pic:pic>
                  <pic:nvPicPr>
                    <pic:cNvPr descr="布伦特收益率与波动率.png" id="28" name="Picture"/>
                    <pic:cNvPicPr>
                      <a:picLocks noChangeArrowheads="1" noChangeAspect="1"/>
                    </pic:cNvPicPr>
                  </pic:nvPicPr>
                  <pic:blipFill>
                    <a:blip r:embed="rId26"/>
                    <a:stretch>
                      <a:fillRect/>
                    </a:stretch>
                  </pic:blipFill>
                  <pic:spPr bwMode="auto">
                    <a:xfrm>
                      <a:off x="0" y="0"/>
                      <a:ext cx="4907280" cy="3345872"/>
                    </a:xfrm>
                    <a:prstGeom prst="rect">
                      <a:avLst/>
                    </a:prstGeom>
                    <a:noFill/>
                    <a:ln w="9525">
                      <a:noFill/>
                      <a:headEnd/>
                      <a:tailEnd/>
                    </a:ln>
                  </pic:spPr>
                </pic:pic>
              </a:graphicData>
            </a:graphic>
          </wp:inline>
        </w:drawing>
      </w:r>
    </w:p>
    <w:p>
      <w:pPr>
        <w:pStyle w:val="ImageCaption"/>
      </w:pPr>
      <w:r>
        <w:rPr>
          <w:rFonts w:hint="eastAsia"/>
        </w:rPr>
        <w:t xml:space="preserve">收益率与滚动波动率</w:t>
      </w:r>
    </w:p>
    <w:bookmarkEnd w:id="29"/>
    <w:bookmarkEnd w:id="30"/>
    <w:bookmarkStart w:id="34" w:name="模型假设与符号说明"/>
    <w:p>
      <w:pPr>
        <w:pStyle w:val="Heading1"/>
      </w:pPr>
      <w:r>
        <w:rPr>
          <w:rFonts w:hint="eastAsia"/>
        </w:rPr>
        <w:t xml:space="preserve">模型假设与符号说明</w:t>
      </w:r>
    </w:p>
    <w:bookmarkStart w:id="31" w:name="基本假设"/>
    <w:p>
      <w:pPr>
        <w:pStyle w:val="Heading2"/>
      </w:pPr>
      <w:r>
        <w:rPr>
          <w:rFonts w:hint="eastAsia"/>
        </w:rPr>
        <w:t xml:space="preserve">基本假设</w:t>
      </w:r>
    </w:p>
    <w:p>
      <w:pPr>
        <w:numPr>
          <w:ilvl w:val="0"/>
          <w:numId w:val="1003"/>
        </w:numPr>
      </w:pPr>
      <w:r>
        <w:rPr>
          <w:rFonts w:hint="eastAsia"/>
        </w:rPr>
        <w:t xml:space="preserve">附件</w:t>
      </w:r>
      <w:r>
        <w:t xml:space="preserve"> CSV </w:t>
      </w:r>
      <w:r>
        <w:rPr>
          <w:rFonts w:hint="eastAsia"/>
        </w:rPr>
        <w:t xml:space="preserve">中的收盘价是本文拟合、校准和误差评价的唯一真实价格序列。</w:t>
      </w:r>
    </w:p>
    <w:p>
      <w:pPr>
        <w:numPr>
          <w:ilvl w:val="0"/>
          <w:numId w:val="1003"/>
        </w:numPr>
      </w:pPr>
      <w:r>
        <w:rPr>
          <w:rFonts w:hint="eastAsia"/>
        </w:rPr>
        <w:t xml:space="preserve">供应中断、SPR</w:t>
      </w:r>
      <w:r>
        <w:t xml:space="preserve"> </w:t>
      </w:r>
      <w:r>
        <w:rPr>
          <w:rFonts w:hint="eastAsia"/>
        </w:rPr>
        <w:t xml:space="preserve">释放上限、绕道运输能力等变量遵循赛题给定范围，不在范围外任意调整。</w:t>
      </w:r>
    </w:p>
    <w:p>
      <w:pPr>
        <w:numPr>
          <w:ilvl w:val="0"/>
          <w:numId w:val="1003"/>
        </w:numPr>
      </w:pPr>
      <w:r>
        <w:rPr>
          <w:rFonts w:hint="eastAsia"/>
        </w:rPr>
        <w:t xml:space="preserve">短期需求弹性按题面给定低弹性口径处理；中长期需求弹性允许逐步过渡，以反映高价下需求调整更充分。</w:t>
      </w:r>
    </w:p>
    <w:p>
      <w:pPr>
        <w:numPr>
          <w:ilvl w:val="0"/>
          <w:numId w:val="1003"/>
        </w:numPr>
      </w:pPr>
      <w:r>
        <w:rPr>
          <w:rFonts w:hint="eastAsia"/>
        </w:rPr>
        <w:t xml:space="preserve">模型不使用新闻爬虫数据，也不把外部新闻情绪作为观测输入；恐慌强度和衰减率是行为机制参数。</w:t>
      </w:r>
    </w:p>
    <w:p>
      <w:pPr>
        <w:numPr>
          <w:ilvl w:val="0"/>
          <w:numId w:val="1003"/>
        </w:numPr>
      </w:pPr>
      <w:r>
        <w:rPr>
          <w:rFonts w:hint="eastAsia"/>
        </w:rPr>
        <w:t xml:space="preserve">中长期油价调节模型的</w:t>
      </w:r>
      <w:r>
        <w:t xml:space="preserve"> 60–180 </w:t>
      </w:r>
      <w:r>
        <w:rPr>
          <w:rFonts w:hint="eastAsia"/>
        </w:rPr>
        <w:t xml:space="preserve">天预测为条件情景外推，不代表真实未来观测，也不编造任何未来真实价格。</w:t>
      </w:r>
    </w:p>
    <w:bookmarkEnd w:id="31"/>
    <w:bookmarkStart w:id="32" w:name="符号说明"/>
    <w:p>
      <w:pPr>
        <w:pStyle w:val="Heading2"/>
      </w:pPr>
      <w:r>
        <w:rPr>
          <w:rFonts w:hint="eastAsia"/>
        </w:rPr>
        <w:t xml:space="preserve">符号说明</w:t>
      </w:r>
    </w:p>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单位</w:t>
            </w:r>
          </w:p>
        </w:tc>
      </w:tr>
      <w:tr>
        <w:tc>
          <w:tcPr/>
          <w:p>
            <w:pPr>
              <w:pStyle w:val="Compact"/>
              <w:jc w:val="left"/>
            </w:pPr>
            <m:oMath>
              <m:sSub>
                <m:e>
                  <m:r>
                    <m:t>P</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日实际收盘价</w:t>
            </w:r>
          </w:p>
        </w:tc>
        <w:tc>
          <w:tcPr/>
          <w:p>
            <w:pPr>
              <w:pStyle w:val="Compact"/>
              <w:jc w:val="left"/>
            </w:pPr>
            <w:r>
              <w:rPr>
                <w:rFonts w:hint="eastAsia"/>
              </w:rPr>
              <w:t xml:space="preserve">美元/桶</w:t>
            </w:r>
          </w:p>
        </w:tc>
      </w:tr>
      <w:tr>
        <w:tc>
          <w:tcPr/>
          <w:p>
            <w:pPr>
              <w:pStyle w:val="Compact"/>
              <w:jc w:val="left"/>
            </w:pPr>
            <m:oMath>
              <m:sSub>
                <m:e>
                  <m:acc>
                    <m:accPr>
                      <m:chr m:val="̂"/>
                    </m:accPr>
                    <m:e>
                      <m:r>
                        <m:t>P</m:t>
                      </m:r>
                    </m:e>
                  </m:acc>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日模型递推价格</w:t>
            </w:r>
          </w:p>
        </w:tc>
        <w:tc>
          <w:tcPr/>
          <w:p>
            <w:pPr>
              <w:pStyle w:val="Compact"/>
              <w:jc w:val="left"/>
            </w:pPr>
            <w:r>
              <w:rPr>
                <w:rFonts w:hint="eastAsia"/>
              </w:rPr>
              <w:t xml:space="preserve">美元/桶</w:t>
            </w:r>
          </w:p>
        </w:tc>
      </w:tr>
      <w:tr>
        <w:tc>
          <w:tcPr/>
          <w:p>
            <w:pPr>
              <w:pStyle w:val="Compact"/>
              <w:jc w:val="left"/>
            </w:pPr>
            <m:oMath>
              <m:sSub>
                <m:e>
                  <m:r>
                    <m:t>P</m:t>
                  </m:r>
                </m:e>
                <m:sub>
                  <m:r>
                    <m:t>0</m:t>
                  </m:r>
                </m:sub>
              </m:sSub>
            </m:oMath>
          </w:p>
        </w:tc>
        <w:tc>
          <w:tcPr/>
          <w:p>
            <w:pPr>
              <w:pStyle w:val="Compact"/>
              <w:jc w:val="left"/>
            </w:pPr>
            <w:r>
              <w:rPr>
                <w:rFonts w:hint="eastAsia"/>
              </w:rPr>
              <w:t xml:space="preserve">冲突窗口前收盘基准价</w:t>
            </w:r>
          </w:p>
        </w:tc>
        <w:tc>
          <w:tcPr/>
          <w:p>
            <w:pPr>
              <w:pStyle w:val="Compact"/>
              <w:jc w:val="left"/>
            </w:pPr>
            <w:r>
              <w:rPr>
                <w:rFonts w:hint="eastAsia"/>
              </w:rPr>
              <w:t xml:space="preserve">美元/桶</w:t>
            </w:r>
          </w:p>
        </w:tc>
      </w:tr>
      <w:tr>
        <w:tc>
          <w:tcPr/>
          <w:p>
            <w:pPr>
              <w:pStyle w:val="Compact"/>
              <w:jc w:val="left"/>
            </w:pPr>
            <m:oMath>
              <m:sSub>
                <m:e>
                  <m:r>
                    <m:t>S</m:t>
                  </m:r>
                </m:e>
                <m:sub>
                  <m:r>
                    <m:t>0</m:t>
                  </m:r>
                </m:sub>
              </m:sSub>
              <m:r>
                <m:rPr>
                  <m:sty m:val="p"/>
                </m:rPr>
                <m:t>,</m:t>
              </m:r>
              <m:sSub>
                <m:e>
                  <m:r>
                    <m:t>D</m:t>
                  </m:r>
                </m:e>
                <m:sub>
                  <m:r>
                    <m:t>0</m:t>
                  </m:r>
                </m:sub>
              </m:sSub>
            </m:oMath>
          </w:p>
        </w:tc>
        <w:tc>
          <w:tcPr/>
          <w:p>
            <w:pPr>
              <w:pStyle w:val="Compact"/>
              <w:jc w:val="left"/>
            </w:pPr>
            <w:r>
              <w:rPr>
                <w:rFonts w:hint="eastAsia"/>
              </w:rPr>
              <w:t xml:space="preserve">战前基准供给和需求</w:t>
            </w:r>
          </w:p>
        </w:tc>
        <w:tc>
          <w:tcPr/>
          <w:p>
            <w:pPr>
              <w:pStyle w:val="Compact"/>
              <w:jc w:val="left"/>
            </w:pPr>
            <w:r>
              <w:rPr>
                <w:rFonts w:hint="eastAsia"/>
              </w:rPr>
              <w:t xml:space="preserve">万桶/日</w:t>
            </w:r>
          </w:p>
        </w:tc>
      </w:tr>
      <w:tr>
        <w:tc>
          <w:tcPr/>
          <w:p>
            <w:pPr>
              <w:pStyle w:val="Compact"/>
              <w:jc w:val="left"/>
            </w:pPr>
            <m:oMath>
              <m:r>
                <m:t>I</m:t>
              </m:r>
            </m:oMath>
          </w:p>
        </w:tc>
        <w:tc>
          <w:tcPr/>
          <w:p>
            <w:pPr>
              <w:pStyle w:val="Compact"/>
              <w:jc w:val="left"/>
            </w:pPr>
            <w:r>
              <w:rPr>
                <w:rFonts w:hint="eastAsia"/>
              </w:rPr>
              <w:t xml:space="preserve">封锁造成的供应中断量</w:t>
            </w:r>
          </w:p>
        </w:tc>
        <w:tc>
          <w:tcPr/>
          <w:p>
            <w:pPr>
              <w:pStyle w:val="Compact"/>
              <w:jc w:val="left"/>
            </w:pPr>
            <w:r>
              <w:rPr>
                <w:rFonts w:hint="eastAsia"/>
              </w:rPr>
              <w:t xml:space="preserve">万桶/日</w:t>
            </w:r>
          </w:p>
        </w:tc>
      </w:tr>
      <w:tr>
        <w:tc>
          <w:tcPr/>
          <w:p>
            <w:pPr>
              <w:pStyle w:val="Compact"/>
              <w:jc w:val="left"/>
            </w:pPr>
            <m:oMath>
              <m:sSub>
                <m:e>
                  <m:r>
                    <m:t>A</m:t>
                  </m:r>
                </m:e>
                <m:sub>
                  <m:r>
                    <m:t>t</m:t>
                  </m:r>
                </m:sub>
              </m:sSub>
            </m:oMath>
          </w:p>
        </w:tc>
        <w:tc>
          <w:tcPr/>
          <w:p>
            <w:pPr>
              <w:pStyle w:val="Compact"/>
              <w:jc w:val="left"/>
            </w:pPr>
            <w:r>
              <w:rPr>
                <w:rFonts w:hint="eastAsia"/>
              </w:rPr>
              <w:t xml:space="preserve">其他产油国增产或替代供应增量</w:t>
            </w:r>
          </w:p>
        </w:tc>
        <w:tc>
          <w:tcPr/>
          <w:p>
            <w:pPr>
              <w:pStyle w:val="Compact"/>
              <w:jc w:val="left"/>
            </w:pPr>
            <w:r>
              <w:rPr>
                <w:rFonts w:hint="eastAsia"/>
              </w:rPr>
              <w:t xml:space="preserve">万桶/日</w:t>
            </w:r>
          </w:p>
        </w:tc>
      </w:tr>
      <w:tr>
        <w:tc>
          <w:tcPr/>
          <w:p>
            <w:pPr>
              <w:pStyle w:val="Compact"/>
              <w:jc w:val="left"/>
            </w:pPr>
            <m:oMath>
              <m:sSub>
                <m:e>
                  <m:r>
                    <m:t>R</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w:t>
            </w:r>
            <w:r>
              <w:t xml:space="preserve"> SPR </w:t>
            </w:r>
            <w:r>
              <w:rPr>
                <w:rFonts w:hint="eastAsia"/>
              </w:rPr>
              <w:t xml:space="preserve">释放量</w:t>
            </w:r>
          </w:p>
        </w:tc>
        <w:tc>
          <w:tcPr/>
          <w:p>
            <w:pPr>
              <w:pStyle w:val="Compact"/>
              <w:jc w:val="left"/>
            </w:pPr>
            <w:r>
              <w:rPr>
                <w:rFonts w:hint="eastAsia"/>
              </w:rPr>
              <w:t xml:space="preserve">万桶/日</w:t>
            </w:r>
          </w:p>
        </w:tc>
      </w:tr>
      <w:tr>
        <w:tc>
          <w:tcPr/>
          <w:p>
            <w:pPr>
              <w:pStyle w:val="Compact"/>
              <w:jc w:val="left"/>
            </w:pPr>
            <m:oMath>
              <m:sSub>
                <m:e>
                  <m:r>
                    <m:t>Q</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日绕道运输恢复量</w:t>
            </w:r>
          </w:p>
        </w:tc>
        <w:tc>
          <w:tcPr/>
          <w:p>
            <w:pPr>
              <w:pStyle w:val="Compact"/>
              <w:jc w:val="left"/>
            </w:pPr>
            <w:r>
              <w:rPr>
                <w:rFonts w:hint="eastAsia"/>
              </w:rPr>
              <w:t xml:space="preserve">万桶/日</w:t>
            </w:r>
          </w:p>
        </w:tc>
      </w:tr>
      <w:tr>
        <w:tc>
          <w:tcPr/>
          <w:p>
            <w:pPr>
              <w:pStyle w:val="Compact"/>
              <w:jc w:val="left"/>
            </w:pPr>
            <m:oMath>
              <m:sSub>
                <m:e>
                  <m:r>
                    <m:t>B</m:t>
                  </m:r>
                </m:e>
                <m:sub>
                  <m:r>
                    <m:t>t</m:t>
                  </m:r>
                </m:sub>
              </m:sSub>
            </m:oMath>
          </w:p>
        </w:tc>
        <w:tc>
          <w:tcPr/>
          <w:p>
            <w:pPr>
              <w:pStyle w:val="Compact"/>
              <w:jc w:val="left"/>
            </w:pPr>
            <w:r>
              <w:rPr>
                <w:rFonts w:hint="eastAsia"/>
              </w:rPr>
              <w:t xml:space="preserve">商业库存当日缓冲量</w:t>
            </w:r>
          </w:p>
        </w:tc>
        <w:tc>
          <w:tcPr/>
          <w:p>
            <w:pPr>
              <w:pStyle w:val="Compact"/>
              <w:jc w:val="left"/>
            </w:pPr>
            <w:r>
              <w:rPr>
                <w:rFonts w:hint="eastAsia"/>
              </w:rPr>
              <w:t xml:space="preserve">万桶/日</w:t>
            </w:r>
          </w:p>
        </w:tc>
      </w:tr>
      <w:tr>
        <w:tc>
          <w:tcPr/>
          <w:p>
            <w:pPr>
              <w:pStyle w:val="Compact"/>
              <w:jc w:val="left"/>
            </w:pPr>
            <m:oMath>
              <m:sSub>
                <m:e>
                  <m:r>
                    <m:t>G</m:t>
                  </m:r>
                </m:e>
                <m:sub>
                  <m:r>
                    <m:t>t</m:t>
                  </m:r>
                </m:sub>
              </m:sSub>
            </m:oMath>
          </w:p>
        </w:tc>
        <w:tc>
          <w:tcPr/>
          <w:p>
            <w:pPr>
              <w:pStyle w:val="Compact"/>
              <w:jc w:val="left"/>
            </w:pPr>
            <w:r>
              <w:rPr>
                <w:rFonts w:hint="eastAsia"/>
              </w:rPr>
              <w:t xml:space="preserve">剩余供需缺口</w:t>
            </w:r>
          </w:p>
        </w:tc>
        <w:tc>
          <w:tcPr/>
          <w:p>
            <w:pPr>
              <w:pStyle w:val="Compact"/>
              <w:jc w:val="left"/>
            </w:pPr>
            <w:r>
              <w:rPr>
                <w:rFonts w:hint="eastAsia"/>
              </w:rPr>
              <w:t xml:space="preserve">万桶/日</w:t>
            </w:r>
          </w:p>
        </w:tc>
      </w:tr>
      <w:tr>
        <w:tc>
          <w:tcPr/>
          <w:p>
            <w:pPr>
              <w:pStyle w:val="Compact"/>
              <w:jc w:val="left"/>
            </w:pPr>
            <m:oMath>
              <m:sSub>
                <m:e>
                  <m:r>
                    <m:t>η</m:t>
                  </m:r>
                </m:e>
                <m:sub>
                  <m:r>
                    <m:t>t</m:t>
                  </m:r>
                </m:sub>
              </m:sSub>
            </m:oMath>
          </w:p>
        </w:tc>
        <w:tc>
          <w:tcPr/>
          <w:p>
            <w:pPr>
              <w:pStyle w:val="Compact"/>
              <w:jc w:val="left"/>
            </w:pPr>
            <w:r>
              <w:rPr>
                <w:rFonts w:hint="eastAsia"/>
              </w:rPr>
              <w:t xml:space="preserve">SPR、库存和绕道对总短缺压力的缓冲覆盖率</w:t>
            </w:r>
          </w:p>
        </w:tc>
        <w:tc>
          <w:tcPr/>
          <w:p>
            <w:pPr>
              <w:pStyle w:val="Compact"/>
              <w:jc w:val="left"/>
            </w:pPr>
            <w:r>
              <w:rPr>
                <w:rFonts w:hint="eastAsia"/>
              </w:rPr>
              <w:t xml:space="preserve">无量纲</w:t>
            </w:r>
          </w:p>
        </w:tc>
      </w:tr>
      <w:tr>
        <w:tc>
          <w:tcPr/>
          <w:p>
            <w:pPr>
              <w:pStyle w:val="Compact"/>
              <w:jc w:val="left"/>
            </w:pPr>
            <m:oMath>
              <m:sSub>
                <m:e>
                  <m:r>
                    <m:t>ε</m:t>
                  </m:r>
                </m:e>
                <m:sub>
                  <m:r>
                    <m:t>t</m:t>
                  </m:r>
                </m:sub>
              </m:sSub>
            </m:oMath>
          </w:p>
        </w:tc>
        <w:tc>
          <w:tcPr/>
          <w:p>
            <w:pPr>
              <w:pStyle w:val="Compact"/>
              <w:jc w:val="left"/>
            </w:pPr>
            <w:r>
              <w:rPr>
                <w:rFonts w:hint="eastAsia"/>
              </w:rPr>
              <w:t xml:space="preserve">需求价格弹性</w:t>
            </w:r>
          </w:p>
        </w:tc>
        <w:tc>
          <w:tcPr/>
          <w:p>
            <w:pPr>
              <w:pStyle w:val="Compact"/>
              <w:jc w:val="left"/>
            </w:pPr>
            <w:r>
              <w:rPr>
                <w:rFonts w:hint="eastAsia"/>
              </w:rPr>
              <w:t xml:space="preserve">无量纲</w:t>
            </w:r>
          </w:p>
        </w:tc>
      </w:tr>
      <w:tr>
        <w:tc>
          <w:tcPr/>
          <w:p>
            <w:pPr>
              <w:pStyle w:val="Compact"/>
              <w:jc w:val="left"/>
            </w:pPr>
            <m:oMath>
              <m:sSub>
                <m:e>
                  <m:r>
                    <m:t>F</m:t>
                  </m:r>
                </m:e>
                <m:sub>
                  <m:r>
                    <m:t>t</m:t>
                  </m:r>
                </m:sub>
              </m:sSub>
            </m:oMath>
          </w:p>
        </w:tc>
        <w:tc>
          <w:tcPr/>
          <w:p>
            <w:pPr>
              <w:pStyle w:val="Compact"/>
              <w:jc w:val="left"/>
            </w:pPr>
            <w:r>
              <w:rPr>
                <w:rFonts w:hint="eastAsia"/>
              </w:rPr>
              <w:t xml:space="preserve">恐慌溢价强度</w:t>
            </w:r>
          </w:p>
        </w:tc>
        <w:tc>
          <w:tcPr/>
          <w:p>
            <w:pPr>
              <w:pStyle w:val="Compact"/>
              <w:jc w:val="left"/>
            </w:pPr>
            <w:r>
              <w:rPr>
                <w:rFonts w:hint="eastAsia"/>
              </w:rPr>
              <w:t xml:space="preserve">无量纲</w:t>
            </w:r>
          </w:p>
        </w:tc>
      </w:tr>
      <w:tr>
        <w:tc>
          <w:tcPr/>
          <w:p>
            <w:pPr>
              <w:pStyle w:val="Compact"/>
              <w:jc w:val="left"/>
            </w:pPr>
            <m:oMath>
              <m:r>
                <m:t>β</m:t>
              </m:r>
            </m:oMath>
          </w:p>
        </w:tc>
        <w:tc>
          <w:tcPr/>
          <w:p>
            <w:pPr>
              <w:pStyle w:val="Compact"/>
              <w:jc w:val="left"/>
            </w:pPr>
            <w:r>
              <w:rPr>
                <w:rFonts w:hint="eastAsia"/>
              </w:rPr>
              <w:t xml:space="preserve">地缘风险权重</w:t>
            </w:r>
          </w:p>
        </w:tc>
        <w:tc>
          <w:tcPr/>
          <w:p>
            <w:pPr>
              <w:pStyle w:val="Compact"/>
              <w:jc w:val="left"/>
            </w:pPr>
            <w:r>
              <w:rPr>
                <w:rFonts w:hint="eastAsia"/>
              </w:rPr>
              <w:t xml:space="preserve">无量纲</w:t>
            </w:r>
          </w:p>
        </w:tc>
      </w:tr>
      <w:tr>
        <w:tc>
          <w:tcPr/>
          <w:p>
            <w:pPr>
              <w:pStyle w:val="Compact"/>
              <w:jc w:val="left"/>
            </w:pPr>
            <m:oMath>
              <m:r>
                <m:t>U</m:t>
              </m:r>
            </m:oMath>
          </w:p>
        </w:tc>
        <w:tc>
          <w:tcPr/>
          <w:p>
            <w:pPr>
              <w:pStyle w:val="Compact"/>
              <w:jc w:val="left"/>
            </w:pPr>
            <w:r>
              <w:rPr>
                <w:rFonts w:hint="eastAsia"/>
              </w:rPr>
              <w:t xml:space="preserve">不确定性与制度风险强度</w:t>
            </w:r>
          </w:p>
        </w:tc>
        <w:tc>
          <w:tcPr/>
          <w:p>
            <w:pPr>
              <w:pStyle w:val="Compact"/>
              <w:jc w:val="left"/>
            </w:pPr>
            <w:r>
              <w:rPr>
                <w:rFonts w:hint="eastAsia"/>
              </w:rPr>
              <w:t xml:space="preserve">无量纲</w:t>
            </w:r>
          </w:p>
        </w:tc>
      </w:tr>
      <w:tr>
        <w:tc>
          <w:tcPr/>
          <w:p>
            <w:pPr>
              <w:pStyle w:val="Compact"/>
              <w:jc w:val="left"/>
            </w:pPr>
            <m:oMath>
              <m:r>
                <m:t>v</m:t>
              </m:r>
              <m:r>
                <m:rPr>
                  <m:sty m:val="p"/>
                </m:rPr>
                <m:t>,</m:t>
              </m:r>
              <m:sSub>
                <m:e>
                  <m:r>
                    <m:t>v</m:t>
                  </m:r>
                </m:e>
                <m:sub>
                  <m:r>
                    <m:t>L</m:t>
                  </m:r>
                </m:sub>
              </m:sSub>
            </m:oMath>
          </w:p>
        </w:tc>
        <w:tc>
          <w:tcPr/>
          <w:p>
            <w:pPr>
              <w:pStyle w:val="Compact"/>
              <w:jc w:val="left"/>
            </w:pPr>
            <w:r>
              <w:rPr>
                <w:rFonts w:hint="eastAsia"/>
              </w:rPr>
              <w:t xml:space="preserve">短期和长期价格调整速度</w:t>
            </w:r>
          </w:p>
        </w:tc>
        <w:tc>
          <w:tcPr/>
          <w:p>
            <w:pPr>
              <w:pStyle w:val="Compact"/>
              <w:jc w:val="left"/>
            </w:pPr>
            <w:r>
              <w:rPr>
                <w:rFonts w:hint="eastAsia"/>
              </w:rPr>
              <w:t xml:space="preserve">无量纲</w:t>
            </w:r>
          </w:p>
        </w:tc>
      </w:tr>
      <w:tr>
        <w:tc>
          <w:tcPr/>
          <w:p>
            <w:pPr>
              <w:pStyle w:val="Compact"/>
              <w:jc w:val="left"/>
            </w:pPr>
            <m:oMath>
              <m:sSub>
                <m:e>
                  <m:r>
                    <m:t>J</m:t>
                  </m:r>
                </m:e>
                <m:sub>
                  <m:r>
                    <m:t>t</m:t>
                  </m:r>
                </m:sub>
              </m:sSub>
            </m:oMath>
          </w:p>
        </w:tc>
        <w:tc>
          <w:tcPr/>
          <w:p>
            <w:pPr>
              <w:pStyle w:val="Compact"/>
              <w:jc w:val="left"/>
            </w:pPr>
            <w:r>
              <w:rPr>
                <w:rFonts w:hint="eastAsia"/>
              </w:rPr>
              <w:t xml:space="preserve">长期库存耗尽或二次跳涨风险项</w:t>
            </w:r>
          </w:p>
        </w:tc>
        <w:tc>
          <w:tcPr/>
          <w:p>
            <w:pPr>
              <w:pStyle w:val="Compact"/>
              <w:jc w:val="left"/>
            </w:pPr>
            <w:r>
              <w:rPr>
                <w:rFonts w:hint="eastAsia"/>
              </w:rPr>
              <w:t xml:space="preserve">美元/桶</w:t>
            </w:r>
          </w:p>
        </w:tc>
      </w:tr>
    </w:tbl>
    <w:bookmarkEnd w:id="32"/>
    <w:bookmarkStart w:id="33" w:name="参数来源与识别边界"/>
    <w:p>
      <w:pPr>
        <w:pStyle w:val="Heading2"/>
      </w:pPr>
      <w:r>
        <w:rPr>
          <w:rFonts w:hint="eastAsia"/>
        </w:rPr>
        <w:t xml:space="preserve">参数来源与识别边界</w:t>
      </w:r>
    </w:p>
    <w:p>
      <w:pPr>
        <w:pStyle w:val="FirstParagraph"/>
      </w:pPr>
      <w:r>
        <w:rPr>
          <w:rFonts w:hint="eastAsia"/>
        </w:rPr>
        <w:t xml:space="preserve">为了避免把模型理解为单纯曲线拟合，本文将参数按来源分为六类。题面参数和附件统计量构成模型硬约束；官方外部数据只用于数量级校验；校准参数必须通过基准对比、消融实验和扰动检验；中长期情景参数只用于</w:t>
      </w:r>
      <w:r>
        <w:t xml:space="preserve"> 60–180 </w:t>
      </w:r>
      <w:r>
        <w:rPr>
          <w:rFonts w:hint="eastAsia"/>
        </w:rPr>
        <w:t xml:space="preserve">天条件外推，不参与短期窗口的误差拟合；中长期机制强度参数则必须显式命名，并进入敏感性分析。</w:t>
      </w:r>
    </w:p>
    <w:p>
      <w:pPr>
        <w:pStyle w:val="TableCaption"/>
      </w:pPr>
      <w:r>
        <w:rPr>
          <w:rFonts w:hint="eastAsia"/>
        </w:rPr>
        <w:t xml:space="preserve">参数来源分类与使用边界</w:t>
      </w:r>
    </w:p>
    <w:tbl>
      <w:tblPr>
        <w:tblStyle w:val="Table"/>
        <w:tblW w:type="auto" w:w="0"/>
        <w:tblLook w:firstRow="1" w:lastRow="0" w:firstColumn="0" w:lastColumn="0" w:noHBand="0" w:noVBand="0" w:val="0020"/>
        <w:tblCaption w:val="参数来源分类与使用边界"/>
      </w:tblPr>
      <w:tblGrid>
        <w:gridCol w:w="2640"/>
        <w:gridCol w:w="2640"/>
        <w:gridCol w:w="2640"/>
      </w:tblGrid>
      <w:tr>
        <w:trPr>
          <w:tblHeader w:val="on"/>
        </w:trPr>
        <w:tc>
          <w:tcPr/>
          <w:p>
            <w:pPr>
              <w:pStyle w:val="Compact"/>
              <w:jc w:val="left"/>
            </w:pPr>
            <w:r>
              <w:rPr>
                <w:rFonts w:hint="eastAsia"/>
              </w:rPr>
              <w:t xml:space="preserve">参数类别</w:t>
            </w:r>
          </w:p>
        </w:tc>
        <w:tc>
          <w:tcPr/>
          <w:p>
            <w:pPr>
              <w:pStyle w:val="Compact"/>
              <w:jc w:val="left"/>
            </w:pPr>
            <w:r>
              <w:rPr>
                <w:rFonts w:hint="eastAsia"/>
              </w:rPr>
              <w:t xml:space="preserve">代表变量</w:t>
            </w:r>
          </w:p>
        </w:tc>
        <w:tc>
          <w:tcPr/>
          <w:p>
            <w:pPr>
              <w:pStyle w:val="Compact"/>
              <w:jc w:val="left"/>
            </w:pPr>
            <w:r>
              <w:rPr>
                <w:rFonts w:hint="eastAsia"/>
              </w:rPr>
              <w:t xml:space="preserve">使用边界</w:t>
            </w:r>
          </w:p>
        </w:tc>
      </w:tr>
      <w:tr>
        <w:tc>
          <w:tcPr/>
          <w:p>
            <w:pPr>
              <w:pStyle w:val="Compact"/>
              <w:jc w:val="left"/>
            </w:pPr>
            <w:r>
              <w:rPr>
                <w:rFonts w:hint="eastAsia"/>
              </w:rPr>
              <w:t xml:space="preserve">题面给定参数</w:t>
            </w:r>
          </w:p>
        </w:tc>
        <w:tc>
          <w:tcPr/>
          <w:p>
            <w:pPr>
              <w:pStyle w:val="Compact"/>
              <w:jc w:val="left"/>
            </w:pPr>
            <w:r>
              <w:rPr>
                <w:rFonts w:hint="eastAsia"/>
              </w:rPr>
              <w:t xml:space="preserve">短期弹性</w:t>
            </w:r>
            <w:r>
              <w:t xml:space="preserve"> </w:t>
            </w:r>
            <m:oMath>
              <m:r>
                <m:t>ε</m:t>
              </m:r>
            </m:oMath>
            <w:r>
              <w:rPr>
                <w:rFonts w:hint="eastAsia"/>
              </w:rPr>
              <w:t xml:space="preserve">、供应中断范围、SPR</w:t>
            </w:r>
            <w:r>
              <w:t xml:space="preserve"> </w:t>
            </w:r>
            <w:r>
              <w:rPr>
                <w:rFonts w:hint="eastAsia"/>
              </w:rPr>
              <w:t xml:space="preserve">释放上限、恐慌持续时间</w:t>
            </w:r>
          </w:p>
        </w:tc>
        <w:tc>
          <w:tcPr/>
          <w:p>
            <w:pPr>
              <w:pStyle w:val="Compact"/>
              <w:jc w:val="left"/>
            </w:pPr>
            <w:r>
              <w:rPr>
                <w:rFonts w:hint="eastAsia"/>
              </w:rPr>
              <w:t xml:space="preserve">作为模型约束和传统供需基准依据，不在题面范围外任意调整</w:t>
            </w:r>
          </w:p>
        </w:tc>
      </w:tr>
      <w:tr>
        <w:tc>
          <w:tcPr/>
          <w:p>
            <w:pPr>
              <w:pStyle w:val="Compact"/>
              <w:jc w:val="left"/>
            </w:pPr>
            <w:r>
              <w:rPr>
                <w:rFonts w:hint="eastAsia"/>
              </w:rPr>
              <w:t xml:space="preserve">附件统计量</w:t>
            </w:r>
          </w:p>
        </w:tc>
        <w:tc>
          <w:tcPr/>
          <w:p>
            <w:pPr>
              <w:pStyle w:val="Compact"/>
              <w:jc w:val="left"/>
            </w:pPr>
            <w:r>
              <w:rPr>
                <w:rFonts w:hint="eastAsia"/>
              </w:rPr>
              <w:t xml:space="preserve">基准价格</w:t>
            </w:r>
            <w:r>
              <w:t xml:space="preserve"> </w:t>
            </w:r>
            <m:oMath>
              <m:sSub>
                <m:e>
                  <m:r>
                    <m:t>P</m:t>
                  </m:r>
                </m:e>
                <m:sub>
                  <m:r>
                    <m:t>0</m:t>
                  </m:r>
                </m:sub>
              </m:sSub>
            </m:oMath>
            <w:r>
              <w:rPr>
                <w:rFonts w:hint="eastAsia"/>
              </w:rPr>
              <w:t xml:space="preserve">、冲突窗口真实收盘价、收益率和波动率</w:t>
            </w:r>
          </w:p>
        </w:tc>
        <w:tc>
          <w:tcPr/>
          <w:p>
            <w:pPr>
              <w:pStyle w:val="Compact"/>
              <w:jc w:val="left"/>
            </w:pPr>
            <w:r>
              <w:rPr>
                <w:rFonts w:hint="eastAsia"/>
              </w:rPr>
              <w:t xml:space="preserve">作为拟合目标、误差评价和历史窗口比较依据</w:t>
            </w:r>
          </w:p>
        </w:tc>
      </w:tr>
      <w:tr>
        <w:tc>
          <w:tcPr/>
          <w:p>
            <w:pPr>
              <w:pStyle w:val="Compact"/>
              <w:jc w:val="left"/>
            </w:pPr>
            <w:r>
              <w:rPr>
                <w:rFonts w:hint="eastAsia"/>
              </w:rPr>
              <w:t xml:space="preserve">官方外部校验量</w:t>
            </w:r>
          </w:p>
        </w:tc>
        <w:tc>
          <w:tcPr/>
          <w:p>
            <w:pPr>
              <w:pStyle w:val="Compact"/>
              <w:jc w:val="left"/>
            </w:pPr>
            <w:r>
              <w:t xml:space="preserve">EIA </w:t>
            </w:r>
            <w:r>
              <w:rPr>
                <w:rFonts w:hint="eastAsia"/>
              </w:rPr>
              <w:t xml:space="preserve">周度</w:t>
            </w:r>
            <w:r>
              <w:t xml:space="preserve"> </w:t>
            </w:r>
            <w:r>
              <w:rPr>
                <w:rFonts w:hint="eastAsia"/>
              </w:rPr>
              <w:t xml:space="preserve">SPR、商业库存、原油产量，JODI</w:t>
            </w:r>
            <w:r>
              <w:t xml:space="preserve"> </w:t>
            </w:r>
            <w:r>
              <w:rPr>
                <w:rFonts w:hint="eastAsia"/>
              </w:rPr>
              <w:t xml:space="preserve">多国月度石油数据，OPEC</w:t>
            </w:r>
            <w:r>
              <w:t xml:space="preserve"> </w:t>
            </w:r>
            <w:r>
              <w:rPr>
                <w:rFonts w:hint="eastAsia"/>
              </w:rPr>
              <w:t xml:space="preserve">全球供需平衡表，Caldara-Iacoviello</w:t>
            </w:r>
            <w:r>
              <w:t xml:space="preserve"> GPR </w:t>
            </w:r>
            <w:r>
              <w:rPr>
                <w:rFonts w:hint="eastAsia"/>
              </w:rPr>
              <w:t xml:space="preserve">指数，Cboe/FRED</w:t>
            </w:r>
            <w:r>
              <w:t xml:space="preserve"> OVX </w:t>
            </w:r>
            <w:r>
              <w:rPr>
                <w:rFonts w:hint="eastAsia"/>
              </w:rPr>
              <w:t xml:space="preserve">隐含波动率</w:t>
            </w:r>
          </w:p>
        </w:tc>
        <w:tc>
          <w:tcPr/>
          <w:p>
            <w:pPr>
              <w:pStyle w:val="Compact"/>
              <w:jc w:val="left"/>
            </w:pPr>
            <w:r>
              <w:rPr>
                <w:rFonts w:hint="eastAsia"/>
              </w:rPr>
              <w:t xml:space="preserve">只用于校验长期约束、数量级和风险高位事实，不替代附件真实价格</w:t>
            </w:r>
          </w:p>
        </w:tc>
      </w:tr>
      <w:tr>
        <w:tc>
          <w:tcPr/>
          <w:p>
            <w:pPr>
              <w:pStyle w:val="Compact"/>
              <w:jc w:val="left"/>
            </w:pPr>
            <w:r>
              <w:rPr>
                <w:rFonts w:hint="eastAsia"/>
              </w:rPr>
              <w:t xml:space="preserve">机制校准参数</w:t>
            </w:r>
          </w:p>
        </w:tc>
        <w:tc>
          <w:tcPr/>
          <w:p>
            <w:pPr>
              <w:pStyle w:val="Compact"/>
              <w:jc w:val="left"/>
            </w:pPr>
            <w:r>
              <w:rPr>
                <w:rFonts w:hint="eastAsia"/>
              </w:rPr>
              <w:t xml:space="preserve">价格传导系数</w:t>
            </w:r>
            <w:r>
              <w:t xml:space="preserve"> </w:t>
            </w:r>
            <m:oMath>
              <m:r>
                <m:t>ϕ</m:t>
              </m:r>
            </m:oMath>
            <w:r>
              <w:rPr>
                <w:rFonts w:hint="eastAsia"/>
              </w:rPr>
              <w:t xml:space="preserve">、风险权重</w:t>
            </w:r>
            <w:r>
              <w:t xml:space="preserve"> </w:t>
            </w:r>
            <m:oMath>
              <m:r>
                <m:t>β</m:t>
              </m:r>
            </m:oMath>
            <w:r>
              <w:rPr>
                <w:rFonts w:hint="eastAsia"/>
              </w:rPr>
              <w:t xml:space="preserve">、缓冲确认强度、预期修复强度、调整速度</w:t>
            </w:r>
            <w:r>
              <w:t xml:space="preserve"> </w:t>
            </w:r>
            <m:oMath>
              <m:r>
                <m:t>v</m:t>
              </m:r>
            </m:oMath>
          </w:p>
        </w:tc>
        <w:tc>
          <w:tcPr/>
          <w:p>
            <w:pPr>
              <w:pStyle w:val="Compact"/>
              <w:jc w:val="left"/>
            </w:pPr>
            <w:r>
              <w:rPr>
                <w:rFonts w:hint="eastAsia"/>
              </w:rPr>
              <w:t xml:space="preserve">在固定机制结构内校准，并接受消融、扰动和结构稳定性检验</w:t>
            </w:r>
          </w:p>
        </w:tc>
      </w:tr>
      <w:tr>
        <w:tc>
          <w:tcPr/>
          <w:p>
            <w:pPr>
              <w:pStyle w:val="Compact"/>
              <w:jc w:val="left"/>
            </w:pPr>
            <w:r>
              <w:rPr>
                <w:rFonts w:hint="eastAsia"/>
              </w:rPr>
              <w:t xml:space="preserve">中长期情景参数</w:t>
            </w:r>
          </w:p>
        </w:tc>
        <w:tc>
          <w:tcPr/>
          <w:p>
            <w:pPr>
              <w:pStyle w:val="Compact"/>
              <w:jc w:val="left"/>
            </w:pPr>
            <w:r>
              <w:t xml:space="preserve">OPEC+ </w:t>
            </w:r>
            <w:r>
              <w:rPr>
                <w:rFonts w:hint="eastAsia"/>
              </w:rPr>
              <w:t xml:space="preserve">响应、非</w:t>
            </w:r>
            <w:r>
              <w:t xml:space="preserve"> OPEC </w:t>
            </w:r>
            <w:r>
              <w:rPr>
                <w:rFonts w:hint="eastAsia"/>
              </w:rPr>
              <w:t xml:space="preserve">供给恢复、长期弹性、制度风险强度</w:t>
            </w:r>
          </w:p>
        </w:tc>
        <w:tc>
          <w:tcPr/>
          <w:p>
            <w:pPr>
              <w:pStyle w:val="Compact"/>
              <w:jc w:val="left"/>
            </w:pPr>
            <w:r>
              <w:rPr>
                <w:rFonts w:hint="eastAsia"/>
              </w:rPr>
              <w:t xml:space="preserve">只用于条件中心路径和尾部风险外推，不称为真实未来拟合</w:t>
            </w:r>
          </w:p>
        </w:tc>
      </w:tr>
      <w:tr>
        <w:tc>
          <w:tcPr/>
          <w:p>
            <w:pPr>
              <w:pStyle w:val="Compact"/>
              <w:jc w:val="left"/>
            </w:pPr>
            <w:r>
              <w:rPr>
                <w:rFonts w:hint="eastAsia"/>
              </w:rPr>
              <w:t xml:space="preserve">长期机制强度参数</w:t>
            </w:r>
          </w:p>
        </w:tc>
        <w:tc>
          <w:tcPr/>
          <w:p>
            <w:pPr>
              <w:pStyle w:val="Compact"/>
              <w:jc w:val="left"/>
            </w:pPr>
            <w:r>
              <w:rPr>
                <w:rFonts w:hint="eastAsia"/>
              </w:rPr>
              <w:t xml:space="preserve">冲击不确定性占比、制度风险占比、信心恢复后风险底座、过剩供给回归强度、封锁风险衰减速度</w:t>
            </w:r>
          </w:p>
        </w:tc>
        <w:tc>
          <w:tcPr/>
          <w:p>
            <w:pPr>
              <w:pStyle w:val="Compact"/>
              <w:jc w:val="left"/>
            </w:pPr>
            <w:r>
              <w:rPr>
                <w:rFonts w:hint="eastAsia"/>
              </w:rPr>
              <w:t xml:space="preserve">用于刻画长期机制形状，不作为官方物理常数，并在敏感性分析中单独扰动检验</w:t>
            </w:r>
          </w:p>
        </w:tc>
      </w:tr>
    </w:tbl>
    <w:p>
      <w:pPr>
        <w:pStyle w:val="BodyText"/>
      </w:pPr>
      <w:r>
        <w:rPr>
          <w:rFonts w:hint="eastAsia"/>
        </w:rPr>
        <w:t xml:space="preserve">其中最容易被误读的是价格传导系数</w:t>
      </w:r>
      <w:r>
        <w:t xml:space="preserve"> </w:t>
      </w:r>
      <m:oMath>
        <m:r>
          <m:t>ϕ</m:t>
        </m:r>
      </m:oMath>
      <w:r>
        <w:rPr>
          <w:rFonts w:hint="eastAsia"/>
        </w:rPr>
        <w:t xml:space="preserve">。本文没有用</w:t>
      </w:r>
      <w:r>
        <w:t xml:space="preserve"> </w:t>
      </w:r>
      <m:oMath>
        <m:r>
          <m:t>ϕ</m:t>
        </m:r>
      </m:oMath>
      <w:r>
        <w:t xml:space="preserve"> </w:t>
      </w:r>
      <w:r>
        <w:rPr>
          <w:rFonts w:hint="eastAsia"/>
        </w:rPr>
        <w:t xml:space="preserve">替换题面短期弹性</w:t>
      </w:r>
      <w:r>
        <w:t xml:space="preserve"> </w:t>
      </w:r>
      <m:oMath>
        <m:r>
          <m:t>ε</m:t>
        </m:r>
        <m:r>
          <m:rPr>
            <m:sty m:val="p"/>
          </m:rPr>
          <m:t>=</m:t>
        </m:r>
        <m:r>
          <m:rPr>
            <m:sty m:val="p"/>
          </m:rPr>
          <m:t>−</m:t>
        </m:r>
        <m:r>
          <m:t>0.05</m:t>
        </m:r>
      </m:oMath>
      <w:r>
        <w:rPr>
          <w:rFonts w:hint="eastAsia"/>
        </w:rPr>
        <w:t xml:space="preserve">：低弹性仍用于线性需求反事实基准，解释为什么静态模型会给出</w:t>
      </w:r>
      <w:r>
        <w:t xml:space="preserve"> 278–337 </w:t>
      </w:r>
      <w:r>
        <w:rPr>
          <w:rFonts w:hint="eastAsia"/>
        </w:rPr>
        <w:t xml:space="preserve">美元/桶的高价压力；常弹性需求口径只作为机械上界参照。</w:t>
      </w:r>
      <m:oMath>
        <m:r>
          <m:t>ϕ</m:t>
        </m:r>
      </m:oMath>
      <w:r>
        <w:t xml:space="preserve"> </w:t>
      </w:r>
      <w:r>
        <w:rPr>
          <w:rFonts w:hint="eastAsia"/>
        </w:rPr>
        <w:t xml:space="preserve">只表示在</w:t>
      </w:r>
      <w:r>
        <w:t xml:space="preserve"> </w:t>
      </w:r>
      <w:r>
        <w:rPr>
          <w:rFonts w:hint="eastAsia"/>
        </w:rPr>
        <w:t xml:space="preserve">SPR、库存、绕道运输、需求收缩和预期修复共同存在时，剩余物理缺口进入布伦特期货目标价格的传导比例。二者分别对应</w:t>
      </w:r>
      <w:r>
        <w:rPr>
          <w:rFonts w:hint="eastAsia"/>
        </w:rPr>
        <w:t xml:space="preserve">“无缓冲静态供需压力”</w:t>
      </w:r>
      <w:r>
        <w:rPr>
          <w:rFonts w:hint="eastAsia"/>
        </w:rPr>
        <w:t xml:space="preserve">和</w:t>
      </w:r>
      <w:r>
        <w:rPr>
          <w:rFonts w:hint="eastAsia"/>
        </w:rPr>
        <w:t xml:space="preserve">“有缓冲期货定价传导”</w:t>
      </w:r>
      <w:r>
        <w:rPr>
          <w:rFonts w:hint="eastAsia"/>
        </w:rPr>
        <w:t xml:space="preserve">，经济含义不同。</w:t>
      </w:r>
    </w:p>
    <w:p>
      <w:pPr>
        <w:pStyle w:val="BodyText"/>
      </w:pPr>
      <w:r>
        <w:rPr>
          <w:rFonts w:hint="eastAsia"/>
        </w:rPr>
        <w:t xml:space="preserve">更具体地说，若令</w:t>
      </w:r>
      <w:r>
        <w:t xml:space="preserve"> </w:t>
      </w:r>
      <m:oMath>
        <m:r>
          <m:t>ϕ</m:t>
        </m:r>
        <m:r>
          <m:rPr>
            <m:sty m:val="p"/>
          </m:rPr>
          <m:t>=</m:t>
        </m:r>
        <m:r>
          <m:t>1</m:t>
        </m:r>
      </m:oMath>
      <w:r>
        <w:rPr>
          <w:rFonts w:hint="eastAsia"/>
        </w:rPr>
        <w:t xml:space="preserve">，则模型等价于假设剩余物理缺口会按题面低弹性完全、即时地映射为期货目标价格；但现实原油期货市场同时定价库存、预期、投机头寸、政策缓冲可信度和未来需求调整。Kilian（2009）、Hamilton（2009）以及</w:t>
      </w:r>
      <w:r>
        <w:t xml:space="preserve"> Kilian </w:t>
      </w:r>
      <w:r>
        <w:rPr>
          <w:rFonts w:hint="eastAsia"/>
        </w:rPr>
        <w:t xml:space="preserve">与</w:t>
      </w:r>
      <w:r>
        <w:t xml:space="preserve"> </w:t>
      </w:r>
      <w:r>
        <w:rPr>
          <w:rFonts w:hint="eastAsia"/>
        </w:rPr>
        <w:t xml:space="preserve">Murphy（2014）均指出，油价冲击不能只由当期物理供给缺口解释，预期需求、库存和投机交易会改变现货与期货价格的传导路径。因此本文把</w:t>
      </w:r>
      <w:r>
        <w:t xml:space="preserve"> </w:t>
      </w:r>
      <m:oMath>
        <m:r>
          <m:t>ϕ</m:t>
        </m:r>
      </m:oMath>
      <w:r>
        <w:t xml:space="preserve"> </w:t>
      </w:r>
      <w:r>
        <w:rPr>
          <w:rFonts w:hint="eastAsia"/>
        </w:rPr>
        <w:t xml:space="preserve">明确归类为行为校准参数，并在结构稳定性检验中单独报告：当</w:t>
      </w:r>
      <w:r>
        <w:t xml:space="preserve"> </w:t>
      </w:r>
      <m:oMath>
        <m:r>
          <m:t>ϕ</m:t>
        </m:r>
        <m:r>
          <m:rPr>
            <m:sty m:val="p"/>
          </m:rPr>
          <m:t>=</m:t>
        </m:r>
        <m:r>
          <m:t>1</m:t>
        </m:r>
      </m:oMath>
      <w:r>
        <w:t xml:space="preserve"> </w:t>
      </w:r>
      <w:r>
        <w:rPr>
          <w:rFonts w:hint="eastAsia"/>
        </w:rPr>
        <w:t xml:space="preserve">时，短期</w:t>
      </w:r>
      <w:r>
        <w:t xml:space="preserve"> RMSE </w:t>
      </w:r>
      <w:r>
        <w:rPr>
          <w:rFonts w:hint="eastAsia"/>
        </w:rPr>
        <w:t xml:space="preserve">升至</w:t>
      </w:r>
      <w:r>
        <w:t xml:space="preserve"> 26.55 </w:t>
      </w:r>
      <w:r>
        <w:rPr>
          <w:rFonts w:hint="eastAsia"/>
        </w:rPr>
        <w:t xml:space="preserve">美元/桶，模拟峰值升至</w:t>
      </w:r>
      <w:r>
        <w:t xml:space="preserve"> 166.84 </w:t>
      </w:r>
      <w:r>
        <w:rPr>
          <w:rFonts w:hint="eastAsia"/>
        </w:rPr>
        <w:t xml:space="preserve">美元/桶，说明完全机械传导不符合附件观测；而在</w:t>
      </w:r>
      <w:r>
        <w:t xml:space="preserve"> </w:t>
      </w:r>
      <m:oMath>
        <m:r>
          <m:t>0.5</m:t>
        </m:r>
        <m:r>
          <m:t>ϕ</m:t>
        </m:r>
      </m:oMath>
      <w:r>
        <w:t xml:space="preserve">–</w:t>
      </w:r>
      <m:oMath>
        <m:r>
          <m:t>2.0</m:t>
        </m:r>
        <m:r>
          <m:t>ϕ</m:t>
        </m:r>
      </m:oMath>
      <w:r>
        <w:t xml:space="preserve"> </w:t>
      </w:r>
      <w:r>
        <w:rPr>
          <w:rFonts w:hint="eastAsia"/>
        </w:rPr>
        <w:t xml:space="preserve">扰动内，RMSE</w:t>
      </w:r>
      <w:r>
        <w:t xml:space="preserve"> </w:t>
      </w:r>
      <w:r>
        <w:rPr>
          <w:rFonts w:hint="eastAsia"/>
        </w:rPr>
        <w:t xml:space="preserve">仍处于</w:t>
      </w:r>
      <w:r>
        <w:t xml:space="preserve"> 3.50–3.64 </w:t>
      </w:r>
      <w:r>
        <w:rPr>
          <w:rFonts w:hint="eastAsia"/>
        </w:rPr>
        <w:t xml:space="preserve">美元/桶区间，说明价格平台并非唯一参数点偶然形成。</w:t>
      </w:r>
    </w:p>
    <w:p>
      <w:pPr>
        <w:pStyle w:val="BodyText"/>
      </w:pPr>
      <w:r>
        <w:rPr>
          <w:rFonts w:hint="eastAsia"/>
        </w:rPr>
        <w:t xml:space="preserve">中长期外推中的若干机制系数也需要单独说明。例如冲击不确定性占比、制度风险占比、过剩供给回归强度和封锁风险衰减速度并非</w:t>
      </w:r>
      <w:r>
        <w:t xml:space="preserve"> EIA、JODI </w:t>
      </w:r>
      <w:r>
        <w:rPr>
          <w:rFonts w:hint="eastAsia"/>
        </w:rPr>
        <w:t xml:space="preserve">或</w:t>
      </w:r>
      <w:r>
        <w:t xml:space="preserve"> IEA </w:t>
      </w:r>
      <w:r>
        <w:rPr>
          <w:rFonts w:hint="eastAsia"/>
        </w:rPr>
        <w:t xml:space="preserve">直接发布的物理量，而是把短期校准后的风险定价机制延伸到</w:t>
      </w:r>
      <w:r>
        <w:t xml:space="preserve"> 60–180 </w:t>
      </w:r>
      <w:r>
        <w:rPr>
          <w:rFonts w:hint="eastAsia"/>
        </w:rPr>
        <w:t xml:space="preserve">天时使用的形状参数。本文不把它们写成确定事实，而是把它们显式列入敏感性分析：若这些系数在合理范围内扰动后结论仍保持中性回落、悲观尾部上行的结构，则说明中长期判断主要来自机制组合，而不是某一个隐藏常数。</w:t>
      </w:r>
    </w:p>
    <w:bookmarkEnd w:id="33"/>
    <w:bookmarkEnd w:id="34"/>
    <w:bookmarkStart w:id="40" w:name="传统供需基准模型"/>
    <w:p>
      <w:pPr>
        <w:pStyle w:val="Heading1"/>
      </w:pPr>
      <w:r>
        <w:rPr>
          <w:rFonts w:hint="eastAsia"/>
        </w:rPr>
        <w:t xml:space="preserve">传统供需基准模型</w:t>
      </w:r>
    </w:p>
    <w:bookmarkStart w:id="35" w:name="模型建立"/>
    <w:p>
      <w:pPr>
        <w:pStyle w:val="Heading2"/>
      </w:pPr>
      <w:r>
        <w:rPr>
          <w:rFonts w:hint="eastAsia"/>
        </w:rPr>
        <w:t xml:space="preserve">模型建立</w:t>
      </w:r>
    </w:p>
    <w:p>
      <w:pPr>
        <w:pStyle w:val="FirstParagraph"/>
      </w:pPr>
      <w:r>
        <w:rPr>
          <w:rFonts w:hint="eastAsia"/>
        </w:rPr>
        <w:t xml:space="preserve">传统供需基准模型用于刻画</w:t>
      </w:r>
      <w:r>
        <w:rPr>
          <w:rFonts w:hint="eastAsia"/>
        </w:rPr>
        <w:t xml:space="preserve">“没有显著缓冲机制时”</w:t>
      </w:r>
      <w:r>
        <w:rPr>
          <w:rFonts w:hint="eastAsia"/>
        </w:rPr>
        <w:t xml:space="preserve">的理论价格压力。它不是最终预测模型，而是反事实参照：如果市场只按低短期弹性吸收供应中断，那么静态供需框架会给出多高的价格压力。</w:t>
      </w:r>
    </w:p>
    <w:p>
      <w:pPr>
        <w:pStyle w:val="BodyText"/>
      </w:pPr>
      <w:r>
        <w:rPr>
          <w:rFonts w:hint="eastAsia"/>
        </w:rPr>
        <w:t xml:space="preserve">本文主口径采用线性需求曲线假设。设局部反需求函数为</w:t>
      </w:r>
      <w:r>
        <w:t xml:space="preserve"> </w:t>
      </w:r>
      <m:oMath>
        <m:r>
          <m:t>P</m:t>
        </m:r>
        <m:r>
          <m:rPr>
            <m:sty m:val="p"/>
          </m:rPr>
          <m:t>=</m:t>
        </m:r>
        <m:r>
          <m:t>a</m:t>
        </m:r>
        <m:r>
          <m:rPr>
            <m:sty m:val="p"/>
          </m:rPr>
          <m:t>−</m:t>
        </m:r>
        <m:r>
          <m:t>b</m:t>
        </m:r>
        <m:r>
          <m:t>Q</m:t>
        </m:r>
      </m:oMath>
      <w:r>
        <w:rPr>
          <w:rFonts w:hint="eastAsia"/>
        </w:rPr>
        <w:t xml:space="preserve">，并在战前均衡点</w:t>
      </w:r>
      <w:r>
        <w:t xml:space="preserve"> </w:t>
      </w:r>
      <m:oMath>
        <m:sSub>
          <m:e>
            <m:r>
              <m:t>P</m:t>
            </m:r>
          </m:e>
          <m:sub>
            <m:r>
              <m:t>0</m:t>
            </m:r>
          </m:sub>
        </m:sSub>
        <m:r>
          <m:rPr>
            <m:sty m:val="p"/>
          </m:rPr>
          <m:t>,</m:t>
        </m:r>
        <m:sSub>
          <m:e>
            <m:r>
              <m:t>D</m:t>
            </m:r>
          </m:e>
          <m:sub>
            <m:r>
              <m:t>0</m:t>
            </m:r>
          </m:sub>
        </m:sSub>
      </m:oMath>
      <w:r>
        <w:t xml:space="preserve"> </w:t>
      </w:r>
      <w:r>
        <w:rPr>
          <w:rFonts w:hint="eastAsia"/>
        </w:rPr>
        <w:t xml:space="preserve">处使用题面给出的短期点弹性</w:t>
      </w:r>
      <w:r>
        <w:t xml:space="preserve"> </w:t>
      </w:r>
      <m:oMath>
        <m:r>
          <m:t>ε</m:t>
        </m:r>
      </m:oMath>
      <w:r>
        <w:t xml:space="preserve"> </w:t>
      </w:r>
      <w:r>
        <w:rPr>
          <w:rFonts w:hint="eastAsia"/>
        </w:rPr>
        <w:t xml:space="preserve">标定斜率。由点弹性定义</w:t>
      </w:r>
    </w:p>
    <w:p>
      <w:pPr>
        <w:pStyle w:val="BodyText"/>
      </w:pPr>
      <m:oMathPara>
        <m:oMathParaPr>
          <m:jc m:val="center"/>
        </m:oMathParaPr>
        <m:oMath>
          <m:r>
            <m:t>ε</m:t>
          </m:r>
          <m:r>
            <m:rPr>
              <m:sty m:val="p"/>
            </m:rPr>
            <m:t>=</m:t>
          </m:r>
          <m:f>
            <m:fPr>
              <m:type m:val="bar"/>
            </m:fPr>
            <m:num>
              <m:r>
                <m:rPr>
                  <m:sty m:val="p"/>
                </m:rPr>
                <m:t>d</m:t>
              </m:r>
              <m:r>
                <m:t>Q</m:t>
              </m:r>
            </m:num>
            <m:den>
              <m:r>
                <m:rPr>
                  <m:sty m:val="p"/>
                </m:rPr>
                <m:t>d</m:t>
              </m:r>
              <m:r>
                <m:t>P</m:t>
              </m:r>
            </m:den>
          </m:f>
          <m:f>
            <m:fPr>
              <m:type m:val="bar"/>
            </m:fPr>
            <m:num>
              <m:sSub>
                <m:e>
                  <m:r>
                    <m:t>P</m:t>
                  </m:r>
                </m:e>
                <m:sub>
                  <m:r>
                    <m:t>0</m:t>
                  </m:r>
                </m:sub>
              </m:sSub>
            </m:num>
            <m:den>
              <m:sSub>
                <m:e>
                  <m:r>
                    <m:t>D</m:t>
                  </m:r>
                </m:e>
                <m:sub>
                  <m:r>
                    <m:t>0</m:t>
                  </m:r>
                </m:sub>
              </m:sSub>
            </m:den>
          </m:f>
          <m:r>
            <m:rPr>
              <m:sty m:val="p"/>
            </m:rPr>
            <m:t>=</m:t>
          </m:r>
          <m:r>
            <m:rPr>
              <m:sty m:val="p"/>
            </m:rPr>
            <m:t>−</m:t>
          </m:r>
          <m:f>
            <m:fPr>
              <m:type m:val="bar"/>
            </m:fPr>
            <m:num>
              <m:r>
                <m:t>1</m:t>
              </m:r>
            </m:num>
            <m:den>
              <m:r>
                <m:t>b</m:t>
              </m:r>
            </m:den>
          </m:f>
          <m:f>
            <m:fPr>
              <m:type m:val="bar"/>
            </m:fPr>
            <m:num>
              <m:sSub>
                <m:e>
                  <m:r>
                    <m:t>P</m:t>
                  </m:r>
                </m:e>
                <m:sub>
                  <m:r>
                    <m:t>0</m:t>
                  </m:r>
                </m:sub>
              </m:sSub>
            </m:num>
            <m:den>
              <m:sSub>
                <m:e>
                  <m:r>
                    <m:t>D</m:t>
                  </m:r>
                </m:e>
                <m:sub>
                  <m:r>
                    <m:t>0</m:t>
                  </m:r>
                </m:sub>
              </m:sSub>
            </m:den>
          </m:f>
          <m:r>
            <m:rPr>
              <m:sty m:val="p"/>
            </m:rPr>
            <m:t>,</m:t>
          </m:r>
        </m:oMath>
      </m:oMathPara>
    </w:p>
    <w:p>
      <w:pPr>
        <w:pStyle w:val="FirstParagraph"/>
      </w:pPr>
      <w:r>
        <w:rPr>
          <w:rFonts w:hint="eastAsia"/>
        </w:rPr>
        <w:t xml:space="preserve">可得</w:t>
      </w:r>
      <w:r>
        <w:t xml:space="preserve"> </w:t>
      </w:r>
      <m:oMath>
        <m:r>
          <m:t>b</m:t>
        </m:r>
        <m:r>
          <m:rPr>
            <m:sty m:val="p"/>
          </m:rPr>
          <m:t>=</m:t>
        </m:r>
        <m:sSub>
          <m:e>
            <m:r>
              <m:t>P</m:t>
            </m:r>
          </m:e>
          <m:sub>
            <m:r>
              <m:t>0</m:t>
            </m:r>
          </m:sub>
        </m:sSub>
        <m:r>
          <m:rPr>
            <m:sty m:val="p"/>
          </m:rPr>
          <m:t>/</m:t>
        </m:r>
        <m:r>
          <m:rPr>
            <m:sty m:val="p"/>
          </m:rPr>
          <m:t>(</m:t>
        </m:r>
        <m:r>
          <m:rPr>
            <m:sty m:val="p"/>
          </m:rPr>
          <m:t>|</m:t>
        </m:r>
        <m:r>
          <m:t>ε</m:t>
        </m:r>
        <m:r>
          <m:rPr>
            <m:sty m:val="p"/>
          </m:rPr>
          <m:t>|</m:t>
        </m:r>
        <m:sSub>
          <m:e>
            <m:r>
              <m:t>D</m:t>
            </m:r>
          </m:e>
          <m:sub>
            <m:r>
              <m:t>0</m:t>
            </m:r>
          </m:sub>
        </m:sSub>
        <m:r>
          <m:rPr>
            <m:sty m:val="p"/>
          </m:rPr>
          <m:t>)</m:t>
        </m:r>
      </m:oMath>
      <w:r>
        <w:rPr>
          <w:rFonts w:hint="eastAsia"/>
        </w:rPr>
        <w:t xml:space="preserve">。当供应中断量为</w:t>
      </w:r>
      <w:r>
        <w:t xml:space="preserve"> </w:t>
      </w:r>
      <m:oMath>
        <m:r>
          <m:t>I</m:t>
        </m:r>
      </m:oMath>
      <w:r>
        <w:t xml:space="preserve"> </w:t>
      </w:r>
      <w:r>
        <w:rPr>
          <w:rFonts w:hint="eastAsia"/>
        </w:rPr>
        <w:t xml:space="preserve">时，静态均衡消费量由</w:t>
      </w:r>
      <w:r>
        <w:t xml:space="preserve"> </w:t>
      </w:r>
      <m:oMath>
        <m:sSub>
          <m:e>
            <m:r>
              <m:t>D</m:t>
            </m:r>
          </m:e>
          <m:sub>
            <m:r>
              <m:t>0</m:t>
            </m:r>
          </m:sub>
        </m:sSub>
      </m:oMath>
      <w:r>
        <w:t xml:space="preserve"> </w:t>
      </w:r>
      <w:r>
        <w:rPr>
          <w:rFonts w:hint="eastAsia"/>
        </w:rPr>
        <w:t xml:space="preserve">下降至</w:t>
      </w:r>
      <w:r>
        <w:t xml:space="preserve"> </w:t>
      </w:r>
      <m:oMath>
        <m:sSub>
          <m:e>
            <m:r>
              <m:t>D</m:t>
            </m:r>
          </m:e>
          <m:sub>
            <m:r>
              <m:t>0</m:t>
            </m:r>
          </m:sub>
        </m:sSub>
        <m:r>
          <m:rPr>
            <m:sty m:val="p"/>
          </m:rPr>
          <m:t>−</m:t>
        </m:r>
        <m:r>
          <m:t>I</m:t>
        </m:r>
      </m:oMath>
      <w:r>
        <w:rPr>
          <w:rFonts w:hint="eastAsia"/>
        </w:rPr>
        <w:t xml:space="preserve">，线性反需求给出</w:t>
      </w:r>
    </w:p>
    <w:p>
      <w:pPr>
        <w:pStyle w:val="BodyText"/>
      </w:pPr>
      <m:oMathPara>
        <m:oMathParaPr>
          <m:jc m:val="center"/>
        </m:oMathParaPr>
        <m:oMath>
          <m:sSub>
            <m:e>
              <m:r>
                <m:t>P</m:t>
              </m:r>
            </m:e>
            <m:sub>
              <m:r>
                <m:rPr>
                  <m:sty m:val="p"/>
                </m:rPr>
                <m:t>b</m:t>
              </m:r>
              <m:r>
                <m:rPr>
                  <m:sty m:val="p"/>
                </m:rPr>
                <m:t>a</m:t>
              </m:r>
              <m:r>
                <m:rPr>
                  <m:sty m:val="p"/>
                </m:rPr>
                <m:t>s</m:t>
              </m:r>
              <m:r>
                <m:rPr>
                  <m:sty m:val="p"/>
                </m:rPr>
                <m:t>e</m:t>
              </m:r>
            </m:sub>
          </m:sSub>
          <m:r>
            <m:rPr>
              <m:sty m:val="p"/>
            </m:rPr>
            <m:t>−</m:t>
          </m:r>
          <m:sSub>
            <m:e>
              <m:r>
                <m:t>P</m:t>
              </m:r>
            </m:e>
            <m:sub>
              <m:r>
                <m:t>0</m:t>
              </m:r>
            </m:sub>
          </m:sSub>
          <m:r>
            <m:rPr>
              <m:sty m:val="p"/>
            </m:rPr>
            <m:t>=</m:t>
          </m:r>
          <m:r>
            <m:t>b</m:t>
          </m:r>
          <m:r>
            <m:t>I</m:t>
          </m:r>
          <m:r>
            <m:rPr>
              <m:sty m:val="p"/>
            </m:rPr>
            <m:t>=</m:t>
          </m:r>
          <m:sSub>
            <m:e>
              <m:r>
                <m:t>P</m:t>
              </m:r>
            </m:e>
            <m:sub>
              <m:r>
                <m:t>0</m:t>
              </m:r>
            </m:sub>
          </m:sSub>
          <m:f>
            <m:fPr>
              <m:type m:val="bar"/>
            </m:fPr>
            <m:num>
              <m:r>
                <m:t>I</m:t>
              </m:r>
              <m:r>
                <m:rPr>
                  <m:sty m:val="p"/>
                </m:rPr>
                <m:t>/</m:t>
              </m:r>
              <m:sSub>
                <m:e>
                  <m:r>
                    <m:t>D</m:t>
                  </m:r>
                </m:e>
                <m:sub>
                  <m:r>
                    <m:t>0</m:t>
                  </m:r>
                </m:sub>
              </m:sSub>
            </m:num>
            <m:den>
              <m:r>
                <m:rPr>
                  <m:sty m:val="p"/>
                </m:rPr>
                <m:t>|</m:t>
              </m:r>
              <m:r>
                <m:t>ε</m:t>
              </m:r>
              <m:r>
                <m:rPr>
                  <m:sty m:val="p"/>
                </m:rPr>
                <m:t>|</m:t>
              </m:r>
            </m:den>
          </m:f>
          <m:r>
            <m:rPr>
              <m:sty m:val="p"/>
            </m:rPr>
            <m:t>.</m:t>
          </m:r>
        </m:oMath>
      </m:oMathPara>
    </w:p>
    <w:p>
      <w:pPr>
        <w:pStyle w:val="FirstParagraph"/>
      </w:pPr>
      <w:r>
        <w:rPr>
          <w:rFonts w:hint="eastAsia"/>
        </w:rPr>
        <w:t xml:space="preserve">因此，线性需求反事实价格为</w:t>
      </w:r>
    </w:p>
    <w:p>
      <w:pPr>
        <w:pStyle w:val="BodyText"/>
      </w:pPr>
      <m:oMathPara>
        <m:oMathParaPr>
          <m:jc m:val="center"/>
        </m:oMathParaPr>
        <m:oMath>
          <m:sSub>
            <m:e>
              <m:r>
                <m:t>P</m:t>
              </m:r>
            </m:e>
            <m:sub>
              <m:r>
                <m:rPr>
                  <m:sty m:val="p"/>
                </m:rPr>
                <m:t>b</m:t>
              </m:r>
              <m:r>
                <m:rPr>
                  <m:sty m:val="p"/>
                </m:rPr>
                <m:t>a</m:t>
              </m:r>
              <m:r>
                <m:rPr>
                  <m:sty m:val="p"/>
                </m:rPr>
                <m:t>s</m:t>
              </m:r>
              <m:r>
                <m:rPr>
                  <m:sty m:val="p"/>
                </m:rPr>
                <m:t>e</m:t>
              </m:r>
            </m:sub>
          </m:sSub>
          <m:r>
            <m:rPr>
              <m:sty m:val="p"/>
            </m:rPr>
            <m:t>=</m:t>
          </m:r>
          <m:sSub>
            <m:e>
              <m:r>
                <m:t>P</m:t>
              </m:r>
            </m:e>
            <m:sub>
              <m:r>
                <m:t>0</m:t>
              </m:r>
            </m:sub>
          </m:sSub>
          <m:d>
            <m:dPr>
              <m:begChr m:val="("/>
              <m:sepChr m:val=""/>
              <m:endChr m:val=")"/>
              <m:grow/>
            </m:dPr>
            <m:e>
              <m:r>
                <m:t>1</m:t>
              </m:r>
              <m:r>
                <m:rPr>
                  <m:sty m:val="p"/>
                </m:rPr>
                <m:t>+</m:t>
              </m:r>
              <m:f>
                <m:fPr>
                  <m:type m:val="bar"/>
                </m:fPr>
                <m:num>
                  <m:r>
                    <m:t>I</m:t>
                  </m:r>
                  <m:r>
                    <m:rPr>
                      <m:sty m:val="p"/>
                    </m:rPr>
                    <m:t>/</m:t>
                  </m:r>
                  <m:sSub>
                    <m:e>
                      <m:r>
                        <m:t>D</m:t>
                      </m:r>
                    </m:e>
                    <m:sub>
                      <m:r>
                        <m:t>0</m:t>
                      </m:r>
                    </m:sub>
                  </m:sSub>
                </m:num>
                <m:den>
                  <m:r>
                    <m:rPr>
                      <m:sty m:val="p"/>
                    </m:rPr>
                    <m:t>|</m:t>
                  </m:r>
                  <m:r>
                    <m:t>ε</m:t>
                  </m:r>
                  <m:r>
                    <m:rPr>
                      <m:sty m:val="p"/>
                    </m:rPr>
                    <m:t>|</m:t>
                  </m:r>
                </m:den>
              </m:f>
            </m:e>
          </m:d>
          <m:r>
            <m:rPr>
              <m:sty m:val="p"/>
            </m:rPr>
            <m:t>.</m:t>
          </m:r>
        </m:oMath>
      </m:oMathPara>
    </w:p>
    <w:p>
      <w:pPr>
        <w:pStyle w:val="FirstParagraph"/>
      </w:pPr>
      <w:r>
        <w:rPr>
          <w:rFonts w:hint="eastAsia"/>
        </w:rPr>
        <w:t xml:space="preserve">需要说明的是，上式不是常弹性需求函数的一阶</w:t>
      </w:r>
      <w:r>
        <w:t xml:space="preserve"> Taylor </w:t>
      </w:r>
      <w:r>
        <w:rPr>
          <w:rFonts w:hint="eastAsia"/>
        </w:rPr>
        <w:t xml:space="preserve">近似，而是线性需求反事实基准的主口径。选择线性需求，是因为它隐含消费者边际支付意愿随消费量下降；若采用常弹性需求</w:t>
      </w:r>
      <w:r>
        <w:t xml:space="preserve"> </w:t>
      </w:r>
      <m:oMath>
        <m:r>
          <m:t>Q</m:t>
        </m:r>
        <m:r>
          <m:rPr>
            <m:sty m:val="p"/>
          </m:rPr>
          <m:t>=</m:t>
        </m:r>
        <m:r>
          <m:t>A</m:t>
        </m:r>
        <m:sSup>
          <m:e>
            <m:r>
              <m:t>P</m:t>
            </m:r>
          </m:e>
          <m:sup>
            <m:r>
              <m:t>ε</m:t>
            </m:r>
          </m:sup>
        </m:sSup>
      </m:oMath>
      <w:r>
        <w:rPr>
          <w:rFonts w:hint="eastAsia"/>
        </w:rPr>
        <w:t xml:space="preserve">，在</w:t>
      </w:r>
      <w:r>
        <w:t xml:space="preserve"> </w:t>
      </w:r>
      <m:oMath>
        <m:r>
          <m:t>ε</m:t>
        </m:r>
        <m:r>
          <m:rPr>
            <m:sty m:val="p"/>
          </m:rPr>
          <m:t>=</m:t>
        </m:r>
        <m:r>
          <m:rPr>
            <m:sty m:val="p"/>
          </m:rPr>
          <m:t>−</m:t>
        </m:r>
        <m:r>
          <m:t>0.05</m:t>
        </m:r>
      </m:oMath>
      <w:r>
        <w:t xml:space="preserve"> </w:t>
      </w:r>
      <w:r>
        <w:rPr>
          <w:rFonts w:hint="eastAsia"/>
        </w:rPr>
        <w:t xml:space="preserve">且供应缺口较大时会给出极高的机械上界：</w:t>
      </w:r>
    </w:p>
    <w:p>
      <w:pPr>
        <w:pStyle w:val="BodyText"/>
      </w:pPr>
      <m:oMathPara>
        <m:oMathParaPr>
          <m:jc m:val="center"/>
        </m:oMathParaPr>
        <m:oMath>
          <m:sSub>
            <m:e>
              <m:r>
                <m:t>P</m:t>
              </m:r>
            </m:e>
            <m:sub>
              <m:r>
                <m:rPr>
                  <m:sty m:val="p"/>
                </m:rPr>
                <m:t>c</m:t>
              </m:r>
              <m:r>
                <m:rPr>
                  <m:sty m:val="p"/>
                </m:rPr>
                <m:t>e</m:t>
              </m:r>
            </m:sub>
          </m:sSub>
          <m:r>
            <m:rPr>
              <m:sty m:val="p"/>
            </m:rPr>
            <m:t>=</m:t>
          </m:r>
          <m:sSub>
            <m:e>
              <m:r>
                <m:t>P</m:t>
              </m:r>
            </m:e>
            <m:sub>
              <m:r>
                <m:t>0</m:t>
              </m:r>
            </m:sub>
          </m:sSub>
          <m:sSup>
            <m:e>
              <m:d>
                <m:dPr>
                  <m:begChr m:val="("/>
                  <m:sepChr m:val=""/>
                  <m:endChr m:val=")"/>
                  <m:grow/>
                </m:dPr>
                <m:e>
                  <m:r>
                    <m:t>1</m:t>
                  </m:r>
                  <m:r>
                    <m:rPr>
                      <m:sty m:val="p"/>
                    </m:rPr>
                    <m:t>−</m:t>
                  </m:r>
                  <m:f>
                    <m:fPr>
                      <m:type m:val="bar"/>
                    </m:fPr>
                    <m:num>
                      <m:r>
                        <m:t>I</m:t>
                      </m:r>
                    </m:num>
                    <m:den>
                      <m:sSub>
                        <m:e>
                          <m:r>
                            <m:t>D</m:t>
                          </m:r>
                        </m:e>
                        <m:sub>
                          <m:r>
                            <m:t>0</m:t>
                          </m:r>
                        </m:sub>
                      </m:sSub>
                    </m:den>
                  </m:f>
                </m:e>
              </m:d>
            </m:e>
            <m:sup>
              <m:r>
                <m:t>1</m:t>
              </m:r>
              <m:r>
                <m:rPr>
                  <m:sty m:val="p"/>
                </m:rPr>
                <m:t>/</m:t>
              </m:r>
              <m:r>
                <m:t>ε</m:t>
              </m:r>
            </m:sup>
          </m:sSup>
          <m:r>
            <m:rPr>
              <m:sty m:val="p"/>
            </m:rPr>
            <m:t>.</m:t>
          </m:r>
        </m:oMath>
      </m:oMathPara>
    </w:p>
    <w:p>
      <w:pPr>
        <w:pStyle w:val="FirstParagraph"/>
      </w:pPr>
      <w:r>
        <w:rPr>
          <w:rFonts w:hint="eastAsia"/>
        </w:rPr>
        <w:t xml:space="preserve">本文同时计算</w:t>
      </w:r>
      <w:r>
        <w:t xml:space="preserve"> </w:t>
      </w:r>
      <m:oMath>
        <m:sSub>
          <m:e>
            <m:r>
              <m:t>P</m:t>
            </m:r>
          </m:e>
          <m:sub>
            <m:r>
              <m:rPr>
                <m:sty m:val="p"/>
              </m:rPr>
              <m:t>c</m:t>
            </m:r>
            <m:r>
              <m:rPr>
                <m:sty m:val="p"/>
              </m:rPr>
              <m:t>e</m:t>
            </m:r>
          </m:sub>
        </m:sSub>
      </m:oMath>
      <w:r>
        <w:t xml:space="preserve"> </w:t>
      </w:r>
      <w:r>
        <w:rPr>
          <w:rFonts w:hint="eastAsia"/>
        </w:rPr>
        <w:t xml:space="preserve">作为稳健性参照，但不将其作为主图结论。两个口径的共同作用，是证明传统低弹性供需框架会显著高估现实价格，而不是精确预测冲突窗口逐日油价。</w:t>
      </w:r>
    </w:p>
    <w:p>
      <w:pPr>
        <w:pStyle w:val="BodyText"/>
      </w:pPr>
      <w:r>
        <w:rPr>
          <w:rFonts w:hint="eastAsia"/>
        </w:rPr>
        <w:t xml:space="preserve">这一反事实基准需要被严格限定在</w:t>
      </w:r>
      <w:r>
        <w:rPr>
          <w:rFonts w:hint="eastAsia"/>
        </w:rPr>
        <w:t xml:space="preserve">“静态、局部、常参数”</w:t>
      </w:r>
      <w:r>
        <w:rPr>
          <w:rFonts w:hint="eastAsia"/>
        </w:rPr>
        <w:t xml:space="preserve">的解释范围内。真实原油需求曲线不会在高价区间无限线性外推：当价格接近某一需求窒息价格时，消费、炼厂开工、政策干预和替代运输都会发生非线性调整。因此，278–337</w:t>
      </w:r>
      <w:r>
        <w:t xml:space="preserve"> </w:t>
      </w:r>
      <w:r>
        <w:rPr>
          <w:rFonts w:hint="eastAsia"/>
        </w:rPr>
        <w:t xml:space="preserve">美元/桶以及常弹性口径下更高的数值，只用于度量题面低短期弹性与初期物理缺口可能造成的最大边际压力，并不表示现实市场价格会真实到达该区间。</w:t>
      </w:r>
    </w:p>
    <w:bookmarkEnd w:id="35"/>
    <w:bookmarkStart w:id="39" w:name="基准模型结果"/>
    <w:p>
      <w:pPr>
        <w:pStyle w:val="Heading2"/>
      </w:pPr>
      <w:r>
        <w:rPr>
          <w:rFonts w:hint="eastAsia"/>
        </w:rPr>
        <w:t xml:space="preserve">基准模型结果</w:t>
      </w:r>
    </w:p>
    <w:p>
      <w:pPr>
        <w:pStyle w:val="TableCaption"/>
      </w:pPr>
      <w:r>
        <w:rPr>
          <w:rFonts w:hint="eastAsia"/>
        </w:rPr>
        <w:t xml:space="preserve">传统供需反事实基准模型结果</w:t>
      </w:r>
    </w:p>
    <w:tbl>
      <w:tblPr>
        <w:tblStyle w:val="Table"/>
        <w:tblW w:type="auto" w:w="0"/>
        <w:tblLook w:firstRow="1" w:lastRow="0" w:firstColumn="0" w:lastColumn="0" w:noHBand="0" w:noVBand="0" w:val="0020"/>
        <w:tblCaption w:val="传统供需反事实基准模型结果"/>
      </w:tblPr>
      <w:tblGrid>
        <w:gridCol w:w="1584"/>
        <w:gridCol w:w="1584"/>
        <w:gridCol w:w="1584"/>
        <w:gridCol w:w="1584"/>
        <w:gridCol w:w="1584"/>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供应中断量</w:t>
            </w:r>
          </w:p>
        </w:tc>
        <w:tc>
          <w:tcPr/>
          <w:p>
            <w:pPr>
              <w:pStyle w:val="Compact"/>
              <w:jc w:val="right"/>
            </w:pPr>
            <w:r>
              <w:rPr>
                <w:rFonts w:hint="eastAsia"/>
              </w:rPr>
              <w:t xml:space="preserve">线性需求价格</w:t>
            </w:r>
          </w:p>
        </w:tc>
        <w:tc>
          <w:tcPr/>
          <w:p>
            <w:pPr>
              <w:pStyle w:val="Compact"/>
              <w:jc w:val="right"/>
            </w:pPr>
            <w:r>
              <w:rPr>
                <w:rFonts w:hint="eastAsia"/>
              </w:rPr>
              <w:t xml:space="preserve">常弹性上界</w:t>
            </w:r>
          </w:p>
        </w:tc>
        <w:tc>
          <w:tcPr/>
          <w:p>
            <w:pPr>
              <w:pStyle w:val="Compact"/>
              <w:jc w:val="right"/>
            </w:pPr>
            <w:r>
              <w:rPr>
                <w:rFonts w:hint="eastAsia"/>
              </w:rPr>
              <w:t xml:space="preserve">线性倍数</w:t>
            </w:r>
          </w:p>
        </w:tc>
      </w:tr>
      <w:tr>
        <w:tc>
          <w:tcPr/>
          <w:p>
            <w:pPr>
              <w:pStyle w:val="Compact"/>
              <w:jc w:val="left"/>
            </w:pPr>
            <w:r>
              <w:rPr>
                <w:rFonts w:hint="eastAsia"/>
              </w:rPr>
              <w:t xml:space="preserve">低中断</w:t>
            </w:r>
          </w:p>
        </w:tc>
        <w:tc>
          <w:tcPr/>
          <w:p>
            <w:pPr>
              <w:pStyle w:val="Compact"/>
              <w:jc w:val="right"/>
            </w:pPr>
            <w:r>
              <w:t xml:space="preserve">1400</w:t>
            </w:r>
          </w:p>
        </w:tc>
        <w:tc>
          <w:tcPr/>
          <w:p>
            <w:pPr>
              <w:pStyle w:val="Compact"/>
              <w:jc w:val="right"/>
            </w:pPr>
            <w:r>
              <w:t xml:space="preserve">278.20</w:t>
            </w:r>
          </w:p>
        </w:tc>
        <w:tc>
          <w:tcPr/>
          <w:p>
            <w:pPr>
              <w:pStyle w:val="Compact"/>
              <w:jc w:val="right"/>
            </w:pPr>
            <w:r>
              <w:t xml:space="preserve">1494.86</w:t>
            </w:r>
          </w:p>
        </w:tc>
        <w:tc>
          <w:tcPr/>
          <w:p>
            <w:pPr>
              <w:pStyle w:val="Compact"/>
              <w:jc w:val="right"/>
            </w:pPr>
            <w:r>
              <w:t xml:space="preserve">2.44</w:t>
            </w:r>
          </w:p>
        </w:tc>
      </w:tr>
      <w:tr>
        <w:tc>
          <w:tcPr/>
          <w:p>
            <w:pPr>
              <w:pStyle w:val="Compact"/>
              <w:jc w:val="left"/>
            </w:pPr>
            <w:r>
              <w:rPr>
                <w:rFonts w:hint="eastAsia"/>
              </w:rPr>
              <w:t xml:space="preserve">中中断</w:t>
            </w:r>
          </w:p>
        </w:tc>
        <w:tc>
          <w:tcPr/>
          <w:p>
            <w:pPr>
              <w:pStyle w:val="Compact"/>
              <w:jc w:val="right"/>
            </w:pPr>
            <w:r>
              <w:t xml:space="preserve">1600</w:t>
            </w:r>
          </w:p>
        </w:tc>
        <w:tc>
          <w:tcPr/>
          <w:p>
            <w:pPr>
              <w:pStyle w:val="Compact"/>
              <w:jc w:val="right"/>
            </w:pPr>
            <w:r>
              <w:t xml:space="preserve">307.48</w:t>
            </w:r>
          </w:p>
        </w:tc>
        <w:tc>
          <w:tcPr/>
          <w:p>
            <w:pPr>
              <w:pStyle w:val="Compact"/>
              <w:jc w:val="right"/>
            </w:pPr>
            <w:r>
              <w:t xml:space="preserve">2393.23</w:t>
            </w:r>
          </w:p>
        </w:tc>
        <w:tc>
          <w:tcPr/>
          <w:p>
            <w:pPr>
              <w:pStyle w:val="Compact"/>
              <w:jc w:val="right"/>
            </w:pPr>
            <w:r>
              <w:t xml:space="preserve">2.70</w:t>
            </w:r>
          </w:p>
        </w:tc>
      </w:tr>
      <w:tr>
        <w:tc>
          <w:tcPr/>
          <w:p>
            <w:pPr>
              <w:pStyle w:val="Compact"/>
              <w:jc w:val="left"/>
            </w:pPr>
            <w:r>
              <w:rPr>
                <w:rFonts w:hint="eastAsia"/>
              </w:rPr>
              <w:t xml:space="preserve">高中断</w:t>
            </w:r>
          </w:p>
        </w:tc>
        <w:tc>
          <w:tcPr/>
          <w:p>
            <w:pPr>
              <w:pStyle w:val="Compact"/>
              <w:jc w:val="right"/>
            </w:pPr>
            <w:r>
              <w:t xml:space="preserve">1800</w:t>
            </w:r>
          </w:p>
        </w:tc>
        <w:tc>
          <w:tcPr/>
          <w:p>
            <w:pPr>
              <w:pStyle w:val="Compact"/>
              <w:jc w:val="right"/>
            </w:pPr>
            <w:r>
              <w:t xml:space="preserve">336.77</w:t>
            </w:r>
          </w:p>
        </w:tc>
        <w:tc>
          <w:tcPr/>
          <w:p>
            <w:pPr>
              <w:pStyle w:val="Compact"/>
              <w:jc w:val="right"/>
            </w:pPr>
            <w:r>
              <w:t xml:space="preserve">3875.19</w:t>
            </w:r>
          </w:p>
        </w:tc>
        <w:tc>
          <w:tcPr/>
          <w:p>
            <w:pPr>
              <w:pStyle w:val="Compact"/>
              <w:jc w:val="right"/>
            </w:pPr>
            <w:r>
              <w:t xml:space="preserve">2.95</w:t>
            </w:r>
          </w:p>
        </w:tc>
      </w:tr>
    </w:tbl>
    <w:p>
      <w:pPr>
        <w:pStyle w:val="CaptionedFigure"/>
      </w:pPr>
      <w:r>
        <w:drawing>
          <wp:inline>
            <wp:extent cx="4693920" cy="2560320"/>
            <wp:effectExtent b="0" l="0" r="0" t="0"/>
            <wp:docPr descr="" title="" id="37" name="Picture"/>
            <a:graphic>
              <a:graphicData uri="http://schemas.openxmlformats.org/drawingml/2006/picture">
                <pic:pic>
                  <pic:nvPicPr>
                    <pic:cNvPr descr="传统供需基准与真实价格对比.png" id="38" name="Picture"/>
                    <pic:cNvPicPr>
                      <a:picLocks noChangeArrowheads="1" noChangeAspect="1"/>
                    </pic:cNvPicPr>
                  </pic:nvPicPr>
                  <pic:blipFill>
                    <a:blip r:embed="rId36"/>
                    <a:stretch>
                      <a:fillRect/>
                    </a:stretch>
                  </pic:blipFill>
                  <pic:spPr bwMode="auto">
                    <a:xfrm>
                      <a:off x="0" y="0"/>
                      <a:ext cx="4693920" cy="2560320"/>
                    </a:xfrm>
                    <a:prstGeom prst="rect">
                      <a:avLst/>
                    </a:prstGeom>
                    <a:noFill/>
                    <a:ln w="9525">
                      <a:noFill/>
                      <a:headEnd/>
                      <a:tailEnd/>
                    </a:ln>
                  </pic:spPr>
                </pic:pic>
              </a:graphicData>
            </a:graphic>
          </wp:inline>
        </w:drawing>
      </w:r>
    </w:p>
    <w:p>
      <w:pPr>
        <w:pStyle w:val="ImageCaption"/>
      </w:pPr>
      <w:r>
        <w:rPr>
          <w:rFonts w:hint="eastAsia"/>
        </w:rPr>
        <w:t xml:space="preserve">传统供需基准模型与附件真实价格对比</w:t>
      </w:r>
    </w:p>
    <w:p>
      <w:pPr>
        <w:pStyle w:val="BodyText"/>
      </w:pPr>
      <w:r>
        <w:rPr>
          <w:rFonts w:hint="eastAsia"/>
        </w:rPr>
        <w:t xml:space="preserve">结果显示，线性需求反事实基准给出的</w:t>
      </w:r>
      <w:r>
        <w:t xml:space="preserve"> 278–337 </w:t>
      </w:r>
      <w:r>
        <w:rPr>
          <w:rFonts w:hint="eastAsia"/>
        </w:rPr>
        <w:t xml:space="preserve">美元/桶显著高于附件冲突窗口最高收盘价</w:t>
      </w:r>
      <w:r>
        <w:t xml:space="preserve"> 114.06 </w:t>
      </w:r>
      <w:r>
        <w:rPr>
          <w:rFonts w:hint="eastAsia"/>
        </w:rPr>
        <w:t xml:space="preserve">美元/桶；常弹性机械上界更高，达到</w:t>
      </w:r>
      <w:r>
        <w:t xml:space="preserve"> 1495–3875 </w:t>
      </w:r>
      <w:r>
        <w:rPr>
          <w:rFonts w:hint="eastAsia"/>
        </w:rPr>
        <w:t xml:space="preserve">美元/桶。两个口径的意义不在于给出可交易的真实价格预测，而在于说明：若忽略库存、SPR、绕道运输、需求非线性调整和市场预期修复，静态低弹性供需模型会系统性高估现实价格。后续短期冲击模型正是在这一边界上引入动态缓冲与价格形成机制。</w:t>
      </w:r>
    </w:p>
    <w:bookmarkEnd w:id="39"/>
    <w:bookmarkEnd w:id="40"/>
    <w:bookmarkStart w:id="44" w:name="短期冲击模型060-天"/>
    <w:p>
      <w:pPr>
        <w:pStyle w:val="Heading1"/>
      </w:pPr>
      <w:r>
        <w:rPr>
          <w:rFonts w:hint="eastAsia"/>
        </w:rPr>
        <w:t xml:space="preserve">短期冲击模型（0–60</w:t>
      </w:r>
      <w:r>
        <w:t xml:space="preserve"> </w:t>
      </w:r>
      <w:r>
        <w:rPr>
          <w:rFonts w:hint="eastAsia"/>
        </w:rPr>
        <w:t xml:space="preserve">天）</w:t>
      </w:r>
    </w:p>
    <w:p>
      <w:pPr>
        <w:pStyle w:val="FirstParagraph"/>
      </w:pPr>
      <w:r>
        <w:rPr>
          <w:rFonts w:hint="eastAsia"/>
        </w:rPr>
        <w:t xml:space="preserve">短期冲击模型对应赛题任务</w:t>
      </w:r>
      <w:r>
        <w:t xml:space="preserve"> </w:t>
      </w:r>
      <w:r>
        <w:rPr>
          <w:rFonts w:hint="eastAsia"/>
        </w:rPr>
        <w:t xml:space="preserve">1。模型以赛题给定的供应中断、SPR、商业库存、绕道运输和恐慌情绪为基础，并纳入能够通过消融实验和敏感性分析检验的价格形成因素。其目标是在附件冲突窗口内解释</w:t>
      </w:r>
      <w:r>
        <w:t xml:space="preserve"> 0–60 </w:t>
      </w:r>
      <w:r>
        <w:rPr>
          <w:rFonts w:hint="eastAsia"/>
        </w:rPr>
        <w:t xml:space="preserve">天真实价格路径，并为后续中长期油价调节模型提供统一机制基础。</w:t>
      </w:r>
    </w:p>
    <w:tbl>
      <w:tblPr>
        <w:tblStyle w:val="FigureTable"/>
        <w:tblW w:type="auto" w:w="0"/>
        <w:jc w:val="center"/>
        <w:tblLook w:firstRow="0" w:lastRow="0" w:firstColumn="0" w:lastColumn="0"/>
      </w:tblPr>
      <w:tblGrid/>
    </w:tbl>
    <w:p>
      <w:pPr>
        <w:pStyle w:val="ImageCaption"/>
      </w:pPr>
      <w:r>
        <w:rPr>
          <w:rFonts w:hint="eastAsia"/>
        </w:rPr>
        <w:t xml:space="preserve">短期冲击模型结构</w:t>
      </w:r>
    </w:p>
    <w:p>
      <w:pPr>
        <w:pStyle w:val="BodyText"/>
      </w:pPr>
      <w:r>
        <w:rPr>
          <w:rFonts w:hint="eastAsia"/>
          <w:b/>
          <w:bCs/>
        </w:rPr>
        <w:t xml:space="preserve">结论</w:t>
      </w:r>
      <w:r>
        <w:rPr>
          <w:rFonts w:hint="eastAsia"/>
        </w:rPr>
        <w:t xml:space="preserve">主模型分为两层：物理供需层负责回答</w:t>
      </w:r>
      <w:r>
        <w:rPr>
          <w:rFonts w:hint="eastAsia"/>
        </w:rPr>
        <w:t xml:space="preserve">“缺口还剩多少”</w:t>
      </w:r>
      <w:r>
        <w:rPr>
          <w:rFonts w:hint="eastAsia"/>
        </w:rPr>
        <w:t xml:space="preserve">，市场价格形成层负责回答</w:t>
      </w:r>
      <w:r>
        <w:rPr>
          <w:rFonts w:hint="eastAsia"/>
        </w:rPr>
        <w:t xml:space="preserve">“市场如何给剩余缺口和制度风险定价”</w:t>
      </w:r>
      <w:r>
        <w:rPr>
          <w:rFonts w:hint="eastAsia"/>
        </w:rPr>
        <w:t xml:space="preserve">。两层分开写，使价格平台能够被分解为物理缓冲、风险溢价和预期修复的共同结果。</w:t>
      </w:r>
    </w:p>
    <w:bookmarkStart w:id="41" w:name="fig:tikz-feedback-loop"/>
    <w:tbl>
      <w:tblPr>
        <w:tblStyle w:val="FigureTable"/>
        <w:tblW w:type="auto" w:w="0"/>
        <w:jc w:val="center"/>
        <w:tblLook w:firstRow="0" w:lastRow="0" w:firstColumn="0" w:lastColumn="0"/>
      </w:tblPr>
      <w:tblGrid/>
    </w:tbl>
    <w:p>
      <w:pPr>
        <w:pStyle w:val="ImageCaption"/>
      </w:pPr>
      <w:r>
        <w:rPr>
          <w:rFonts w:hint="eastAsia"/>
        </w:rPr>
        <w:t xml:space="preserve">短期价格形成反馈回路</w:t>
      </w:r>
    </w:p>
    <w:bookmarkEnd w:id="41"/>
    <w:bookmarkStart w:id="42" w:name="物理供需层"/>
    <w:p>
      <w:pPr>
        <w:pStyle w:val="Heading2"/>
      </w:pPr>
      <w:r>
        <w:rPr>
          <w:rFonts w:hint="eastAsia"/>
        </w:rPr>
        <w:t xml:space="preserve">物理供需层</w:t>
      </w:r>
    </w:p>
    <w:p>
      <w:pPr>
        <w:pStyle w:val="FirstParagraph"/>
      </w:pPr>
      <w:r>
        <w:rPr>
          <w:rFonts w:hint="eastAsia"/>
        </w:rPr>
        <w:t xml:space="preserve">本文首先构造题面物理供需层。第</w:t>
      </w:r>
      <w:r>
        <w:t xml:space="preserve"> </w:t>
      </w:r>
      <m:oMath>
        <m:r>
          <m:t>t</m:t>
        </m:r>
      </m:oMath>
      <w:r>
        <w:t xml:space="preserve"> </w:t>
      </w:r>
      <w:r>
        <w:rPr>
          <w:rFonts w:hint="eastAsia"/>
        </w:rPr>
        <w:t xml:space="preserve">日有效需求为</w:t>
      </w:r>
    </w:p>
    <w:p>
      <w:pPr>
        <w:pStyle w:val="BodyText"/>
      </w:pPr>
      <m:oMathPara>
        <m:oMathParaPr>
          <m:jc m:val="center"/>
        </m:oMathParaPr>
        <m:oMath>
          <m:sSub>
            <m:e>
              <m:r>
                <m:t>D</m:t>
              </m:r>
            </m:e>
            <m:sub>
              <m:r>
                <m:t>t</m:t>
              </m:r>
            </m:sub>
          </m:sSub>
          <m:r>
            <m:rPr>
              <m:sty m:val="p"/>
            </m:rPr>
            <m:t>=</m:t>
          </m:r>
          <m:sSub>
            <m:e>
              <m:r>
                <m:t>D</m:t>
              </m:r>
            </m:e>
            <m:sub>
              <m:r>
                <m:t>0</m:t>
              </m:r>
            </m:sub>
          </m:sSub>
          <m:sSup>
            <m:e>
              <m:d>
                <m:dPr>
                  <m:begChr m:val="("/>
                  <m:sepChr m:val=""/>
                  <m:endChr m:val=")"/>
                  <m:grow/>
                </m:dPr>
                <m:e>
                  <m:f>
                    <m:fPr>
                      <m:type m:val="bar"/>
                    </m:fPr>
                    <m:num>
                      <m:sSub>
                        <m:e>
                          <m:acc>
                            <m:accPr>
                              <m:chr m:val="̂"/>
                            </m:accPr>
                            <m:e>
                              <m:r>
                                <m:t>P</m:t>
                              </m:r>
                            </m:e>
                          </m:acc>
                        </m:e>
                        <m:sub>
                          <m:r>
                            <m:t>t</m:t>
                          </m:r>
                          <m:r>
                            <m:rPr>
                              <m:sty m:val="p"/>
                            </m:rPr>
                            <m:t>−</m:t>
                          </m:r>
                          <m:r>
                            <m:t>1</m:t>
                          </m:r>
                        </m:sub>
                      </m:sSub>
                    </m:num>
                    <m:den>
                      <m:sSub>
                        <m:e>
                          <m:r>
                            <m:t>P</m:t>
                          </m:r>
                        </m:e>
                        <m:sub>
                          <m:r>
                            <m:t>0</m:t>
                          </m:r>
                        </m:sub>
                      </m:sSub>
                    </m:den>
                  </m:f>
                </m:e>
              </m:d>
            </m:e>
            <m:sup>
              <m:sSub>
                <m:e>
                  <m:r>
                    <m:t>ε</m:t>
                  </m:r>
                </m:e>
                <m:sub>
                  <m:r>
                    <m:t>t</m:t>
                  </m:r>
                </m:sub>
              </m:sSub>
            </m:sup>
          </m:sSup>
          <m:r>
            <m:rPr>
              <m:sty m:val="p"/>
            </m:rPr>
            <m:t>−</m:t>
          </m:r>
          <m:sSub>
            <m:e>
              <m:r>
                <m:t>C</m:t>
              </m:r>
            </m:e>
            <m:sub>
              <m:r>
                <m:t>t</m:t>
              </m:r>
            </m:sub>
          </m:sSub>
          <m:r>
            <m:rPr>
              <m:sty m:val="p"/>
            </m:rPr>
            <m:t>,</m:t>
          </m:r>
        </m:oMath>
      </m:oMathPara>
    </w:p>
    <w:p>
      <w:pPr>
        <w:pStyle w:val="FirstParagraph"/>
      </w:pPr>
      <w:r>
        <w:rPr>
          <w:rFonts w:hint="eastAsia"/>
        </w:rPr>
        <w:t xml:space="preserve">其中</w:t>
      </w:r>
      <w:r>
        <w:t xml:space="preserve"> </w:t>
      </w:r>
      <m:oMath>
        <m:sSub>
          <m:e>
            <m:r>
              <m:t>C</m:t>
            </m:r>
          </m:e>
          <m:sub>
            <m:r>
              <m:t>t</m:t>
            </m:r>
          </m:sub>
        </m:sSub>
      </m:oMath>
      <w:r>
        <w:t xml:space="preserve"> </w:t>
      </w:r>
      <w:r>
        <w:rPr>
          <w:rFonts w:hint="eastAsia"/>
        </w:rPr>
        <w:t xml:space="preserve">表示高价下需求收缩量。第</w:t>
      </w:r>
      <w:r>
        <w:t xml:space="preserve"> </w:t>
      </w:r>
      <m:oMath>
        <m:r>
          <m:t>t</m:t>
        </m:r>
      </m:oMath>
      <w:r>
        <w:t xml:space="preserve"> </w:t>
      </w:r>
      <w:r>
        <w:rPr>
          <w:rFonts w:hint="eastAsia"/>
        </w:rPr>
        <w:t xml:space="preserve">日不含库存的有效供给为</w:t>
      </w:r>
    </w:p>
    <w:p>
      <w:pPr>
        <w:pStyle w:val="BodyText"/>
      </w:pPr>
      <m:oMathPara>
        <m:oMathParaPr>
          <m:jc m:val="center"/>
        </m:oMathParaPr>
        <m:oMath>
          <m:sSubSup>
            <m:e>
              <m:r>
                <m:t>S</m:t>
              </m:r>
            </m:e>
            <m:sub>
              <m:r>
                <m:t>t</m:t>
              </m:r>
            </m:sub>
            <m:sup>
              <m:r>
                <m:rPr>
                  <m:sty m:val="p"/>
                </m:rPr>
                <m:t>(</m:t>
              </m:r>
              <m:r>
                <m:t>0</m:t>
              </m:r>
              <m:r>
                <m:rPr>
                  <m:sty m:val="p"/>
                </m:rPr>
                <m:t>)</m:t>
              </m:r>
            </m:sup>
          </m:sSubSup>
          <m:r>
            <m:rPr>
              <m:sty m:val="p"/>
            </m:rPr>
            <m:t>=</m:t>
          </m:r>
          <m:sSub>
            <m:e>
              <m:r>
                <m:t>S</m:t>
              </m:r>
            </m:e>
            <m:sub>
              <m:r>
                <m:t>0</m:t>
              </m:r>
            </m:sub>
          </m:sSub>
          <m:r>
            <m:rPr>
              <m:sty m:val="p"/>
            </m:rPr>
            <m:t>−</m:t>
          </m:r>
          <m:r>
            <m:t>I</m:t>
          </m:r>
          <m:r>
            <m:rPr>
              <m:sty m:val="p"/>
            </m:rPr>
            <m:t>+</m:t>
          </m:r>
          <m:sSub>
            <m:e>
              <m:r>
                <m:t>R</m:t>
              </m:r>
            </m:e>
            <m:sub>
              <m:r>
                <m:t>t</m:t>
              </m:r>
            </m:sub>
          </m:sSub>
          <m:r>
            <m:rPr>
              <m:sty m:val="p"/>
            </m:rPr>
            <m:t>+</m:t>
          </m:r>
          <m:sSub>
            <m:e>
              <m:r>
                <m:t>Q</m:t>
              </m:r>
            </m:e>
            <m:sub>
              <m:r>
                <m:t>t</m:t>
              </m:r>
            </m:sub>
          </m:sSub>
          <m:r>
            <m:rPr>
              <m:sty m:val="p"/>
            </m:rPr>
            <m:t>.</m:t>
          </m:r>
        </m:oMath>
      </m:oMathPara>
    </w:p>
    <w:p>
      <w:pPr>
        <w:pStyle w:val="FirstParagraph"/>
      </w:pPr>
      <w:r>
        <w:rPr>
          <w:rFonts w:hint="eastAsia"/>
        </w:rPr>
        <w:t xml:space="preserve">商业库存缓冲量</w:t>
      </w:r>
      <w:r>
        <w:t xml:space="preserve"> </w:t>
      </w:r>
      <m:oMath>
        <m:sSub>
          <m:e>
            <m:r>
              <m:t>B</m:t>
            </m:r>
          </m:e>
          <m:sub>
            <m:r>
              <m:t>t</m:t>
            </m:r>
          </m:sub>
        </m:sSub>
      </m:oMath>
      <w:r>
        <w:t xml:space="preserve"> </w:t>
      </w:r>
      <w:r>
        <w:rPr>
          <w:rFonts w:hint="eastAsia"/>
        </w:rPr>
        <w:t xml:space="preserve">受剩余缺口、库存日释放上限和剩余库存约束：</w:t>
      </w:r>
    </w:p>
    <w:p>
      <w:pPr>
        <w:pStyle w:val="BodyText"/>
      </w:pPr>
      <m:oMathPara>
        <m:oMathParaPr>
          <m:jc m:val="center"/>
        </m:oMathParaPr>
        <m:oMath>
          <m:sSub>
            <m:e>
              <m:r>
                <m:t>B</m:t>
              </m:r>
            </m:e>
            <m:sub>
              <m:r>
                <m:t>t</m:t>
              </m:r>
            </m:sub>
          </m:sSub>
          <m:r>
            <m:rPr>
              <m:sty m:val="p"/>
            </m:rPr>
            <m:t>=</m:t>
          </m:r>
          <m:r>
            <m:rPr>
              <m:sty m:val="p"/>
            </m:rPr>
            <m:t>min</m:t>
          </m:r>
          <m:d>
            <m:dPr>
              <m:begChr m:val="{"/>
              <m:sepChr m:val=""/>
              <m:endChr m:val="}"/>
              <m:grow/>
            </m:dPr>
            <m:e>
              <m:r>
                <m:t>λ</m:t>
              </m:r>
              <m:r>
                <m:rPr>
                  <m:sty m:val="p"/>
                </m:rPr>
                <m:t>max</m:t>
              </m:r>
              <m:r>
                <m:rPr>
                  <m:sty m:val="p"/>
                </m:rPr>
                <m:t>(</m:t>
              </m:r>
              <m:sSub>
                <m:e>
                  <m:r>
                    <m:t>D</m:t>
                  </m:r>
                </m:e>
                <m:sub>
                  <m:r>
                    <m:t>t</m:t>
                  </m:r>
                </m:sub>
              </m:sSub>
              <m:r>
                <m:rPr>
                  <m:sty m:val="p"/>
                </m:rPr>
                <m:t>−</m:t>
              </m:r>
              <m:sSubSup>
                <m:e>
                  <m:r>
                    <m:t>S</m:t>
                  </m:r>
                </m:e>
                <m:sub>
                  <m:r>
                    <m:t>t</m:t>
                  </m:r>
                </m:sub>
                <m:sup>
                  <m:r>
                    <m:rPr>
                      <m:sty m:val="p"/>
                    </m:rPr>
                    <m:t>(</m:t>
                  </m:r>
                  <m:r>
                    <m:t>0</m:t>
                  </m:r>
                  <m:r>
                    <m:rPr>
                      <m:sty m:val="p"/>
                    </m:rPr>
                    <m:t>)</m:t>
                  </m:r>
                </m:sup>
              </m:sSubSup>
              <m:r>
                <m:rPr>
                  <m:sty m:val="p"/>
                </m:rPr>
                <m:t>,</m:t>
              </m:r>
              <m:r>
                <m:t>0</m:t>
              </m:r>
              <m:r>
                <m:rPr>
                  <m:sty m:val="p"/>
                </m:rPr>
                <m:t>)</m:t>
              </m:r>
              <m:r>
                <m:rPr>
                  <m:sty m:val="p"/>
                </m:rPr>
                <m:t>,</m:t>
              </m:r>
              <m:r>
                <m:t> </m:t>
              </m:r>
              <m:sSub>
                <m:e>
                  <m:r>
                    <m:t>B</m:t>
                  </m:r>
                </m:e>
                <m:sub>
                  <m:r>
                    <m:rPr>
                      <m:sty m:val="p"/>
                    </m:rPr>
                    <m:t>max</m:t>
                  </m:r>
                </m:sub>
              </m:sSub>
              <m:r>
                <m:rPr>
                  <m:sty m:val="p"/>
                </m:rPr>
                <m:t>,</m:t>
              </m:r>
              <m:r>
                <m:t> </m:t>
              </m:r>
              <m:sSub>
                <m:e>
                  <m:r>
                    <m:t>K</m:t>
                  </m:r>
                </m:e>
                <m:sub>
                  <m:r>
                    <m:t>t</m:t>
                  </m:r>
                  <m:r>
                    <m:rPr>
                      <m:sty m:val="p"/>
                    </m:rPr>
                    <m:t>−</m:t>
                  </m:r>
                  <m:r>
                    <m:t>1</m:t>
                  </m:r>
                </m:sub>
              </m:sSub>
            </m:e>
          </m:d>
          <m:r>
            <m:rPr>
              <m:sty m:val="p"/>
            </m:rPr>
            <m:t>.</m:t>
          </m:r>
        </m:oMath>
      </m:oMathPara>
    </w:p>
    <w:p>
      <w:pPr>
        <w:pStyle w:val="FirstParagraph"/>
      </w:pPr>
      <w:r>
        <w:rPr>
          <w:rFonts w:hint="eastAsia"/>
        </w:rPr>
        <w:t xml:space="preserve">最终剩余缺口为</w:t>
      </w:r>
    </w:p>
    <w:p>
      <w:pPr>
        <w:pStyle w:val="BodyText"/>
      </w:pPr>
      <m:oMathPara>
        <m:oMathParaPr>
          <m:jc m:val="center"/>
        </m:oMathParaPr>
        <m:oMath>
          <m:sSub>
            <m:e>
              <m:r>
                <m:t>G</m:t>
              </m:r>
            </m:e>
            <m:sub>
              <m:r>
                <m:t>t</m:t>
              </m:r>
            </m:sub>
          </m:sSub>
          <m:r>
            <m:rPr>
              <m:sty m:val="p"/>
            </m:rPr>
            <m:t>=</m:t>
          </m:r>
          <m:r>
            <m:rPr>
              <m:sty m:val="p"/>
            </m:rPr>
            <m:t>max</m:t>
          </m:r>
          <m:r>
            <m:rPr>
              <m:sty m:val="p"/>
            </m:rPr>
            <m:t>(</m:t>
          </m:r>
          <m:sSub>
            <m:e>
              <m:r>
                <m:t>D</m:t>
              </m:r>
            </m:e>
            <m:sub>
              <m:r>
                <m:t>t</m:t>
              </m:r>
            </m:sub>
          </m:sSub>
          <m:r>
            <m:rPr>
              <m:sty m:val="p"/>
            </m:rPr>
            <m:t>−</m:t>
          </m:r>
          <m:sSubSup>
            <m:e>
              <m:r>
                <m:t>S</m:t>
              </m:r>
            </m:e>
            <m:sub>
              <m:r>
                <m:t>t</m:t>
              </m:r>
            </m:sub>
            <m:sup>
              <m:r>
                <m:rPr>
                  <m:sty m:val="p"/>
                </m:rPr>
                <m:t>(</m:t>
              </m:r>
              <m:r>
                <m:t>0</m:t>
              </m:r>
              <m:r>
                <m:rPr>
                  <m:sty m:val="p"/>
                </m:rPr>
                <m:t>)</m:t>
              </m:r>
            </m:sup>
          </m:sSubSup>
          <m:r>
            <m:rPr>
              <m:sty m:val="p"/>
            </m:rPr>
            <m:t>−</m:t>
          </m:r>
          <m:sSub>
            <m:e>
              <m:r>
                <m:t>B</m:t>
              </m:r>
            </m:e>
            <m:sub>
              <m:r>
                <m:t>t</m:t>
              </m:r>
            </m:sub>
          </m:sSub>
          <m:r>
            <m:rPr>
              <m:sty m:val="p"/>
            </m:rPr>
            <m:t>,</m:t>
          </m:r>
          <m:r>
            <m:t>0</m:t>
          </m:r>
          <m:r>
            <m:rPr>
              <m:sty m:val="p"/>
            </m:rPr>
            <m:t>)</m:t>
          </m:r>
          <m:r>
            <m:rPr>
              <m:sty m:val="p"/>
            </m:rPr>
            <m:t>.</m:t>
          </m:r>
        </m:oMath>
      </m:oMathPara>
    </w:p>
    <w:p>
      <w:pPr>
        <w:pStyle w:val="FirstParagraph"/>
      </w:pPr>
      <w:r>
        <w:rPr>
          <w:rFonts w:hint="eastAsia"/>
        </w:rPr>
        <w:t xml:space="preserve">为避免将政策与物流缓冲写成纯时间函数，本文进一步定义缓冲覆盖率</w:t>
      </w:r>
    </w:p>
    <w:p>
      <w:pPr>
        <w:pStyle w:val="BodyText"/>
      </w:pPr>
      <m:oMathPara>
        <m:oMathParaPr>
          <m:jc m:val="center"/>
        </m:oMathParaPr>
        <m:oMath>
          <m:sSub>
            <m:e>
              <m:r>
                <m:t>η</m:t>
              </m:r>
            </m:e>
            <m:sub>
              <m:r>
                <m:t>t</m:t>
              </m:r>
            </m:sub>
          </m:sSub>
          <m:r>
            <m:rPr>
              <m:sty m:val="p"/>
            </m:rPr>
            <m:t>=</m:t>
          </m:r>
          <m:f>
            <m:fPr>
              <m:type m:val="bar"/>
            </m:fPr>
            <m:num>
              <m:sSub>
                <m:e>
                  <m:r>
                    <m:t>R</m:t>
                  </m:r>
                </m:e>
                <m:sub>
                  <m:r>
                    <m:t>t</m:t>
                  </m:r>
                </m:sub>
              </m:sSub>
              <m:r>
                <m:rPr>
                  <m:sty m:val="p"/>
                </m:rPr>
                <m:t>+</m:t>
              </m:r>
              <m:sSub>
                <m:e>
                  <m:r>
                    <m:t>Q</m:t>
                  </m:r>
                </m:e>
                <m:sub>
                  <m:r>
                    <m:t>t</m:t>
                  </m:r>
                </m:sub>
              </m:sSub>
              <m:r>
                <m:rPr>
                  <m:sty m:val="p"/>
                </m:rPr>
                <m:t>+</m:t>
              </m:r>
              <m:sSub>
                <m:e>
                  <m:r>
                    <m:t>B</m:t>
                  </m:r>
                </m:e>
                <m:sub>
                  <m:r>
                    <m:t>t</m:t>
                  </m:r>
                </m:sub>
              </m:sSub>
            </m:num>
            <m:den>
              <m:r>
                <m:rPr>
                  <m:sty m:val="p"/>
                </m:rPr>
                <m:t>max</m:t>
              </m:r>
              <m:r>
                <m:rPr>
                  <m:sty m:val="p"/>
                </m:rPr>
                <m:t>{</m:t>
              </m:r>
              <m:sSub>
                <m:e>
                  <m:r>
                    <m:t>D</m:t>
                  </m:r>
                </m:e>
                <m:sub>
                  <m:r>
                    <m:t>t</m:t>
                  </m:r>
                </m:sub>
              </m:sSub>
              <m:r>
                <m:rPr>
                  <m:sty m:val="p"/>
                </m:rPr>
                <m:t>−</m:t>
              </m:r>
              <m:r>
                <m:rPr>
                  <m:sty m:val="p"/>
                </m:rPr>
                <m:t>(</m:t>
              </m:r>
              <m:sSub>
                <m:e>
                  <m:r>
                    <m:t>S</m:t>
                  </m:r>
                </m:e>
                <m:sub>
                  <m:r>
                    <m:t>0</m:t>
                  </m:r>
                </m:sub>
              </m:sSub>
              <m:r>
                <m:rPr>
                  <m:sty m:val="p"/>
                </m:rPr>
                <m:t>−</m:t>
              </m:r>
              <m:r>
                <m:t>I</m:t>
              </m:r>
              <m:r>
                <m:rPr>
                  <m:sty m:val="p"/>
                </m:rPr>
                <m:t>)</m:t>
              </m:r>
              <m:r>
                <m:rPr>
                  <m:sty m:val="p"/>
                </m:rPr>
                <m:t>,</m:t>
              </m:r>
              <m:r>
                <m:t> </m:t>
              </m:r>
              <m:r>
                <m:t>1</m:t>
              </m:r>
              <m:r>
                <m:rPr>
                  <m:sty m:val="p"/>
                </m:rPr>
                <m:t>}</m:t>
              </m:r>
            </m:den>
          </m:f>
          <m:r>
            <m:rPr>
              <m:sty m:val="p"/>
            </m:rPr>
            <m:t>,</m:t>
          </m:r>
        </m:oMath>
      </m:oMathPara>
    </w:p>
    <w:p>
      <w:pPr>
        <w:pStyle w:val="FirstParagraph"/>
      </w:pPr>
      <w:r>
        <w:rPr>
          <w:rFonts w:hint="eastAsia"/>
        </w:rPr>
        <w:t xml:space="preserve">其中分子表示</w:t>
      </w:r>
      <w:r>
        <w:t xml:space="preserve"> </w:t>
      </w:r>
      <w:r>
        <w:rPr>
          <w:rFonts w:hint="eastAsia"/>
        </w:rPr>
        <w:t xml:space="preserve">SPR、绕道运输和商业库存共同形成的当日缓冲供给，分母表示不考虑缓冲时的总短缺压力。</w:t>
      </w:r>
      <m:oMath>
        <m:sSub>
          <m:e>
            <m:r>
              <m:t>η</m:t>
            </m:r>
          </m:e>
          <m:sub>
            <m:r>
              <m:t>t</m:t>
            </m:r>
          </m:sub>
        </m:sSub>
      </m:oMath>
      <w:r>
        <w:t xml:space="preserve"> </w:t>
      </w:r>
      <w:r>
        <w:rPr>
          <w:rFonts w:hint="eastAsia"/>
        </w:rPr>
        <w:t xml:space="preserve">越高，说明市场越容易观察到缺口被覆盖，缓冲确认和预期修复越容易形成。实际计算中将</w:t>
      </w:r>
      <w:r>
        <w:t xml:space="preserve"> </w:t>
      </w:r>
      <m:oMath>
        <m:sSub>
          <m:e>
            <m:r>
              <m:t>η</m:t>
            </m:r>
          </m:e>
          <m:sub>
            <m:r>
              <m:t>t</m:t>
            </m:r>
          </m:sub>
        </m:sSub>
      </m:oMath>
      <w:r>
        <w:t xml:space="preserve"> </w:t>
      </w:r>
      <w:r>
        <w:rPr>
          <w:rFonts w:hint="eastAsia"/>
        </w:rPr>
        <w:t xml:space="preserve">限制在合理区间内，避免极小分母造成异常放大。</w:t>
      </w:r>
    </w:p>
    <w:bookmarkEnd w:id="42"/>
    <w:bookmarkStart w:id="43" w:name="市场价格形成层"/>
    <w:p>
      <w:pPr>
        <w:pStyle w:val="Heading2"/>
      </w:pPr>
      <w:r>
        <w:rPr>
          <w:rFonts w:hint="eastAsia"/>
        </w:rPr>
        <w:t xml:space="preserve">市场价格形成层</w:t>
      </w:r>
    </w:p>
    <w:p>
      <w:pPr>
        <w:pStyle w:val="FirstParagraph"/>
      </w:pPr>
      <w:r>
        <w:rPr>
          <w:rFonts w:hint="eastAsia"/>
        </w:rPr>
        <w:t xml:space="preserve">原油期货价格不仅反映当日物理缺口，也反映市场对冲突持续时间、政策缓冲可信度和运输修复进度的预期。因此本文在物理供需层之上增加市场价格形成层。</w:t>
      </w:r>
    </w:p>
    <w:p>
      <w:pPr>
        <w:pStyle w:val="BodyText"/>
      </w:pPr>
      <w:r>
        <w:rPr>
          <w:rFonts w:hint="eastAsia"/>
        </w:rPr>
        <w:t xml:space="preserve">为降低方程结构的任意性，本文采用一个极简的异质性交易者线性化框架。参考</w:t>
      </w:r>
      <w:r>
        <w:t xml:space="preserve"> </w:t>
      </w:r>
      <w:r>
        <w:rPr>
          <w:rFonts w:hint="eastAsia"/>
        </w:rPr>
        <w:t xml:space="preserve">Kilian（2009）、Hamilton（2009）以及</w:t>
      </w:r>
      <w:r>
        <w:t xml:space="preserve"> Kilian </w:t>
      </w:r>
      <w:r>
        <w:rPr>
          <w:rFonts w:hint="eastAsia"/>
        </w:rPr>
        <w:t xml:space="preserve">与</w:t>
      </w:r>
      <w:r>
        <w:t xml:space="preserve"> </w:t>
      </w:r>
      <w:r>
        <w:rPr>
          <w:rFonts w:hint="eastAsia"/>
        </w:rPr>
        <w:t xml:space="preserve">Murphy（2014）关于物理供给、预防性需求、库存和投机性需求的分解，假设期货市场的边际定价者由两类主体构成：一类是基于炼厂采购、套期保值和现货短缺进行定价的供需交易者，另一类是基于封锁持续时间、航运保险、政策协调和风险偏好进行定价的风险交易者。令第</w:t>
      </w:r>
      <w:r>
        <w:t xml:space="preserve"> </w:t>
      </w:r>
      <m:oMath>
        <m:r>
          <m:t>t</m:t>
        </m:r>
      </m:oMath>
      <w:r>
        <w:t xml:space="preserve"> </w:t>
      </w:r>
      <w:r>
        <w:rPr>
          <w:rFonts w:hint="eastAsia"/>
        </w:rPr>
        <w:t xml:space="preserve">日相对目标价格偏离满足局部线性近似：</w:t>
      </w:r>
    </w:p>
    <w:p>
      <w:pPr>
        <w:pStyle w:val="BodyText"/>
      </w:pPr>
      <m:oMathPara>
        <m:oMathParaPr>
          <m:jc m:val="center"/>
        </m:oMathParaPr>
        <m:oMath>
          <m:f>
            <m:fPr>
              <m:type m:val="bar"/>
            </m:fPr>
            <m:num>
              <m:sSubSup>
                <m:e>
                  <m:r>
                    <m:t>P</m:t>
                  </m:r>
                </m:e>
                <m:sub>
                  <m:r>
                    <m:t>t</m:t>
                  </m:r>
                </m:sub>
                <m:sup>
                  <m:r>
                    <m:rPr>
                      <m:sty m:val="p"/>
                    </m:rPr>
                    <m:t>*</m:t>
                  </m:r>
                </m:sup>
              </m:sSubSup>
              <m:r>
                <m:rPr>
                  <m:sty m:val="p"/>
                </m:rPr>
                <m:t>−</m:t>
              </m:r>
              <m:sSub>
                <m:e>
                  <m:r>
                    <m:t>P</m:t>
                  </m:r>
                </m:e>
                <m:sub>
                  <m:r>
                    <m:t>0</m:t>
                  </m:r>
                </m:sub>
              </m:sSub>
            </m:num>
            <m:den>
              <m:sSub>
                <m:e>
                  <m:r>
                    <m:t>P</m:t>
                  </m:r>
                </m:e>
                <m:sub>
                  <m:r>
                    <m:t>0</m:t>
                  </m:r>
                </m:sub>
              </m:sSub>
            </m:den>
          </m:f>
          <m:r>
            <m:rPr>
              <m:sty m:val="p"/>
            </m:rPr>
            <m:t>≈</m:t>
          </m:r>
          <m:sSub>
            <m:e>
              <m:r>
                <m:t>a</m:t>
              </m:r>
            </m:e>
            <m:sub>
              <m:r>
                <m:t>G</m:t>
              </m:r>
            </m:sub>
          </m:sSub>
          <m:f>
            <m:fPr>
              <m:type m:val="bar"/>
            </m:fPr>
            <m:num>
              <m:sSub>
                <m:e>
                  <m:r>
                    <m:t>G</m:t>
                  </m:r>
                </m:e>
                <m:sub>
                  <m:r>
                    <m:t>t</m:t>
                  </m:r>
                </m:sub>
              </m:sSub>
              <m:r>
                <m:rPr>
                  <m:sty m:val="p"/>
                </m:rPr>
                <m:t>/</m:t>
              </m:r>
              <m:sSub>
                <m:e>
                  <m:r>
                    <m:t>D</m:t>
                  </m:r>
                </m:e>
                <m:sub>
                  <m:r>
                    <m:t>0</m:t>
                  </m:r>
                </m:sub>
              </m:sSub>
            </m:num>
            <m:den>
              <m:r>
                <m:rPr>
                  <m:sty m:val="p"/>
                </m:rPr>
                <m:t>|</m:t>
              </m:r>
              <m:sSub>
                <m:e>
                  <m:r>
                    <m:t>ε</m:t>
                  </m:r>
                </m:e>
                <m:sub>
                  <m:r>
                    <m:t>t</m:t>
                  </m:r>
                </m:sub>
              </m:sSub>
              <m:r>
                <m:rPr>
                  <m:sty m:val="p"/>
                </m:rPr>
                <m:t>|</m:t>
              </m:r>
            </m:den>
          </m:f>
          <m:r>
            <m:rPr>
              <m:sty m:val="p"/>
            </m:rPr>
            <m:t>+</m:t>
          </m:r>
          <m:sSub>
            <m:e>
              <m:r>
                <m:t>a</m:t>
              </m:r>
            </m:e>
            <m:sub>
              <m:r>
                <m:t>B</m:t>
              </m:r>
            </m:sub>
          </m:sSub>
          <m:f>
            <m:fPr>
              <m:type m:val="bar"/>
            </m:fPr>
            <m:num>
              <m:r>
                <m:t>I</m:t>
              </m:r>
            </m:num>
            <m:den>
              <m:sSub>
                <m:e>
                  <m:r>
                    <m:t>D</m:t>
                  </m:r>
                </m:e>
                <m:sub>
                  <m:r>
                    <m:t>0</m:t>
                  </m:r>
                </m:sub>
              </m:sSub>
            </m:den>
          </m:f>
          <m:sSub>
            <m:e>
              <m:r>
                <m:t>Z</m:t>
              </m:r>
            </m:e>
            <m:sub>
              <m:r>
                <m:t>t</m:t>
              </m:r>
            </m:sub>
          </m:sSub>
          <m:r>
            <m:rPr>
              <m:sty m:val="p"/>
            </m:rPr>
            <m:t>+</m:t>
          </m:r>
          <m:sSub>
            <m:e>
              <m:r>
                <m:t>a</m:t>
              </m:r>
            </m:e>
            <m:sub>
              <m:r>
                <m:t>U</m:t>
              </m:r>
            </m:sub>
          </m:sSub>
          <m:sSub>
            <m:e>
              <m:r>
                <m:t>U</m:t>
              </m:r>
            </m:e>
            <m:sub>
              <m:r>
                <m:t>t</m:t>
              </m:r>
            </m:sub>
          </m:sSub>
          <m:r>
            <m:rPr>
              <m:sty m:val="p"/>
            </m:rPr>
            <m:t>+</m:t>
          </m:r>
          <m:sSub>
            <m:e>
              <m:r>
                <m:t>a</m:t>
              </m:r>
            </m:e>
            <m:sub>
              <m:r>
                <m:t>F</m:t>
              </m:r>
            </m:sub>
          </m:sSub>
          <m:sSub>
            <m:e>
              <m:r>
                <m:t>F</m:t>
              </m:r>
            </m:e>
            <m:sub>
              <m:r>
                <m:t>t</m:t>
              </m:r>
            </m:sub>
          </m:sSub>
          <m:r>
            <m:rPr>
              <m:sty m:val="p"/>
            </m:rPr>
            <m:t>−</m:t>
          </m:r>
          <m:sSub>
            <m:e>
              <m:r>
                <m:t>a</m:t>
              </m:r>
            </m:e>
            <m:sub>
              <m:r>
                <m:t>H</m:t>
              </m:r>
            </m:sub>
          </m:sSub>
          <m:f>
            <m:fPr>
              <m:type m:val="bar"/>
            </m:fPr>
            <m:num>
              <m:sSub>
                <m:e>
                  <m:r>
                    <m:t>H</m:t>
                  </m:r>
                </m:e>
                <m:sub>
                  <m:r>
                    <m:t>t</m:t>
                  </m:r>
                </m:sub>
              </m:sSub>
            </m:num>
            <m:den>
              <m:sSub>
                <m:e>
                  <m:r>
                    <m:t>P</m:t>
                  </m:r>
                </m:e>
                <m:sub>
                  <m:r>
                    <m:t>0</m:t>
                  </m:r>
                </m:sub>
              </m:sSub>
            </m:den>
          </m:f>
          <m:r>
            <m:rPr>
              <m:sty m:val="p"/>
            </m:rPr>
            <m:t>−</m:t>
          </m:r>
          <m:sSub>
            <m:e>
              <m:r>
                <m:t>a</m:t>
              </m:r>
            </m:e>
            <m:sub>
              <m:r>
                <m:t>L</m:t>
              </m:r>
            </m:sub>
          </m:sSub>
          <m:f>
            <m:fPr>
              <m:type m:val="bar"/>
            </m:fPr>
            <m:num>
              <m:sSub>
                <m:e>
                  <m:r>
                    <m:t>L</m:t>
                  </m:r>
                </m:e>
                <m:sub>
                  <m:r>
                    <m:t>t</m:t>
                  </m:r>
                </m:sub>
              </m:sSub>
            </m:num>
            <m:den>
              <m:sSub>
                <m:e>
                  <m:r>
                    <m:t>P</m:t>
                  </m:r>
                </m:e>
                <m:sub>
                  <m:r>
                    <m:t>0</m:t>
                  </m:r>
                </m:sub>
              </m:sSub>
            </m:den>
          </m:f>
          <m:r>
            <m:rPr>
              <m:sty m:val="p"/>
            </m:rPr>
            <m:t>.</m:t>
          </m:r>
        </m:oMath>
      </m:oMathPara>
    </w:p>
    <w:p>
      <w:pPr>
        <w:pStyle w:val="FirstParagraph"/>
      </w:pPr>
      <w:r>
        <w:rPr>
          <w:rFonts w:hint="eastAsia"/>
        </w:rPr>
        <w:t xml:space="preserve">其中</w:t>
      </w:r>
      <w:r>
        <w:t xml:space="preserve"> </w:t>
      </w:r>
      <m:oMath>
        <m:sSub>
          <m:e>
            <m:r>
              <m:t>G</m:t>
            </m:r>
          </m:e>
          <m:sub>
            <m:r>
              <m:t>t</m:t>
            </m:r>
          </m:sub>
        </m:sSub>
      </m:oMath>
      <w:r>
        <w:t xml:space="preserve"> </w:t>
      </w:r>
      <w:r>
        <w:rPr>
          <w:rFonts w:hint="eastAsia"/>
        </w:rPr>
        <w:t xml:space="preserve">表示剩余物理缺口，</w:t>
      </w:r>
      <m:oMath>
        <m:sSub>
          <m:e>
            <m:r>
              <m:t>Z</m:t>
            </m:r>
          </m:e>
          <m:sub>
            <m:r>
              <m:t>t</m:t>
            </m:r>
          </m:sub>
        </m:sSub>
      </m:oMath>
      <w:r>
        <w:t xml:space="preserve"> </w:t>
      </w:r>
      <w:r>
        <w:rPr>
          <w:rFonts w:hint="eastAsia"/>
        </w:rPr>
        <w:t xml:space="preserve">表示封锁风险被市场吸收后的有效强度，</w:t>
      </w:r>
      <m:oMath>
        <m:sSub>
          <m:e>
            <m:r>
              <m:t>U</m:t>
            </m:r>
          </m:e>
          <m:sub>
            <m:r>
              <m:t>t</m:t>
            </m:r>
          </m:sub>
        </m:sSub>
      </m:oMath>
      <w:r>
        <w:t xml:space="preserve"> </w:t>
      </w:r>
      <w:r>
        <w:rPr>
          <w:rFonts w:hint="eastAsia"/>
        </w:rPr>
        <w:t xml:space="preserve">表示持续封锁带来的制度不确定性，</w:t>
      </w:r>
      <m:oMath>
        <m:sSub>
          <m:e>
            <m:r>
              <m:t>F</m:t>
            </m:r>
          </m:e>
          <m:sub>
            <m:r>
              <m:t>t</m:t>
            </m:r>
          </m:sub>
        </m:sSub>
      </m:oMath>
      <w:r>
        <w:t xml:space="preserve"> </w:t>
      </w:r>
      <w:r>
        <w:rPr>
          <w:rFonts w:hint="eastAsia"/>
        </w:rPr>
        <w:t xml:space="preserve">表示恐慌情绪强度，</w:t>
      </w:r>
      <m:oMath>
        <m:sSub>
          <m:e>
            <m:r>
              <m:t>H</m:t>
            </m:r>
          </m:e>
          <m:sub>
            <m:r>
              <m:t>t</m:t>
            </m:r>
          </m:sub>
        </m:sSub>
      </m:oMath>
      <w:r>
        <w:t xml:space="preserve"> </w:t>
      </w:r>
      <w:r>
        <w:rPr>
          <w:rFonts w:hint="eastAsia"/>
        </w:rPr>
        <w:t xml:space="preserve">与</w:t>
      </w:r>
      <w:r>
        <w:t xml:space="preserve"> </w:t>
      </w:r>
      <m:oMath>
        <m:sSub>
          <m:e>
            <m:r>
              <m:t>L</m:t>
            </m:r>
          </m:e>
          <m:sub>
            <m:r>
              <m:t>t</m:t>
            </m:r>
          </m:sub>
        </m:sSub>
      </m:oMath>
      <w:r>
        <w:t xml:space="preserve"> </w:t>
      </w:r>
      <w:r>
        <w:rPr>
          <w:rFonts w:hint="eastAsia"/>
        </w:rPr>
        <w:t xml:space="preserve">分别表示缓冲确认和预期修复带来的折价。这个表达式可理解为对两类交易者超额需求函数在战前均衡点附近做一阶展开：物理缺口和风险预防性需求推高价格，政策可信度和运输修复预期降低风险溢价。因此，后续目标价格的线性加总并非任意拼接，而是局部均衡价格的一阶近似。</w:t>
      </w:r>
    </w:p>
    <w:p>
      <w:pPr>
        <w:pStyle w:val="BodyText"/>
      </w:pPr>
      <w:r>
        <w:rPr>
          <w:rFonts w:hint="eastAsia"/>
        </w:rPr>
        <w:t xml:space="preserve">具体时间函数来自三个建模约束。第一，剩余物理缺口和风险溢价分开建模，以对应油价冲击中文献强调的供给、预防性需求和库存渠道。第二，题面给出恐慌情绪放大持续</w:t>
      </w:r>
      <w:r>
        <w:t xml:space="preserve"> 1–2 </w:t>
      </w:r>
      <w:r>
        <w:rPr>
          <w:rFonts w:hint="eastAsia"/>
        </w:rPr>
        <w:t xml:space="preserve">周，故风险溢价的建立项采用</w:t>
      </w:r>
      <w:r>
        <w:t xml:space="preserve"> </w:t>
      </w:r>
      <m:oMath>
        <m:r>
          <m:t>1</m:t>
        </m:r>
        <m:r>
          <m:rPr>
            <m:sty m:val="p"/>
          </m:rPr>
          <m:t>−</m:t>
        </m:r>
        <m:sSup>
          <m:e>
            <m:r>
              <m:t>e</m:t>
            </m:r>
          </m:e>
          <m:sup>
            <m:r>
              <m:rPr>
                <m:sty m:val="p"/>
              </m:rPr>
              <m:t>−</m:t>
            </m:r>
            <m:r>
              <m:t>t</m:t>
            </m:r>
            <m:r>
              <m:rPr>
                <m:sty m:val="p"/>
              </m:rPr>
              <m:t>/</m:t>
            </m:r>
            <m:r>
              <m:t>7</m:t>
            </m:r>
          </m:sup>
        </m:sSup>
      </m:oMath>
      <w:r>
        <w:t xml:space="preserve"> </w:t>
      </w:r>
      <w:r>
        <w:rPr>
          <w:rFonts w:hint="eastAsia"/>
        </w:rPr>
        <w:t xml:space="preserve">表示约一周尺度的信息吸收，指数衰减项表示市场在观察到</w:t>
      </w:r>
      <w:r>
        <w:t xml:space="preserve"> </w:t>
      </w:r>
      <w:r>
        <w:rPr>
          <w:rFonts w:hint="eastAsia"/>
        </w:rPr>
        <w:t xml:space="preserve">SPR、库存和绕道修复后逐步消化制度风险。第三，政策缓冲并非瞬时被市场完全相信，缓冲确认折价和预期修复折价分别刻画政策可信度形成与运输修复预期对目标价格的向下修正。新版短期冲击模型不再让两类折价只由日历时间决定，而是令其受到缓冲覆盖率</w:t>
      </w:r>
      <w:r>
        <w:t xml:space="preserve"> </w:t>
      </w:r>
      <m:oMath>
        <m:sSub>
          <m:e>
            <m:r>
              <m:t>η</m:t>
            </m:r>
          </m:e>
          <m:sub>
            <m:r>
              <m:t>t</m:t>
            </m:r>
          </m:sub>
        </m:sSub>
      </m:oMath>
      <w:r>
        <w:t xml:space="preserve"> </w:t>
      </w:r>
      <w:r>
        <w:rPr>
          <w:rFonts w:hint="eastAsia"/>
        </w:rPr>
        <w:t xml:space="preserve">的平滑激活：当</w:t>
      </w:r>
      <w:r>
        <w:t xml:space="preserve"> </w:t>
      </w:r>
      <w:r>
        <w:rPr>
          <w:rFonts w:hint="eastAsia"/>
        </w:rPr>
        <w:t xml:space="preserve">SPR、库存和绕道对总短缺的覆盖率提高时，折价项才逐步生效。由此得到的指数项对应</w:t>
      </w:r>
      <w:r>
        <w:rPr>
          <w:rFonts w:hint="eastAsia"/>
        </w:rPr>
        <w:t xml:space="preserve">“冲击建立–风险消化–缓冲确认”</w:t>
      </w:r>
      <w:r>
        <w:rPr>
          <w:rFonts w:hint="eastAsia"/>
        </w:rPr>
        <w:t xml:space="preserve">三类时间过程。</w:t>
      </w:r>
    </w:p>
    <w:p>
      <w:pPr>
        <w:pStyle w:val="BodyText"/>
      </w:pPr>
      <m:oMathPara>
        <m:oMathParaPr>
          <m:jc m:val="center"/>
        </m:oMathParaPr>
        <m:oMath>
          <m:eqArr>
            <m:e>
              <m:sSubSup>
                <m:e>
                  <m:r>
                    <m:t>P</m:t>
                  </m:r>
                </m:e>
                <m:sub>
                  <m:r>
                    <m:t>t</m:t>
                  </m:r>
                </m:sub>
                <m:sup>
                  <m:r>
                    <m:rPr>
                      <m:sty m:val="p"/>
                    </m:rPr>
                    <m:t>*</m:t>
                  </m:r>
                </m:sup>
              </m:sSubSup>
              <m:r>
                <m:rPr>
                  <m:sty m:val="p"/>
                </m:rPr>
                <m:t>=</m:t>
              </m:r>
              <m:r>
                <m:t>​</m:t>
              </m:r>
              <m:r>
                <m:t>&amp;</m:t>
              </m:r>
              <m:sSub>
                <m:e>
                  <m:r>
                    <m:t>P</m:t>
                  </m:r>
                </m:e>
                <m:sub>
                  <m:r>
                    <m:t>0</m:t>
                  </m:r>
                </m:sub>
              </m:sSub>
              <m:r>
                <m:rPr>
                  <m:sty m:val="p"/>
                </m:rPr>
                <m:t>+</m:t>
              </m:r>
              <m:r>
                <m:t>ϕ</m:t>
              </m:r>
              <m:sSub>
                <m:e>
                  <m:r>
                    <m:t>P</m:t>
                  </m:r>
                </m:e>
                <m:sub>
                  <m:r>
                    <m:t>0</m:t>
                  </m:r>
                </m:sub>
              </m:sSub>
              <m:f>
                <m:fPr>
                  <m:type m:val="bar"/>
                </m:fPr>
                <m:num>
                  <m:sSub>
                    <m:e>
                      <m:r>
                        <m:t>G</m:t>
                      </m:r>
                    </m:e>
                    <m:sub>
                      <m:r>
                        <m:t>t</m:t>
                      </m:r>
                    </m:sub>
                  </m:sSub>
                  <m:r>
                    <m:rPr>
                      <m:sty m:val="p"/>
                    </m:rPr>
                    <m:t>/</m:t>
                  </m:r>
                  <m:sSub>
                    <m:e>
                      <m:r>
                        <m:t>D</m:t>
                      </m:r>
                    </m:e>
                    <m:sub>
                      <m:r>
                        <m:t>0</m:t>
                      </m:r>
                    </m:sub>
                  </m:sSub>
                </m:num>
                <m:den>
                  <m:r>
                    <m:rPr>
                      <m:sty m:val="p"/>
                    </m:rPr>
                    <m:t>|</m:t>
                  </m:r>
                  <m:sSub>
                    <m:e>
                      <m:r>
                        <m:t>ε</m:t>
                      </m:r>
                    </m:e>
                    <m:sub>
                      <m:r>
                        <m:t>t</m:t>
                      </m:r>
                    </m:sub>
                  </m:sSub>
                  <m:r>
                    <m:rPr>
                      <m:sty m:val="p"/>
                    </m:rPr>
                    <m:t>|</m:t>
                  </m:r>
                </m:den>
              </m:f>
              <m:r>
                <m:rPr>
                  <m:sty m:val="p"/>
                </m:rPr>
                <m:t>+</m:t>
              </m:r>
              <m:sSub>
                <m:e>
                  <m:r>
                    <m:t>P</m:t>
                  </m:r>
                </m:e>
                <m:sub>
                  <m:r>
                    <m:t>0</m:t>
                  </m:r>
                </m:sub>
              </m:sSub>
              <m:r>
                <m:t>β</m:t>
              </m:r>
              <m:f>
                <m:fPr>
                  <m:type m:val="bar"/>
                </m:fPr>
                <m:num>
                  <m:r>
                    <m:t>I</m:t>
                  </m:r>
                </m:num>
                <m:den>
                  <m:sSub>
                    <m:e>
                      <m:r>
                        <m:t>D</m:t>
                      </m:r>
                    </m:e>
                    <m:sub>
                      <m:r>
                        <m:t>0</m:t>
                      </m:r>
                    </m:sub>
                  </m:sSub>
                </m:den>
              </m:f>
              <m:d>
                <m:dPr>
                  <m:begChr m:val="("/>
                  <m:sepChr m:val=""/>
                  <m:endChr m:val=")"/>
                  <m:grow/>
                </m:dPr>
                <m:e>
                  <m:r>
                    <m:t>1</m:t>
                  </m:r>
                  <m:r>
                    <m:rPr>
                      <m:sty m:val="p"/>
                    </m:rPr>
                    <m:t>−</m:t>
                  </m:r>
                  <m:sSup>
                    <m:e>
                      <m:r>
                        <m:t>e</m:t>
                      </m:r>
                    </m:e>
                    <m:sup>
                      <m:r>
                        <m:rPr>
                          <m:sty m:val="p"/>
                        </m:rPr>
                        <m:t>−</m:t>
                      </m:r>
                      <m:r>
                        <m:t>t</m:t>
                      </m:r>
                      <m:r>
                        <m:rPr>
                          <m:sty m:val="p"/>
                        </m:rPr>
                        <m:t>/</m:t>
                      </m:r>
                      <m:r>
                        <m:t>7</m:t>
                      </m:r>
                    </m:sup>
                  </m:sSup>
                </m:e>
              </m:d>
              <m:sSup>
                <m:e>
                  <m:r>
                    <m:t>e</m:t>
                  </m:r>
                </m:e>
                <m:sup>
                  <m:r>
                    <m:rPr>
                      <m:sty m:val="p"/>
                    </m:rPr>
                    <m:t>−</m:t>
                  </m:r>
                  <m:sSub>
                    <m:e>
                      <m:r>
                        <m:t>κ</m:t>
                      </m:r>
                    </m:e>
                    <m:sub>
                      <m:r>
                        <m:t>B</m:t>
                      </m:r>
                    </m:sub>
                  </m:sSub>
                  <m:r>
                    <m:t>t</m:t>
                  </m:r>
                </m:sup>
              </m:sSup>
            </m:e>
            <m:e>
              <m:r>
                <m:t>&amp;</m:t>
              </m:r>
              <m:r>
                <m:rPr>
                  <m:sty m:val="p"/>
                </m:rPr>
                <m:t>+</m:t>
              </m:r>
              <m:sSub>
                <m:e>
                  <m:r>
                    <m:t>P</m:t>
                  </m:r>
                </m:e>
                <m:sub>
                  <m:r>
                    <m:t>0</m:t>
                  </m:r>
                </m:sub>
              </m:sSub>
              <m:r>
                <m:t>U</m:t>
              </m:r>
              <m:d>
                <m:dPr>
                  <m:begChr m:val="("/>
                  <m:sepChr m:val=""/>
                  <m:endChr m:val=")"/>
                  <m:grow/>
                </m:dPr>
                <m:e>
                  <m:r>
                    <m:t>1</m:t>
                  </m:r>
                  <m:r>
                    <m:rPr>
                      <m:sty m:val="p"/>
                    </m:rPr>
                    <m:t>−</m:t>
                  </m:r>
                  <m:sSup>
                    <m:e>
                      <m:r>
                        <m:t>e</m:t>
                      </m:r>
                    </m:e>
                    <m:sup>
                      <m:r>
                        <m:rPr>
                          <m:sty m:val="p"/>
                        </m:rPr>
                        <m:t>−</m:t>
                      </m:r>
                      <m:r>
                        <m:t>t</m:t>
                      </m:r>
                      <m:r>
                        <m:rPr>
                          <m:sty m:val="p"/>
                        </m:rPr>
                        <m:t>/</m:t>
                      </m:r>
                      <m:r>
                        <m:t>18</m:t>
                      </m:r>
                    </m:sup>
                  </m:sSup>
                </m:e>
              </m:d>
              <m:r>
                <m:rPr>
                  <m:sty m:val="p"/>
                </m:rPr>
                <m:t>+</m:t>
              </m:r>
              <m:r>
                <m:t>0.45</m:t>
              </m:r>
              <m:sSub>
                <m:e>
                  <m:r>
                    <m:t>P</m:t>
                  </m:r>
                </m:e>
                <m:sub>
                  <m:r>
                    <m:t>0</m:t>
                  </m:r>
                </m:sub>
              </m:sSub>
              <m:sSub>
                <m:e>
                  <m:r>
                    <m:t>F</m:t>
                  </m:r>
                </m:e>
                <m:sub>
                  <m:r>
                    <m:t>t</m:t>
                  </m:r>
                </m:sub>
              </m:sSub>
              <m:r>
                <m:rPr>
                  <m:sty m:val="p"/>
                </m:rPr>
                <m:t>−</m:t>
              </m:r>
              <m:sSub>
                <m:e>
                  <m:r>
                    <m:t>H</m:t>
                  </m:r>
                </m:e>
                <m:sub>
                  <m:r>
                    <m:t>t</m:t>
                  </m:r>
                </m:sub>
              </m:sSub>
              <m:r>
                <m:rPr>
                  <m:sty m:val="p"/>
                </m:rPr>
                <m:t>−</m:t>
              </m:r>
              <m:sSub>
                <m:e>
                  <m:r>
                    <m:t>L</m:t>
                  </m:r>
                </m:e>
                <m:sub>
                  <m:r>
                    <m:t>t</m:t>
                  </m:r>
                </m:sub>
              </m:sSub>
              <m:r>
                <m:rPr>
                  <m:sty m:val="p"/>
                </m:rPr>
                <m:t>.</m:t>
              </m:r>
            </m:e>
          </m:eqArr>
        </m:oMath>
      </m:oMathPara>
    </w:p>
    <w:p>
      <w:pPr>
        <w:pStyle w:val="FirstParagraph"/>
      </w:pPr>
      <w:r>
        <w:rPr>
          <w:rFonts w:hint="eastAsia"/>
        </w:rPr>
        <w:t xml:space="preserve">其中</w:t>
      </w:r>
      <w:r>
        <w:t xml:space="preserve"> </w:t>
      </w:r>
      <m:oMath>
        <m:r>
          <m:t>ϕ</m:t>
        </m:r>
      </m:oMath>
      <w:r>
        <w:t xml:space="preserve"> </w:t>
      </w:r>
      <w:r>
        <w:rPr>
          <w:rFonts w:hint="eastAsia"/>
        </w:rPr>
        <w:t xml:space="preserve">为物理缺口向期货目标价格传导的价格形成系数，对应上式中的</w:t>
      </w:r>
      <w:r>
        <w:t xml:space="preserve"> </w:t>
      </w:r>
      <m:oMath>
        <m:sSub>
          <m:e>
            <m:r>
              <m:t>a</m:t>
            </m:r>
          </m:e>
          <m:sub>
            <m:r>
              <m:t>G</m:t>
            </m:r>
          </m:sub>
        </m:sSub>
      </m:oMath>
      <w:r>
        <w:rPr>
          <w:rFonts w:hint="eastAsia"/>
        </w:rPr>
        <w:t xml:space="preserve">，不替代题面需求弹性；</w:t>
      </w:r>
      <m:oMath>
        <m:sSub>
          <m:e>
            <m:r>
              <m:t>κ</m:t>
            </m:r>
          </m:e>
          <m:sub>
            <m:r>
              <m:t>B</m:t>
            </m:r>
          </m:sub>
        </m:sSub>
        <m:r>
          <m:rPr>
            <m:sty m:val="p"/>
          </m:rPr>
          <m:t>=</m:t>
        </m:r>
        <m:r>
          <m:t>0.004</m:t>
        </m:r>
      </m:oMath>
      <w:r>
        <w:t xml:space="preserve"> </w:t>
      </w:r>
      <w:r>
        <w:rPr>
          <w:rFonts w:hint="eastAsia"/>
        </w:rPr>
        <w:t xml:space="preserve">为封锁风险溢价的日度衰减速度，表示市场逐步吸收封锁制度风险的速度；</w:t>
      </w:r>
      <m:oMath>
        <m:sSub>
          <m:e>
            <m:r>
              <m:t>H</m:t>
            </m:r>
          </m:e>
          <m:sub>
            <m:r>
              <m:t>t</m:t>
            </m:r>
          </m:sub>
        </m:sSub>
        <m:r>
          <m:rPr>
            <m:sty m:val="p"/>
          </m:rPr>
          <m:t>=</m:t>
        </m:r>
        <m:r>
          <m:t>H</m:t>
        </m:r>
        <m:r>
          <m:rPr>
            <m:sty m:val="p"/>
          </m:rPr>
          <m:t>(</m:t>
        </m:r>
        <m:sSub>
          <m:e>
            <m:r>
              <m:t>η</m:t>
            </m:r>
          </m:e>
          <m:sub>
            <m:r>
              <m:t>t</m:t>
            </m:r>
          </m:sub>
        </m:sSub>
        <m:r>
          <m:rPr>
            <m:sty m:val="p"/>
          </m:rPr>
          <m:t>)</m:t>
        </m:r>
      </m:oMath>
      <w:r>
        <w:t xml:space="preserve"> </w:t>
      </w:r>
      <w:r>
        <w:rPr>
          <w:rFonts w:hint="eastAsia"/>
        </w:rPr>
        <w:t xml:space="preserve">为缓冲确认折价，</w:t>
      </w:r>
      <m:oMath>
        <m:sSub>
          <m:e>
            <m:r>
              <m:t>L</m:t>
            </m:r>
          </m:e>
          <m:sub>
            <m:r>
              <m:t>t</m:t>
            </m:r>
          </m:sub>
        </m:sSub>
        <m:r>
          <m:rPr>
            <m:sty m:val="p"/>
          </m:rPr>
          <m:t>=</m:t>
        </m:r>
        <m:r>
          <m:t>L</m:t>
        </m:r>
        <m:r>
          <m:rPr>
            <m:sty m:val="p"/>
          </m:rPr>
          <m:t>(</m:t>
        </m:r>
        <m:sSub>
          <m:e>
            <m:r>
              <m:t>η</m:t>
            </m:r>
          </m:e>
          <m:sub>
            <m:r>
              <m:t>t</m:t>
            </m:r>
          </m:sub>
        </m:sSub>
        <m:r>
          <m:rPr>
            <m:sty m:val="p"/>
          </m:rPr>
          <m:t>,</m:t>
        </m:r>
        <m:r>
          <m:rPr>
            <m:sty m:val="p"/>
          </m:rPr>
          <m:t>Δ</m:t>
        </m:r>
        <m:sSub>
          <m:e>
            <m:r>
              <m:t>η</m:t>
            </m:r>
          </m:e>
          <m:sub>
            <m:r>
              <m:t>t</m:t>
            </m:r>
          </m:sub>
        </m:sSub>
        <m:r>
          <m:rPr>
            <m:sty m:val="p"/>
          </m:rPr>
          <m:t>)</m:t>
        </m:r>
      </m:oMath>
      <w:r>
        <w:t xml:space="preserve"> </w:t>
      </w:r>
      <w:r>
        <w:rPr>
          <w:rFonts w:hint="eastAsia"/>
        </w:rPr>
        <w:t xml:space="preserve">为预期修复折价。也就是说，折价项不再是外生削减价格的自由项，而是由可观测的</w:t>
      </w:r>
      <w:r>
        <w:t xml:space="preserve"> </w:t>
      </w:r>
      <w:r>
        <w:rPr>
          <w:rFonts w:hint="eastAsia"/>
        </w:rPr>
        <w:t xml:space="preserve">SPR、库存和绕道覆盖率驱动。这里的</w:t>
      </w:r>
      <w:r>
        <w:t xml:space="preserve"> </w:t>
      </w:r>
      <m:oMath>
        <m:sSub>
          <m:e>
            <m:r>
              <m:t>ε</m:t>
            </m:r>
          </m:e>
          <m:sub>
            <m:r>
              <m:t>t</m:t>
            </m:r>
          </m:sub>
        </m:sSub>
      </m:oMath>
      <w:r>
        <w:t xml:space="preserve"> </w:t>
      </w:r>
      <w:r>
        <w:rPr>
          <w:rFonts w:hint="eastAsia"/>
        </w:rPr>
        <w:t xml:space="preserve">仍承担题面低弹性约束，</w:t>
      </w:r>
      <m:oMath>
        <m:r>
          <m:t>ϕ</m:t>
        </m:r>
      </m:oMath>
      <w:r>
        <w:t xml:space="preserve"> </w:t>
      </w:r>
      <w:r>
        <w:rPr>
          <w:rFonts w:hint="eastAsia"/>
        </w:rPr>
        <w:t xml:space="preserve">只刻画期货市场对剩余缺口的折价传导强度。模型递推式为</w:t>
      </w:r>
    </w:p>
    <w:p>
      <w:pPr>
        <w:pStyle w:val="BodyText"/>
      </w:pPr>
      <m:oMathPara>
        <m:oMathParaPr>
          <m:jc m:val="center"/>
        </m:oMathParaPr>
        <m:oMath>
          <m:sSub>
            <m:e>
              <m:acc>
                <m:accPr>
                  <m:chr m:val="̂"/>
                </m:accPr>
                <m:e>
                  <m:r>
                    <m:t>P</m:t>
                  </m:r>
                </m:e>
              </m:acc>
            </m:e>
            <m:sub>
              <m:r>
                <m:t>t</m:t>
              </m:r>
            </m:sub>
          </m:sSub>
          <m:r>
            <m:rPr>
              <m:sty m:val="p"/>
            </m:rPr>
            <m:t>=</m:t>
          </m:r>
          <m:sSub>
            <m:e>
              <m:acc>
                <m:accPr>
                  <m:chr m:val="̂"/>
                </m:accPr>
                <m:e>
                  <m:r>
                    <m:t>P</m:t>
                  </m:r>
                </m:e>
              </m:acc>
            </m:e>
            <m:sub>
              <m:r>
                <m:t>t</m:t>
              </m:r>
              <m:r>
                <m:rPr>
                  <m:sty m:val="p"/>
                </m:rPr>
                <m:t>−</m:t>
              </m:r>
              <m:r>
                <m:t>1</m:t>
              </m:r>
            </m:sub>
          </m:sSub>
          <m:r>
            <m:rPr>
              <m:sty m:val="p"/>
            </m:rPr>
            <m:t>+</m:t>
          </m:r>
          <m:r>
            <m:t>v</m:t>
          </m:r>
          <m:r>
            <m:rPr>
              <m:sty m:val="p"/>
            </m:rPr>
            <m:t>(</m:t>
          </m:r>
          <m:sSubSup>
            <m:e>
              <m:r>
                <m:t>P</m:t>
              </m:r>
            </m:e>
            <m:sub>
              <m:r>
                <m:t>t</m:t>
              </m:r>
            </m:sub>
            <m:sup>
              <m:r>
                <m:rPr>
                  <m:sty m:val="p"/>
                </m:rPr>
                <m:t>*</m:t>
              </m:r>
            </m:sup>
          </m:sSubSup>
          <m:r>
            <m:rPr>
              <m:sty m:val="p"/>
            </m:rPr>
            <m:t>−</m:t>
          </m:r>
          <m:sSub>
            <m:e>
              <m:acc>
                <m:accPr>
                  <m:chr m:val="̂"/>
                </m:accPr>
                <m:e>
                  <m:r>
                    <m:t>P</m:t>
                  </m:r>
                </m:e>
              </m:acc>
            </m:e>
            <m:sub>
              <m:r>
                <m:t>t</m:t>
              </m:r>
              <m:r>
                <m:rPr>
                  <m:sty m:val="p"/>
                </m:rPr>
                <m:t>−</m:t>
              </m:r>
              <m:r>
                <m:t>1</m:t>
              </m:r>
            </m:sub>
          </m:sSub>
          <m:r>
            <m:rPr>
              <m:sty m:val="p"/>
            </m:rPr>
            <m:t>)</m:t>
          </m:r>
          <m:r>
            <m:rPr>
              <m:sty m:val="p"/>
            </m:rPr>
            <m:t>+</m:t>
          </m:r>
          <m:sSub>
            <m:e>
              <m:r>
                <m:t>γ</m:t>
              </m:r>
            </m:e>
            <m:sub>
              <m:r>
                <m:t>F</m:t>
              </m:r>
            </m:sub>
          </m:sSub>
          <m:r>
            <m:rPr>
              <m:sty m:val="p"/>
            </m:rPr>
            <m:t>(</m:t>
          </m:r>
          <m:sSub>
            <m:e>
              <m:r>
                <m:t>F</m:t>
              </m:r>
            </m:e>
            <m:sub>
              <m:r>
                <m:t>t</m:t>
              </m:r>
            </m:sub>
          </m:sSub>
          <m:r>
            <m:rPr>
              <m:sty m:val="p"/>
            </m:rPr>
            <m:t>−</m:t>
          </m:r>
          <m:sSub>
            <m:e>
              <m:r>
                <m:t>F</m:t>
              </m:r>
            </m:e>
            <m:sub>
              <m:r>
                <m:t>t</m:t>
              </m:r>
              <m:r>
                <m:rPr>
                  <m:sty m:val="p"/>
                </m:rPr>
                <m:t>−</m:t>
              </m:r>
              <m:r>
                <m:t>1</m:t>
              </m:r>
            </m:sub>
          </m:sSub>
          <m:r>
            <m:rPr>
              <m:sty m:val="p"/>
            </m:rPr>
            <m:t>)</m:t>
          </m:r>
          <m:r>
            <m:rPr>
              <m:sty m:val="p"/>
            </m:rPr>
            <m:t>,</m:t>
          </m:r>
          <m:r>
            <m:t> </m:t>
          </m:r>
          <m:sSub>
            <m:e>
              <m:r>
                <m:t>γ</m:t>
              </m:r>
            </m:e>
            <m:sub>
              <m:r>
                <m:t>F</m:t>
              </m:r>
            </m:sub>
          </m:sSub>
          <m:r>
            <m:rPr>
              <m:sty m:val="p"/>
            </m:rPr>
            <m:t>=</m:t>
          </m:r>
          <m:r>
            <m:t>2.5</m:t>
          </m:r>
          <m:r>
            <m:rPr>
              <m:sty m:val="p"/>
            </m:rPr>
            <m:t>.</m:t>
          </m:r>
        </m:oMath>
      </m:oMathPara>
    </w:p>
    <w:p>
      <w:pPr>
        <w:pStyle w:val="FirstParagraph"/>
      </w:pPr>
      <w:r>
        <w:rPr>
          <w:rFonts w:hint="eastAsia"/>
        </w:rPr>
        <w:t xml:space="preserve">该结构保留了题面中的离散递推思想，同时允许期货市场对风险和预期做再定价。恐慌动量项</w:t>
      </w:r>
      <w:r>
        <w:t xml:space="preserve"> </w:t>
      </w:r>
      <m:oMath>
        <m:sSub>
          <m:e>
            <m:r>
              <m:t>γ</m:t>
            </m:r>
          </m:e>
          <m:sub>
            <m:r>
              <m:t>F</m:t>
            </m:r>
          </m:sub>
        </m:sSub>
        <m:r>
          <m:rPr>
            <m:sty m:val="p"/>
          </m:rPr>
          <m:t>(</m:t>
        </m:r>
        <m:sSub>
          <m:e>
            <m:r>
              <m:t>F</m:t>
            </m:r>
          </m:e>
          <m:sub>
            <m:r>
              <m:t>t</m:t>
            </m:r>
          </m:sub>
        </m:sSub>
        <m:r>
          <m:rPr>
            <m:sty m:val="p"/>
          </m:rPr>
          <m:t>−</m:t>
        </m:r>
        <m:sSub>
          <m:e>
            <m:r>
              <m:t>F</m:t>
            </m:r>
          </m:e>
          <m:sub>
            <m:r>
              <m:t>t</m:t>
            </m:r>
            <m:r>
              <m:rPr>
                <m:sty m:val="p"/>
              </m:rPr>
              <m:t>−</m:t>
            </m:r>
            <m:r>
              <m:t>1</m:t>
            </m:r>
          </m:sub>
        </m:sSub>
        <m:r>
          <m:rPr>
            <m:sty m:val="p"/>
          </m:rPr>
          <m:t>)</m:t>
        </m:r>
      </m:oMath>
      <w:r>
        <w:t xml:space="preserve"> </w:t>
      </w:r>
      <w:r>
        <w:rPr>
          <w:rFonts w:hint="eastAsia"/>
        </w:rPr>
        <w:t xml:space="preserve">只刻画恐慌强度快速变化时的一次性日度调整，不替代恐慌溢价本身；若恐慌强度稳定，则该项为零。风险溢价、缓冲确认折价和预期修复折价均需要同时满足经济含义清晰、方向可解释、消融后误差明显恶化以及扰动后结论保持稳定四个条件，才保留在主模型中。</w:t>
      </w:r>
    </w:p>
    <w:p>
      <w:pPr>
        <w:pStyle w:val="BodyText"/>
      </w:pPr>
      <w:r>
        <w:rPr>
          <w:rFonts w:hint="eastAsia"/>
        </w:rPr>
        <w:t xml:space="preserve">从微观直觉看，式中的物理缺口项对应炼厂和贸易商面对短缺时愿意支付的边际溢价；风险项对应持有库存、安排绕道运输和承担航运保险风险所要求的补偿；折价项对应政策缓冲被观察到后，市场降低预防性持有需求和投机性风险溢价。本文没有直接建立完整的微观效用最大化模型，而是采用与能源冲击文献一致的结构化简形式，并通过基准对比、机制消融和扰动检验约束其自由度。</w:t>
      </w:r>
    </w:p>
    <w:p>
      <w:pPr>
        <w:pStyle w:val="BodyText"/>
      </w:pPr>
      <w:r>
        <w:rPr>
          <w:rFonts w:hint="eastAsia"/>
        </w:rPr>
        <w:t xml:space="preserve">算法</w:t>
      </w:r>
      <w:r>
        <w:t xml:space="preserve"> </w:t>
      </w:r>
      <w:r>
        <w:rPr>
          <w:rFonts w:hint="eastAsia"/>
        </w:rPr>
        <w:t xml:space="preserve">1短期冲击模型的日度更新流程</w:t>
      </w:r>
      <w:r>
        <w:t xml:space="preserve"> </w:t>
      </w:r>
      <w:r>
        <w:rPr>
          <w:rFonts w:hint="eastAsia"/>
          <w:b/>
          <w:bCs/>
        </w:rPr>
        <w:t xml:space="preserve">输入：</w:t>
      </w:r>
      <w:r>
        <w:rPr>
          <w:rFonts w:hint="eastAsia"/>
        </w:rPr>
        <w:t xml:space="preserve">初始价格</w:t>
      </w:r>
      <w:r>
        <w:t xml:space="preserve"> </w:t>
      </w:r>
      <m:oMath>
        <m:sSub>
          <m:e>
            <m:r>
              <m:t>P</m:t>
            </m:r>
          </m:e>
          <m:sub>
            <m:r>
              <m:t>0</m:t>
            </m:r>
          </m:sub>
        </m:sSub>
      </m:oMath>
      <w:r>
        <w:rPr>
          <w:rFonts w:hint="eastAsia"/>
        </w:rPr>
        <w:t xml:space="preserve">，基准供需</w:t>
      </w:r>
      <w:r>
        <w:t xml:space="preserve"> </w:t>
      </w:r>
      <m:oMath>
        <m:sSub>
          <m:e>
            <m:r>
              <m:t>D</m:t>
            </m:r>
          </m:e>
          <m:sub>
            <m:r>
              <m:t>0</m:t>
            </m:r>
          </m:sub>
        </m:sSub>
        <m:r>
          <m:rPr>
            <m:sty m:val="p"/>
          </m:rPr>
          <m:t>,</m:t>
        </m:r>
        <m:sSub>
          <m:e>
            <m:r>
              <m:t>S</m:t>
            </m:r>
          </m:e>
          <m:sub>
            <m:r>
              <m:t>0</m:t>
            </m:r>
          </m:sub>
        </m:sSub>
      </m:oMath>
      <w:r>
        <w:rPr>
          <w:rFonts w:hint="eastAsia"/>
        </w:rPr>
        <w:t xml:space="preserve">，供应中断</w:t>
      </w:r>
      <w:r>
        <w:t xml:space="preserve"> </w:t>
      </w:r>
      <m:oMath>
        <m:r>
          <m:t>I</m:t>
        </m:r>
      </m:oMath>
      <w:r>
        <w:rPr>
          <w:rFonts w:hint="eastAsia"/>
        </w:rPr>
        <w:t xml:space="preserve">，SPR、库存、绕道、恐慌与风险参数。</w:t>
      </w:r>
      <w:r>
        <w:br/>
      </w:r>
      <w:r>
        <w:rPr>
          <w:rFonts w:hint="eastAsia"/>
          <w:b/>
          <w:bCs/>
        </w:rPr>
        <w:t xml:space="preserve">输出：</w:t>
      </w:r>
      <w:r>
        <w:rPr>
          <w:rFonts w:hint="eastAsia"/>
        </w:rPr>
        <w:t xml:space="preserve">冲突窗口内的日度模拟价格</w:t>
      </w:r>
      <w:r>
        <w:t xml:space="preserve"> </w:t>
      </w:r>
      <m:oMath>
        <m:sSub>
          <m:e>
            <m:acc>
              <m:accPr>
                <m:chr m:val="̂"/>
              </m:accPr>
              <m:e>
                <m:r>
                  <m:t>P</m:t>
                </m:r>
              </m:e>
            </m:acc>
          </m:e>
          <m:sub>
            <m:r>
              <m:t>t</m:t>
            </m:r>
          </m:sub>
        </m:sSub>
      </m:oMath>
      <w:r>
        <w:t xml:space="preserve"> </w:t>
      </w:r>
      <w:r>
        <w:rPr>
          <w:rFonts w:hint="eastAsia"/>
        </w:rPr>
        <w:t xml:space="preserve">及机制贡献序列。</w:t>
      </w:r>
    </w:p>
    <w:p>
      <w:pPr>
        <w:numPr>
          <w:ilvl w:val="0"/>
          <w:numId w:val="1004"/>
        </w:numPr>
      </w:pPr>
      <w:r>
        <w:rPr>
          <w:rFonts w:hint="eastAsia"/>
        </w:rPr>
        <w:t xml:space="preserve">初始化</w:t>
      </w:r>
      <w:r>
        <w:t xml:space="preserve"> </w:t>
      </w:r>
      <m:oMath>
        <m:sSub>
          <m:e>
            <m:acc>
              <m:accPr>
                <m:chr m:val="̂"/>
              </m:accPr>
              <m:e>
                <m:r>
                  <m:t>P</m:t>
                </m:r>
              </m:e>
            </m:acc>
          </m:e>
          <m:sub>
            <m:r>
              <m:t>0</m:t>
            </m:r>
          </m:sub>
        </m:sSub>
        <m:r>
          <m:rPr>
            <m:sty m:val="p"/>
          </m:rPr>
          <m:t>=</m:t>
        </m:r>
        <m:sSub>
          <m:e>
            <m:r>
              <m:t>P</m:t>
            </m:r>
          </m:e>
          <m:sub>
            <m:r>
              <m:t>0</m:t>
            </m:r>
          </m:sub>
        </m:sSub>
      </m:oMath>
      <w:r>
        <w:rPr>
          <w:rFonts w:hint="eastAsia"/>
        </w:rPr>
        <w:t xml:space="preserve">，商业库存</w:t>
      </w:r>
      <w:r>
        <w:t xml:space="preserve"> </w:t>
      </w:r>
      <m:oMath>
        <m:sSub>
          <m:e>
            <m:r>
              <m:t>K</m:t>
            </m:r>
          </m:e>
          <m:sub>
            <m:r>
              <m:t>0</m:t>
            </m:r>
          </m:sub>
        </m:sSub>
      </m:oMath>
      <w:r>
        <w:rPr>
          <w:rFonts w:hint="eastAsia"/>
        </w:rPr>
        <w:t xml:space="preserve">，恐慌强度</w:t>
      </w:r>
      <w:r>
        <w:t xml:space="preserve"> </w:t>
      </w:r>
      <m:oMath>
        <m:sSub>
          <m:e>
            <m:r>
              <m:t>F</m:t>
            </m:r>
          </m:e>
          <m:sub>
            <m:r>
              <m:t>0</m:t>
            </m:r>
          </m:sub>
        </m:sSub>
      </m:oMath>
      <w:r>
        <w:t xml:space="preserve">。</w:t>
      </w:r>
    </w:p>
    <w:p>
      <w:pPr>
        <w:numPr>
          <w:ilvl w:val="0"/>
          <w:numId w:val="1004"/>
        </w:numPr>
      </w:pPr>
      <w:r>
        <w:rPr>
          <w:rFonts w:hint="eastAsia"/>
        </w:rPr>
        <w:t xml:space="preserve">对</w:t>
      </w:r>
      <w:r>
        <w:t xml:space="preserve"> </w:t>
      </w:r>
      <m:oMath>
        <m:r>
          <m:t>t</m:t>
        </m:r>
        <m:r>
          <m:rPr>
            <m:sty m:val="p"/>
          </m:rPr>
          <m:t>=</m:t>
        </m:r>
        <m:r>
          <m:t>1</m:t>
        </m:r>
        <m:r>
          <m:rPr>
            <m:sty m:val="p"/>
          </m:rPr>
          <m:t>,</m:t>
        </m:r>
        <m:r>
          <m:rPr>
            <m:sty m:val="p"/>
          </m:rPr>
          <m:t>…</m:t>
        </m:r>
        <m:r>
          <m:rPr>
            <m:sty m:val="p"/>
          </m:rPr>
          <m:t>,</m:t>
        </m:r>
        <m:r>
          <m:t>T</m:t>
        </m:r>
      </m:oMath>
      <w:r>
        <w:t xml:space="preserve"> </w:t>
      </w:r>
      <w:r>
        <w:rPr>
          <w:rFonts w:hint="eastAsia"/>
        </w:rPr>
        <w:t xml:space="preserve">逐日递推：</w:t>
      </w:r>
    </w:p>
    <w:p>
      <w:pPr>
        <w:numPr>
          <w:ilvl w:val="0"/>
          <w:numId w:val="1004"/>
        </w:numPr>
      </w:pPr>
      <w:r>
        <w:rPr>
          <w:rFonts w:hint="eastAsia"/>
        </w:rPr>
        <w:t xml:space="preserve">根据上一日模拟价格和短期弹性计算有效需求</w:t>
      </w:r>
      <w:r>
        <w:t xml:space="preserve"> </w:t>
      </w:r>
      <m:oMath>
        <m:sSub>
          <m:e>
            <m:r>
              <m:t>D</m:t>
            </m:r>
          </m:e>
          <m:sub>
            <m:r>
              <m:t>t</m:t>
            </m:r>
          </m:sub>
        </m:sSub>
      </m:oMath>
      <w:r>
        <w:t xml:space="preserve">。</w:t>
      </w:r>
    </w:p>
    <w:p>
      <w:pPr>
        <w:numPr>
          <w:ilvl w:val="0"/>
          <w:numId w:val="1004"/>
        </w:numPr>
      </w:pPr>
      <w:r>
        <w:rPr>
          <w:rFonts w:hint="eastAsia"/>
        </w:rPr>
        <w:t xml:space="preserve">计算不含库存的有效供给</w:t>
      </w:r>
      <w:r>
        <w:t xml:space="preserve"> </w:t>
      </w:r>
      <m:oMath>
        <m:sSubSup>
          <m:e>
            <m:r>
              <m:t>S</m:t>
            </m:r>
          </m:e>
          <m:sub>
            <m:r>
              <m:t>t</m:t>
            </m:r>
          </m:sub>
          <m:sup>
            <m:r>
              <m:rPr>
                <m:sty m:val="p"/>
              </m:rPr>
              <m:t>(</m:t>
            </m:r>
            <m:r>
              <m:t>0</m:t>
            </m:r>
            <m:r>
              <m:rPr>
                <m:sty m:val="p"/>
              </m:rPr>
              <m:t>)</m:t>
            </m:r>
          </m:sup>
        </m:sSubSup>
        <m:r>
          <m:rPr>
            <m:sty m:val="p"/>
          </m:rPr>
          <m:t>=</m:t>
        </m:r>
        <m:sSub>
          <m:e>
            <m:r>
              <m:t>S</m:t>
            </m:r>
          </m:e>
          <m:sub>
            <m:r>
              <m:t>0</m:t>
            </m:r>
          </m:sub>
        </m:sSub>
        <m:r>
          <m:rPr>
            <m:sty m:val="p"/>
          </m:rPr>
          <m:t>−</m:t>
        </m:r>
        <m:r>
          <m:t>I</m:t>
        </m:r>
        <m:r>
          <m:rPr>
            <m:sty m:val="p"/>
          </m:rPr>
          <m:t>+</m:t>
        </m:r>
        <m:sSub>
          <m:e>
            <m:r>
              <m:t>R</m:t>
            </m:r>
          </m:e>
          <m:sub>
            <m:r>
              <m:t>t</m:t>
            </m:r>
          </m:sub>
        </m:sSub>
        <m:r>
          <m:rPr>
            <m:sty m:val="p"/>
          </m:rPr>
          <m:t>+</m:t>
        </m:r>
        <m:sSub>
          <m:e>
            <m:r>
              <m:t>Q</m:t>
            </m:r>
          </m:e>
          <m:sub>
            <m:r>
              <m:t>t</m:t>
            </m:r>
          </m:sub>
        </m:sSub>
      </m:oMath>
      <w:r>
        <w:t xml:space="preserve">。</w:t>
      </w:r>
    </w:p>
    <w:p>
      <w:pPr>
        <w:numPr>
          <w:ilvl w:val="0"/>
          <w:numId w:val="1004"/>
        </w:numPr>
      </w:pPr>
      <w:r>
        <w:rPr>
          <w:rFonts w:hint="eastAsia"/>
        </w:rPr>
        <w:t xml:space="preserve">在日释放上限和剩余库存约束下计算商业库存缓冲</w:t>
      </w:r>
      <w:r>
        <w:t xml:space="preserve"> </w:t>
      </w:r>
      <m:oMath>
        <m:sSub>
          <m:e>
            <m:r>
              <m:t>B</m:t>
            </m:r>
          </m:e>
          <m:sub>
            <m:r>
              <m:t>t</m:t>
            </m:r>
          </m:sub>
        </m:sSub>
      </m:oMath>
      <w:r>
        <w:t xml:space="preserve">。</w:t>
      </w:r>
    </w:p>
    <w:p>
      <w:pPr>
        <w:numPr>
          <w:ilvl w:val="0"/>
          <w:numId w:val="1004"/>
        </w:numPr>
      </w:pPr>
      <w:r>
        <w:rPr>
          <w:rFonts w:hint="eastAsia"/>
        </w:rPr>
        <w:t xml:space="preserve">得到剩余缺口</w:t>
      </w:r>
      <w:r>
        <w:t xml:space="preserve"> </w:t>
      </w:r>
      <m:oMath>
        <m:sSub>
          <m:e>
            <m:r>
              <m:t>G</m:t>
            </m:r>
          </m:e>
          <m:sub>
            <m:r>
              <m:t>t</m:t>
            </m:r>
          </m:sub>
        </m:sSub>
        <m:r>
          <m:rPr>
            <m:sty m:val="p"/>
          </m:rPr>
          <m:t>=</m:t>
        </m:r>
        <m:r>
          <m:rPr>
            <m:sty m:val="p"/>
          </m:rPr>
          <m:t>max</m:t>
        </m:r>
        <m:r>
          <m:rPr>
            <m:sty m:val="p"/>
          </m:rPr>
          <m:t>(</m:t>
        </m:r>
        <m:sSub>
          <m:e>
            <m:r>
              <m:t>D</m:t>
            </m:r>
          </m:e>
          <m:sub>
            <m:r>
              <m:t>t</m:t>
            </m:r>
          </m:sub>
        </m:sSub>
        <m:r>
          <m:rPr>
            <m:sty m:val="p"/>
          </m:rPr>
          <m:t>−</m:t>
        </m:r>
        <m:sSubSup>
          <m:e>
            <m:r>
              <m:t>S</m:t>
            </m:r>
          </m:e>
          <m:sub>
            <m:r>
              <m:t>t</m:t>
            </m:r>
          </m:sub>
          <m:sup>
            <m:r>
              <m:rPr>
                <m:sty m:val="p"/>
              </m:rPr>
              <m:t>(</m:t>
            </m:r>
            <m:r>
              <m:t>0</m:t>
            </m:r>
            <m:r>
              <m:rPr>
                <m:sty m:val="p"/>
              </m:rPr>
              <m:t>)</m:t>
            </m:r>
          </m:sup>
        </m:sSubSup>
        <m:r>
          <m:rPr>
            <m:sty m:val="p"/>
          </m:rPr>
          <m:t>−</m:t>
        </m:r>
        <m:sSub>
          <m:e>
            <m:r>
              <m:t>B</m:t>
            </m:r>
          </m:e>
          <m:sub>
            <m:r>
              <m:t>t</m:t>
            </m:r>
          </m:sub>
        </m:sSub>
        <m:r>
          <m:rPr>
            <m:sty m:val="p"/>
          </m:rPr>
          <m:t>,</m:t>
        </m:r>
        <m:r>
          <m:t>0</m:t>
        </m:r>
        <m:r>
          <m:rPr>
            <m:sty m:val="p"/>
          </m:rPr>
          <m:t>)</m:t>
        </m:r>
      </m:oMath>
      <w:r>
        <w:t xml:space="preserve">。</w:t>
      </w:r>
    </w:p>
    <w:p>
      <w:pPr>
        <w:numPr>
          <w:ilvl w:val="0"/>
          <w:numId w:val="1004"/>
        </w:numPr>
      </w:pPr>
      <w:r>
        <w:rPr>
          <w:rFonts w:hint="eastAsia"/>
        </w:rPr>
        <w:t xml:space="preserve">计算缓冲覆盖率</w:t>
      </w:r>
      <w:r>
        <w:t xml:space="preserve"> </w:t>
      </w:r>
      <m:oMath>
        <m:sSub>
          <m:e>
            <m:r>
              <m:t>η</m:t>
            </m:r>
          </m:e>
          <m:sub>
            <m:r>
              <m:t>t</m:t>
            </m:r>
          </m:sub>
        </m:sSub>
        <m:r>
          <m:rPr>
            <m:sty m:val="p"/>
          </m:rPr>
          <m:t>=</m:t>
        </m:r>
        <m:r>
          <m:rPr>
            <m:sty m:val="p"/>
          </m:rPr>
          <m:t>(</m:t>
        </m:r>
        <m:sSub>
          <m:e>
            <m:r>
              <m:t>R</m:t>
            </m:r>
          </m:e>
          <m:sub>
            <m:r>
              <m:t>t</m:t>
            </m:r>
          </m:sub>
        </m:sSub>
        <m:r>
          <m:rPr>
            <m:sty m:val="p"/>
          </m:rPr>
          <m:t>+</m:t>
        </m:r>
        <m:sSub>
          <m:e>
            <m:r>
              <m:t>Q</m:t>
            </m:r>
          </m:e>
          <m:sub>
            <m:r>
              <m:t>t</m:t>
            </m:r>
          </m:sub>
        </m:sSub>
        <m:r>
          <m:rPr>
            <m:sty m:val="p"/>
          </m:rPr>
          <m:t>+</m:t>
        </m:r>
        <m:sSub>
          <m:e>
            <m:r>
              <m:t>B</m:t>
            </m:r>
          </m:e>
          <m:sub>
            <m:r>
              <m:t>t</m:t>
            </m:r>
          </m:sub>
        </m:sSub>
        <m:r>
          <m:rPr>
            <m:sty m:val="p"/>
          </m:rPr>
          <m:t>)</m:t>
        </m:r>
        <m:r>
          <m:rPr>
            <m:sty m:val="p"/>
          </m:rPr>
          <m:t>/</m:t>
        </m:r>
        <m:r>
          <m:rPr>
            <m:sty m:val="p"/>
          </m:rPr>
          <m:t>max</m:t>
        </m:r>
        <m:r>
          <m:rPr>
            <m:sty m:val="p"/>
          </m:rPr>
          <m:t>{</m:t>
        </m:r>
        <m:sSub>
          <m:e>
            <m:r>
              <m:t>D</m:t>
            </m:r>
          </m:e>
          <m:sub>
            <m:r>
              <m:t>t</m:t>
            </m:r>
          </m:sub>
        </m:sSub>
        <m:r>
          <m:rPr>
            <m:sty m:val="p"/>
          </m:rPr>
          <m:t>−</m:t>
        </m:r>
        <m:r>
          <m:rPr>
            <m:sty m:val="p"/>
          </m:rPr>
          <m:t>(</m:t>
        </m:r>
        <m:sSub>
          <m:e>
            <m:r>
              <m:t>S</m:t>
            </m:r>
          </m:e>
          <m:sub>
            <m:r>
              <m:t>0</m:t>
            </m:r>
          </m:sub>
        </m:sSub>
        <m:r>
          <m:rPr>
            <m:sty m:val="p"/>
          </m:rPr>
          <m:t>−</m:t>
        </m:r>
        <m:r>
          <m:t>I</m:t>
        </m:r>
        <m:r>
          <m:rPr>
            <m:sty m:val="p"/>
          </m:rPr>
          <m:t>)</m:t>
        </m:r>
        <m:r>
          <m:rPr>
            <m:sty m:val="p"/>
          </m:rPr>
          <m:t>,</m:t>
        </m:r>
        <m:r>
          <m:t>1</m:t>
        </m:r>
        <m:r>
          <m:rPr>
            <m:sty m:val="p"/>
          </m:rPr>
          <m:t>}</m:t>
        </m:r>
      </m:oMath>
      <w:r>
        <w:rPr>
          <w:rFonts w:hint="eastAsia"/>
        </w:rPr>
        <w:t xml:space="preserve">，并由</w:t>
      </w:r>
      <w:r>
        <w:t xml:space="preserve"> </w:t>
      </w:r>
      <m:oMath>
        <m:sSub>
          <m:e>
            <m:r>
              <m:t>η</m:t>
            </m:r>
          </m:e>
          <m:sub>
            <m:r>
              <m:t>t</m:t>
            </m:r>
          </m:sub>
        </m:sSub>
      </m:oMath>
      <w:r>
        <w:t xml:space="preserve"> </w:t>
      </w:r>
      <w:r>
        <w:rPr>
          <w:rFonts w:hint="eastAsia"/>
        </w:rPr>
        <w:t xml:space="preserve">激活缓冲确认和预期修复折价。</w:t>
      </w:r>
    </w:p>
    <w:p>
      <w:pPr>
        <w:numPr>
          <w:ilvl w:val="0"/>
          <w:numId w:val="1004"/>
        </w:numPr>
      </w:pPr>
      <w:r>
        <w:rPr>
          <w:rFonts w:hint="eastAsia"/>
        </w:rPr>
        <w:t xml:space="preserve">由</w:t>
      </w:r>
      <w:r>
        <w:t xml:space="preserve"> </w:t>
      </w:r>
      <m:oMath>
        <m:sSub>
          <m:e>
            <m:r>
              <m:t>G</m:t>
            </m:r>
          </m:e>
          <m:sub>
            <m:r>
              <m:t>t</m:t>
            </m:r>
          </m:sub>
        </m:sSub>
      </m:oMath>
      <w:r>
        <w:rPr>
          <w:rFonts w:hint="eastAsia"/>
        </w:rPr>
        <w:t xml:space="preserve">、风险溢价、制度不确定性、恐慌强度、覆盖率驱动的缓冲确认和预期修复计算目标价格</w:t>
      </w:r>
      <w:r>
        <w:t xml:space="preserve"> </w:t>
      </w:r>
      <m:oMath>
        <m:sSubSup>
          <m:e>
            <m:r>
              <m:t>P</m:t>
            </m:r>
          </m:e>
          <m:sub>
            <m:r>
              <m:t>t</m:t>
            </m:r>
          </m:sub>
          <m:sup>
            <m:r>
              <m:rPr>
                <m:sty m:val="p"/>
              </m:rPr>
              <m:t>*</m:t>
            </m:r>
          </m:sup>
        </m:sSubSup>
      </m:oMath>
      <w:r>
        <w:t xml:space="preserve">。</w:t>
      </w:r>
    </w:p>
    <w:p>
      <w:pPr>
        <w:numPr>
          <w:ilvl w:val="0"/>
          <w:numId w:val="1004"/>
        </w:numPr>
      </w:pPr>
      <w:r>
        <w:rPr>
          <w:rFonts w:hint="eastAsia"/>
        </w:rPr>
        <w:t xml:space="preserve">递推更新</w:t>
      </w:r>
    </w:p>
    <w:p>
      <w:pPr>
        <w:pStyle w:val="BodyText"/>
      </w:pPr>
      <m:oMathPara>
        <m:oMathParaPr>
          <m:jc m:val="center"/>
        </m:oMathParaPr>
        <m:oMath>
          <m:sSub>
            <m:e>
              <m:acc>
                <m:accPr>
                  <m:chr m:val="̂"/>
                </m:accPr>
                <m:e>
                  <m:r>
                    <m:t>P</m:t>
                  </m:r>
                </m:e>
              </m:acc>
            </m:e>
            <m:sub>
              <m:r>
                <m:t>t</m:t>
              </m:r>
            </m:sub>
          </m:sSub>
          <m:r>
            <m:rPr>
              <m:sty m:val="p"/>
            </m:rPr>
            <m:t>=</m:t>
          </m:r>
          <m:sSub>
            <m:e>
              <m:acc>
                <m:accPr>
                  <m:chr m:val="̂"/>
                </m:accPr>
                <m:e>
                  <m:r>
                    <m:t>P</m:t>
                  </m:r>
                </m:e>
              </m:acc>
            </m:e>
            <m:sub>
              <m:r>
                <m:t>t</m:t>
              </m:r>
              <m:r>
                <m:rPr>
                  <m:sty m:val="p"/>
                </m:rPr>
                <m:t>−</m:t>
              </m:r>
              <m:r>
                <m:t>1</m:t>
              </m:r>
            </m:sub>
          </m:sSub>
          <m:r>
            <m:rPr>
              <m:sty m:val="p"/>
            </m:rPr>
            <m:t>+</m:t>
          </m:r>
          <m:r>
            <m:t>v</m:t>
          </m:r>
          <m:r>
            <m:rPr>
              <m:sty m:val="p"/>
            </m:rPr>
            <m:t>(</m:t>
          </m:r>
          <m:sSubSup>
            <m:e>
              <m:r>
                <m:t>P</m:t>
              </m:r>
            </m:e>
            <m:sub>
              <m:r>
                <m:t>t</m:t>
              </m:r>
            </m:sub>
            <m:sup>
              <m:r>
                <m:rPr>
                  <m:sty m:val="p"/>
                </m:rPr>
                <m:t>*</m:t>
              </m:r>
            </m:sup>
          </m:sSubSup>
          <m:r>
            <m:rPr>
              <m:sty m:val="p"/>
            </m:rPr>
            <m:t>−</m:t>
          </m:r>
          <m:sSub>
            <m:e>
              <m:acc>
                <m:accPr>
                  <m:chr m:val="̂"/>
                </m:accPr>
                <m:e>
                  <m:r>
                    <m:t>P</m:t>
                  </m:r>
                </m:e>
              </m:acc>
            </m:e>
            <m:sub>
              <m:r>
                <m:t>t</m:t>
              </m:r>
              <m:r>
                <m:rPr>
                  <m:sty m:val="p"/>
                </m:rPr>
                <m:t>−</m:t>
              </m:r>
              <m:r>
                <m:t>1</m:t>
              </m:r>
            </m:sub>
          </m:sSub>
          <m:r>
            <m:rPr>
              <m:sty m:val="p"/>
            </m:rPr>
            <m:t>)</m:t>
          </m:r>
          <m:r>
            <m:rPr>
              <m:sty m:val="p"/>
            </m:rPr>
            <m:t>+</m:t>
          </m:r>
          <m:sSub>
            <m:e>
              <m:r>
                <m:t>γ</m:t>
              </m:r>
            </m:e>
            <m:sub>
              <m:r>
                <m:t>F</m:t>
              </m:r>
            </m:sub>
          </m:sSub>
          <m:r>
            <m:rPr>
              <m:sty m:val="p"/>
            </m:rPr>
            <m:t>(</m:t>
          </m:r>
          <m:sSub>
            <m:e>
              <m:r>
                <m:t>F</m:t>
              </m:r>
            </m:e>
            <m:sub>
              <m:r>
                <m:t>t</m:t>
              </m:r>
            </m:sub>
          </m:sSub>
          <m:r>
            <m:rPr>
              <m:sty m:val="p"/>
            </m:rPr>
            <m:t>−</m:t>
          </m:r>
          <m:sSub>
            <m:e>
              <m:r>
                <m:t>F</m:t>
              </m:r>
            </m:e>
            <m:sub>
              <m:r>
                <m:t>t</m:t>
              </m:r>
              <m:r>
                <m:rPr>
                  <m:sty m:val="p"/>
                </m:rPr>
                <m:t>−</m:t>
              </m:r>
              <m:r>
                <m:t>1</m:t>
              </m:r>
            </m:sub>
          </m:sSub>
          <m:r>
            <m:rPr>
              <m:sty m:val="p"/>
            </m:rPr>
            <m:t>)</m:t>
          </m:r>
          <m:r>
            <m:rPr>
              <m:sty m:val="p"/>
            </m:rPr>
            <m:t>.</m:t>
          </m:r>
        </m:oMath>
      </m:oMathPara>
    </w:p>
    <w:p>
      <w:pPr>
        <w:numPr>
          <w:ilvl w:val="0"/>
          <w:numId w:val="1004"/>
        </w:numPr>
      </w:pPr>
      <w:r>
        <w:rPr>
          <w:rFonts w:hint="eastAsia"/>
        </w:rPr>
        <w:t xml:space="preserve">记录物理缺口、风险溢价、政策缓冲和预期折价的边际贡献。</w:t>
      </w:r>
    </w:p>
    <w:bookmarkEnd w:id="43"/>
    <w:bookmarkEnd w:id="44"/>
    <w:bookmarkStart w:id="114" w:name="参数校准与模型检验"/>
    <w:p>
      <w:pPr>
        <w:pStyle w:val="Heading1"/>
      </w:pPr>
      <w:r>
        <w:rPr>
          <w:rFonts w:hint="eastAsia"/>
        </w:rPr>
        <w:t xml:space="preserve">参数校准与模型检验</w:t>
      </w:r>
    </w:p>
    <w:bookmarkStart w:id="54" w:name="模型校准与拟合表现"/>
    <w:p>
      <w:pPr>
        <w:pStyle w:val="Heading2"/>
      </w:pPr>
      <w:r>
        <w:rPr>
          <w:rFonts w:hint="eastAsia"/>
        </w:rPr>
        <w:t xml:space="preserve">模型校准与拟合表现</w:t>
      </w:r>
    </w:p>
    <w:bookmarkStart w:id="45" w:name="多目标校准"/>
    <w:p>
      <w:pPr>
        <w:pStyle w:val="Heading3"/>
      </w:pPr>
      <w:r>
        <w:rPr>
          <w:rFonts w:hint="eastAsia"/>
        </w:rPr>
        <w:t xml:space="preserve">多目标校准</w:t>
      </w:r>
    </w:p>
    <w:p>
      <w:pPr>
        <w:pStyle w:val="FirstParagraph"/>
      </w:pPr>
      <w:r>
        <w:rPr>
          <w:rFonts w:hint="eastAsia"/>
        </w:rPr>
        <w:t xml:space="preserve">本文采用多目标校准函数，同时约束总体</w:t>
      </w:r>
      <w:r>
        <w:t xml:space="preserve"> </w:t>
      </w:r>
      <w:r>
        <w:rPr>
          <w:rFonts w:hint="eastAsia"/>
        </w:rPr>
        <w:t xml:space="preserve">RMSE、峰值、末日价格和局部阶段解释能力。设</w:t>
      </w:r>
      <w:r>
        <w:t xml:space="preserve"> </w:t>
      </w:r>
      <m:oMath>
        <m:r>
          <m:t>θ</m:t>
        </m:r>
      </m:oMath>
      <w:r>
        <w:t xml:space="preserve"> </w:t>
      </w:r>
      <w:r>
        <w:rPr>
          <w:rFonts w:hint="eastAsia"/>
        </w:rPr>
        <w:t xml:space="preserve">表示需要校准的参数向量，</w:t>
      </w:r>
      <m:oMath>
        <m:r>
          <m:rPr>
            <m:sty m:val="p"/>
          </m:rPr>
          <m:t>Θ</m:t>
        </m:r>
      </m:oMath>
      <w:r>
        <w:t xml:space="preserve"> </w:t>
      </w:r>
      <w:r>
        <w:rPr>
          <w:rFonts w:hint="eastAsia"/>
        </w:rPr>
        <w:t xml:space="preserve">为由赛题范围、物理上限和行为参数边界共同构成的可行域，则参数估计写为</w:t>
      </w:r>
    </w:p>
    <w:p>
      <w:pPr>
        <w:pStyle w:val="BodyText"/>
      </w:pPr>
      <m:oMathPara>
        <m:oMathParaPr>
          <m:jc m:val="center"/>
        </m:oMathParaPr>
        <m:oMath>
          <m:acc>
            <m:accPr>
              <m:chr m:val="̂"/>
            </m:accPr>
            <m:e>
              <m:r>
                <m:t>θ</m:t>
              </m:r>
            </m:e>
          </m:acc>
          <m:r>
            <m:rPr>
              <m:sty m:val="p"/>
            </m:rPr>
            <m:t>=</m:t>
          </m:r>
          <m:r>
            <m:rPr>
              <m:sty m:val="p"/>
            </m:rPr>
            <m:t>arg</m:t>
          </m:r>
          <m:limLow>
            <m:e>
              <m:r>
                <m:rPr>
                  <m:sty m:val="p"/>
                </m:rPr>
                <m:t>min</m:t>
              </m:r>
            </m:e>
            <m:lim>
              <m:r>
                <m:t>θ</m:t>
              </m:r>
              <m:r>
                <m:rPr>
                  <m:sty m:val="p"/>
                </m:rPr>
                <m:t>∈</m:t>
              </m:r>
              <m:r>
                <m:rPr>
                  <m:sty m:val="p"/>
                </m:rPr>
                <m:t>Θ</m:t>
              </m:r>
            </m:lim>
          </m:limLow>
          <m:r>
            <m:rPr>
              <m:scr m:val="script"/>
              <m:sty m:val="p"/>
            </m:rPr>
            <m:t>L</m:t>
          </m:r>
          <m:r>
            <m:rPr>
              <m:sty m:val="p"/>
            </m:rPr>
            <m:t>(</m:t>
          </m:r>
          <m:r>
            <m:t>θ</m:t>
          </m:r>
          <m:r>
            <m:rPr>
              <m:sty m:val="p"/>
            </m:rPr>
            <m:t>)</m:t>
          </m:r>
          <m:r>
            <m:rPr>
              <m:sty m:val="p"/>
            </m:rPr>
            <m:t>.</m:t>
          </m:r>
        </m:oMath>
      </m:oMathPara>
    </w:p>
    <w:p>
      <w:pPr>
        <w:pStyle w:val="FirstParagraph"/>
      </w:pPr>
      <w:r>
        <w:rPr>
          <w:rFonts w:hint="eastAsia"/>
        </w:rPr>
        <w:t xml:space="preserve">其中</w:t>
      </w:r>
      <w:r>
        <w:t xml:space="preserve"> </w:t>
      </w:r>
      <m:oMath>
        <m:r>
          <m:rPr>
            <m:sty m:val="p"/>
          </m:rPr>
          <m:t>Θ</m:t>
        </m:r>
      </m:oMath>
      <w:r>
        <w:t xml:space="preserve"> </w:t>
      </w:r>
      <w:r>
        <w:rPr>
          <w:rFonts w:hint="eastAsia"/>
        </w:rPr>
        <w:t xml:space="preserve">对</w:t>
      </w:r>
      <w:r>
        <w:t xml:space="preserve"> SPR </w:t>
      </w:r>
      <w:r>
        <w:rPr>
          <w:rFonts w:hint="eastAsia"/>
        </w:rPr>
        <w:t xml:space="preserve">上限、绕道能力、库存日释放、供应中断范围和弹性区间施加硬约束；行为参数只允许在经济含义一致的范围内搜索。目标函数为</w:t>
      </w:r>
    </w:p>
    <w:p>
      <w:pPr>
        <w:pStyle w:val="BodyText"/>
      </w:pPr>
      <m:oMathPara>
        <m:oMathParaPr>
          <m:jc m:val="center"/>
        </m:oMathParaPr>
        <m:oMath>
          <m:eqArr>
            <m:e>
              <m:r>
                <m:rPr>
                  <m:scr m:val="script"/>
                  <m:sty m:val="p"/>
                </m:rPr>
                <m:t>L</m:t>
              </m:r>
              <m:r>
                <m:rPr>
                  <m:sty m:val="p"/>
                </m:rPr>
                <m:t>(</m:t>
              </m:r>
              <m:r>
                <m:t>θ</m:t>
              </m:r>
              <m:r>
                <m:rPr>
                  <m:sty m:val="p"/>
                </m:rPr>
                <m:t>)</m:t>
              </m:r>
              <m:r>
                <m:rPr>
                  <m:sty m:val="p"/>
                </m:rPr>
                <m:t>=</m:t>
              </m:r>
              <m:r>
                <m:t>​</m:t>
              </m:r>
              <m:r>
                <m:t>&amp;</m:t>
              </m:r>
              <m:r>
                <m:rPr>
                  <m:sty m:val="p"/>
                </m:rPr>
                <m:t>R</m:t>
              </m:r>
              <m:r>
                <m:rPr>
                  <m:sty m:val="p"/>
                </m:rPr>
                <m:t>M</m:t>
              </m:r>
              <m:r>
                <m:rPr>
                  <m:sty m:val="p"/>
                </m:rPr>
                <m:t>S</m:t>
              </m:r>
              <m:r>
                <m:rPr>
                  <m:sty m:val="p"/>
                </m:rPr>
                <m:t>E</m:t>
              </m:r>
              <m:r>
                <m:rPr>
                  <m:sty m:val="p"/>
                </m:rPr>
                <m:t>+</m:t>
              </m:r>
              <m:r>
                <m:t>0.20</m:t>
              </m:r>
              <m:r>
                <m:rPr>
                  <m:sty m:val="p"/>
                </m:rPr>
                <m:t>|</m:t>
              </m:r>
              <m:r>
                <m:rPr>
                  <m:sty m:val="p"/>
                </m:rPr>
                <m:t>Δ</m:t>
              </m:r>
              <m:sSub>
                <m:e>
                  <m:r>
                    <m:t>P</m:t>
                  </m:r>
                </m:e>
                <m:sub>
                  <m:r>
                    <m:rPr>
                      <m:sty m:val="p"/>
                    </m:rPr>
                    <m:t>p</m:t>
                  </m:r>
                  <m:r>
                    <m:rPr>
                      <m:sty m:val="p"/>
                    </m:rPr>
                    <m:t>e</m:t>
                  </m:r>
                  <m:r>
                    <m:rPr>
                      <m:sty m:val="p"/>
                    </m:rPr>
                    <m:t>a</m:t>
                  </m:r>
                  <m:r>
                    <m:rPr>
                      <m:sty m:val="p"/>
                    </m:rPr>
                    <m:t>k</m:t>
                  </m:r>
                </m:sub>
              </m:sSub>
              <m:r>
                <m:rPr>
                  <m:sty m:val="p"/>
                </m:rPr>
                <m:t>|</m:t>
              </m:r>
              <m:r>
                <m:rPr>
                  <m:sty m:val="p"/>
                </m:rPr>
                <m:t>+</m:t>
              </m:r>
              <m:r>
                <m:t>0.25</m:t>
              </m:r>
              <m:r>
                <m:rPr>
                  <m:sty m:val="p"/>
                </m:rPr>
                <m:t>|</m:t>
              </m:r>
              <m:r>
                <m:rPr>
                  <m:sty m:val="p"/>
                </m:rPr>
                <m:t>Δ</m:t>
              </m:r>
              <m:sSub>
                <m:e>
                  <m:r>
                    <m:t>P</m:t>
                  </m:r>
                </m:e>
                <m:sub>
                  <m:r>
                    <m:rPr>
                      <m:sty m:val="p"/>
                    </m:rPr>
                    <m:t>f</m:t>
                  </m:r>
                  <m:r>
                    <m:rPr>
                      <m:sty m:val="p"/>
                    </m:rPr>
                    <m:t>i</m:t>
                  </m:r>
                  <m:r>
                    <m:rPr>
                      <m:sty m:val="p"/>
                    </m:rPr>
                    <m:t>n</m:t>
                  </m:r>
                  <m:r>
                    <m:rPr>
                      <m:sty m:val="p"/>
                    </m:rPr>
                    <m:t>a</m:t>
                  </m:r>
                  <m:r>
                    <m:rPr>
                      <m:sty m:val="p"/>
                    </m:rPr>
                    <m:t>l</m:t>
                  </m:r>
                </m:sub>
              </m:sSub>
              <m:r>
                <m:rPr>
                  <m:sty m:val="p"/>
                </m:rPr>
                <m:t>|</m:t>
              </m:r>
            </m:e>
            <m:e>
              <m:r>
                <m:t>&amp;</m:t>
              </m:r>
              <m:r>
                <m:rPr>
                  <m:sty m:val="p"/>
                </m:rPr>
                <m:t>+</m:t>
              </m:r>
              <m:r>
                <m:t>0.15</m:t>
              </m:r>
              <m:sSub>
                <m:e>
                  <m:r>
                    <m:rPr>
                      <m:sty m:val="p"/>
                    </m:rPr>
                    <m:t>R</m:t>
                  </m:r>
                  <m:r>
                    <m:rPr>
                      <m:sty m:val="p"/>
                    </m:rPr>
                    <m:t>M</m:t>
                  </m:r>
                  <m:r>
                    <m:rPr>
                      <m:sty m:val="p"/>
                    </m:rPr>
                    <m:t>S</m:t>
                  </m:r>
                  <m:r>
                    <m:rPr>
                      <m:sty m:val="p"/>
                    </m:rPr>
                    <m:t>E</m:t>
                  </m:r>
                </m:e>
                <m:sub>
                  <m:r>
                    <m:rPr>
                      <m:sty m:val="p"/>
                    </m:rPr>
                    <m:t>h</m:t>
                  </m:r>
                  <m:r>
                    <m:rPr>
                      <m:sty m:val="p"/>
                    </m:rPr>
                    <m:t>i</m:t>
                  </m:r>
                  <m:r>
                    <m:rPr>
                      <m:sty m:val="p"/>
                    </m:rPr>
                    <m:t>g</m:t>
                  </m:r>
                  <m:r>
                    <m:rPr>
                      <m:sty m:val="p"/>
                    </m:rPr>
                    <m:t>h</m:t>
                  </m:r>
                </m:sub>
              </m:sSub>
              <m:r>
                <m:rPr>
                  <m:sty m:val="p"/>
                </m:rPr>
                <m:t>+</m:t>
              </m:r>
              <m:r>
                <m:t>0.12</m:t>
              </m:r>
              <m:sSub>
                <m:e>
                  <m:r>
                    <m:rPr>
                      <m:sty m:val="p"/>
                    </m:rPr>
                    <m:t>R</m:t>
                  </m:r>
                  <m:r>
                    <m:rPr>
                      <m:sty m:val="p"/>
                    </m:rPr>
                    <m:t>M</m:t>
                  </m:r>
                  <m:r>
                    <m:rPr>
                      <m:sty m:val="p"/>
                    </m:rPr>
                    <m:t>S</m:t>
                  </m:r>
                  <m:r>
                    <m:rPr>
                      <m:sty m:val="p"/>
                    </m:rPr>
                    <m:t>E</m:t>
                  </m:r>
                </m:e>
                <m:sub>
                  <m:r>
                    <m:rPr>
                      <m:sty m:val="p"/>
                    </m:rPr>
                    <m:t>e</m:t>
                  </m:r>
                  <m:r>
                    <m:rPr>
                      <m:sty m:val="p"/>
                    </m:rPr>
                    <m:t>a</m:t>
                  </m:r>
                  <m:r>
                    <m:rPr>
                      <m:sty m:val="p"/>
                    </m:rPr>
                    <m:t>r</m:t>
                  </m:r>
                  <m:r>
                    <m:rPr>
                      <m:sty m:val="p"/>
                    </m:rPr>
                    <m:t>l</m:t>
                  </m:r>
                  <m:r>
                    <m:rPr>
                      <m:sty m:val="p"/>
                    </m:rPr>
                    <m:t>y</m:t>
                  </m:r>
                </m:sub>
              </m:sSub>
              <m:r>
                <m:rPr>
                  <m:sty m:val="p"/>
                </m:rPr>
                <m:t>+</m:t>
              </m:r>
              <m:r>
                <m:t>0.12</m:t>
              </m:r>
              <m:sSub>
                <m:e>
                  <m:r>
                    <m:rPr>
                      <m:sty m:val="p"/>
                    </m:rPr>
                    <m:t>R</m:t>
                  </m:r>
                  <m:r>
                    <m:rPr>
                      <m:sty m:val="p"/>
                    </m:rPr>
                    <m:t>M</m:t>
                  </m:r>
                  <m:r>
                    <m:rPr>
                      <m:sty m:val="p"/>
                    </m:rPr>
                    <m:t>S</m:t>
                  </m:r>
                  <m:r>
                    <m:rPr>
                      <m:sty m:val="p"/>
                    </m:rPr>
                    <m:t>E</m:t>
                  </m:r>
                </m:e>
                <m:sub>
                  <m:r>
                    <m:rPr>
                      <m:sty m:val="p"/>
                    </m:rPr>
                    <m:t>m</m:t>
                  </m:r>
                  <m:r>
                    <m:rPr>
                      <m:sty m:val="p"/>
                    </m:rPr>
                    <m:t>i</m:t>
                  </m:r>
                  <m:r>
                    <m:rPr>
                      <m:sty m:val="p"/>
                    </m:rPr>
                    <m:t>d</m:t>
                  </m:r>
                </m:sub>
              </m:sSub>
            </m:e>
            <m:e>
              <m:r>
                <m:t>&amp;</m:t>
              </m:r>
              <m:r>
                <m:rPr>
                  <m:sty m:val="p"/>
                </m:rPr>
                <m:t>+</m:t>
              </m:r>
              <m:r>
                <m:t>0.18</m:t>
              </m:r>
              <m:sSub>
                <m:e>
                  <m:r>
                    <m:rPr>
                      <m:sty m:val="p"/>
                    </m:rPr>
                    <m:t>R</m:t>
                  </m:r>
                  <m:r>
                    <m:rPr>
                      <m:sty m:val="p"/>
                    </m:rPr>
                    <m:t>M</m:t>
                  </m:r>
                  <m:r>
                    <m:rPr>
                      <m:sty m:val="p"/>
                    </m:rPr>
                    <m:t>S</m:t>
                  </m:r>
                  <m:r>
                    <m:rPr>
                      <m:sty m:val="p"/>
                    </m:rPr>
                    <m:t>E</m:t>
                  </m:r>
                </m:e>
                <m:sub>
                  <m:r>
                    <m:rPr>
                      <m:sty m:val="p"/>
                    </m:rPr>
                    <m:t>l</m:t>
                  </m:r>
                  <m:r>
                    <m:rPr>
                      <m:sty m:val="p"/>
                    </m:rPr>
                    <m:t>a</m:t>
                  </m:r>
                  <m:r>
                    <m:rPr>
                      <m:sty m:val="p"/>
                    </m:rPr>
                    <m:t>t</m:t>
                  </m:r>
                  <m:r>
                    <m:rPr>
                      <m:sty m:val="p"/>
                    </m:rPr>
                    <m:t>e</m:t>
                  </m:r>
                </m:sub>
              </m:sSub>
              <m:r>
                <m:rPr>
                  <m:sty m:val="p"/>
                </m:rPr>
                <m:t>+</m:t>
              </m:r>
              <m:r>
                <m:t>0.18</m:t>
              </m:r>
              <m:sSub>
                <m:e>
                  <m:r>
                    <m:rPr>
                      <m:sty m:val="p"/>
                    </m:rPr>
                    <m:t>R</m:t>
                  </m:r>
                  <m:r>
                    <m:rPr>
                      <m:sty m:val="p"/>
                    </m:rPr>
                    <m:t>M</m:t>
                  </m:r>
                  <m:r>
                    <m:rPr>
                      <m:sty m:val="p"/>
                    </m:rPr>
                    <m:t>S</m:t>
                  </m:r>
                  <m:r>
                    <m:rPr>
                      <m:sty m:val="p"/>
                    </m:rPr>
                    <m:t>E</m:t>
                  </m:r>
                </m:e>
                <m:sub>
                  <m:r>
                    <m:rPr>
                      <m:sty m:val="p"/>
                    </m:rPr>
                    <m:t>l</m:t>
                  </m:r>
                  <m:r>
                    <m:rPr>
                      <m:sty m:val="p"/>
                    </m:rPr>
                    <m:t>o</m:t>
                  </m:r>
                  <m:r>
                    <m:rPr>
                      <m:sty m:val="p"/>
                    </m:rPr>
                    <m:t>w</m:t>
                  </m:r>
                </m:sub>
              </m:sSub>
              <m:r>
                <m:rPr>
                  <m:sty m:val="p"/>
                </m:rPr>
                <m:t>.</m:t>
              </m:r>
            </m:e>
          </m:eqArr>
        </m:oMath>
      </m:oMathPara>
    </w:p>
    <w:p>
      <w:pPr>
        <w:pStyle w:val="FirstParagraph"/>
      </w:pPr>
      <w:r>
        <w:rPr>
          <w:rFonts w:hint="eastAsia"/>
        </w:rPr>
        <w:t xml:space="preserve">这里</w:t>
      </w:r>
      <w:r>
        <w:t xml:space="preserve"> </w:t>
      </w:r>
      <m:oMath>
        <m:r>
          <m:rPr>
            <m:sty m:val="p"/>
          </m:rPr>
          <m:t>Δ</m:t>
        </m:r>
        <m:sSub>
          <m:e>
            <m:r>
              <m:t>P</m:t>
            </m:r>
          </m:e>
          <m:sub>
            <m:r>
              <m:rPr>
                <m:sty m:val="p"/>
              </m:rPr>
              <m:t>p</m:t>
            </m:r>
            <m:r>
              <m:rPr>
                <m:sty m:val="p"/>
              </m:rPr>
              <m:t>e</m:t>
            </m:r>
            <m:r>
              <m:rPr>
                <m:sty m:val="p"/>
              </m:rPr>
              <m:t>a</m:t>
            </m:r>
            <m:r>
              <m:rPr>
                <m:sty m:val="p"/>
              </m:rPr>
              <m:t>k</m:t>
            </m:r>
          </m:sub>
        </m:sSub>
      </m:oMath>
      <w:r>
        <w:t xml:space="preserve"> </w:t>
      </w:r>
      <w:r>
        <w:rPr>
          <w:rFonts w:hint="eastAsia"/>
        </w:rPr>
        <w:t xml:space="preserve">与</w:t>
      </w:r>
      <w:r>
        <w:t xml:space="preserve"> </w:t>
      </w:r>
      <m:oMath>
        <m:r>
          <m:rPr>
            <m:sty m:val="p"/>
          </m:rPr>
          <m:t>Δ</m:t>
        </m:r>
        <m:sSub>
          <m:e>
            <m:r>
              <m:t>P</m:t>
            </m:r>
          </m:e>
          <m:sub>
            <m:r>
              <m:rPr>
                <m:sty m:val="p"/>
              </m:rPr>
              <m:t>f</m:t>
            </m:r>
            <m:r>
              <m:rPr>
                <m:sty m:val="p"/>
              </m:rPr>
              <m:t>i</m:t>
            </m:r>
            <m:r>
              <m:rPr>
                <m:sty m:val="p"/>
              </m:rPr>
              <m:t>n</m:t>
            </m:r>
            <m:r>
              <m:rPr>
                <m:sty m:val="p"/>
              </m:rPr>
              <m:t>a</m:t>
            </m:r>
            <m:r>
              <m:rPr>
                <m:sty m:val="p"/>
              </m:rPr>
              <m:t>l</m:t>
            </m:r>
          </m:sub>
        </m:sSub>
      </m:oMath>
      <w:r>
        <w:t xml:space="preserve"> </w:t>
      </w:r>
      <w:r>
        <w:rPr>
          <w:rFonts w:hint="eastAsia"/>
        </w:rPr>
        <w:t xml:space="preserve">分别表示模拟峰值和期末价格相对附件真实价格的偏差；分段</w:t>
      </w:r>
      <w:r>
        <w:t xml:space="preserve"> RMSE </w:t>
      </w:r>
      <w:r>
        <w:rPr>
          <w:rFonts w:hint="eastAsia"/>
        </w:rPr>
        <w:t xml:space="preserve">用于避免仅降低全窗口误差而牺牲前期冲击、高位平台或后期再定价解释能力。</w:t>
      </w:r>
    </w:p>
    <w:p>
      <w:pPr>
        <w:pStyle w:val="BodyText"/>
      </w:pPr>
      <w:r>
        <w:rPr>
          <w:rFonts w:hint="eastAsia"/>
        </w:rPr>
        <w:t xml:space="preserve">校准过程包括</w:t>
      </w:r>
      <w:r>
        <w:t xml:space="preserve"> 36000 </w:t>
      </w:r>
      <w:r>
        <w:rPr>
          <w:rFonts w:hint="eastAsia"/>
        </w:rPr>
        <w:t xml:space="preserve">组固定种子随机搜索、差分进化连续精修、800</w:t>
      </w:r>
      <w:r>
        <w:t xml:space="preserve"> </w:t>
      </w:r>
      <w:r>
        <w:rPr>
          <w:rFonts w:hint="eastAsia"/>
        </w:rPr>
        <w:t xml:space="preserve">组局部稳健性复核以及</w:t>
      </w:r>
      <w:r>
        <w:t xml:space="preserve"> 60000 </w:t>
      </w:r>
      <w:r>
        <w:rPr>
          <w:rFonts w:hint="eastAsia"/>
        </w:rPr>
        <w:t xml:space="preserve">组拟合质量精修。所有精修均在既有模型结构内完成，不新增额外机制项。多组候选参数仅用于筛选稳定解，正文不展开逐一比较。</w:t>
      </w:r>
    </w:p>
    <w:p>
      <w:pPr>
        <w:pStyle w:val="BodyText"/>
      </w:pPr>
      <w:r>
        <w:t xml:space="preserve">l S[table-format=4.3] l S[table-format=3.3]</w:t>
      </w:r>
      <w:r>
        <w:t xml:space="preserve"> </w:t>
      </w:r>
      <w:r>
        <w:rPr>
          <w:rFonts w:hint="eastAsia"/>
        </w:rPr>
        <w:t xml:space="preserve">参数</w:t>
      </w:r>
      <w:r>
        <w:t xml:space="preserve"> &amp;</w:t>
      </w:r>
      <w:r>
        <w:t xml:space="preserve"> </w:t>
      </w:r>
      <w:r>
        <w:rPr>
          <w:rFonts w:hint="eastAsia"/>
        </w:rPr>
        <w:t xml:space="preserve">数值</w:t>
      </w:r>
      <w:r>
        <w:t xml:space="preserve"> </w:t>
      </w:r>
      <w:r>
        <w:t xml:space="preserve">&amp; </w:t>
      </w:r>
      <w:r>
        <w:rPr>
          <w:rFonts w:hint="eastAsia"/>
        </w:rPr>
        <w:t xml:space="preserve">参数</w:t>
      </w:r>
      <w:r>
        <w:t xml:space="preserve"> &amp;</w:t>
      </w:r>
      <w:r>
        <w:t xml:space="preserve"> </w:t>
      </w:r>
      <w:r>
        <w:rPr>
          <w:rFonts w:hint="eastAsia"/>
        </w:rPr>
        <w:t xml:space="preserve">数值</w:t>
      </w:r>
      <w:r>
        <w:br/>
      </w:r>
      <w:r>
        <w:rPr>
          <w:rFonts w:hint="eastAsia"/>
        </w:rPr>
        <w:t xml:space="preserve">供应中断量</w:t>
      </w:r>
      <w:r>
        <w:t xml:space="preserve"> &amp; 1493 &amp; SPR </w:t>
      </w:r>
      <w:r>
        <w:rPr>
          <w:rFonts w:hint="eastAsia"/>
        </w:rPr>
        <w:t xml:space="preserve">释放上限</w:t>
      </w:r>
      <w:r>
        <w:t xml:space="preserve"> &amp; 670</w:t>
      </w:r>
      <w:r>
        <w:br/>
      </w:r>
      <w:r>
        <w:t xml:space="preserve">SPR </w:t>
      </w:r>
      <w:r>
        <w:rPr>
          <w:rFonts w:hint="eastAsia"/>
        </w:rPr>
        <w:t xml:space="preserve">启动延迟</w:t>
      </w:r>
      <w:r>
        <w:t xml:space="preserve"> &amp; 3 &amp; </w:t>
      </w:r>
      <w:r>
        <w:rPr>
          <w:rFonts w:hint="eastAsia"/>
        </w:rPr>
        <w:t xml:space="preserve">绕道启动日</w:t>
      </w:r>
      <w:r>
        <w:t xml:space="preserve"> &amp; 8</w:t>
      </w:r>
      <w:r>
        <w:br/>
      </w:r>
      <w:r>
        <w:rPr>
          <w:rFonts w:hint="eastAsia"/>
        </w:rPr>
        <w:t xml:space="preserve">绕道能力上限</w:t>
      </w:r>
      <w:r>
        <w:t xml:space="preserve"> &amp; 237 &amp; </w:t>
      </w:r>
      <w:r>
        <w:rPr>
          <w:rFonts w:hint="eastAsia"/>
        </w:rPr>
        <w:t xml:space="preserve">长期需求弹性</w:t>
      </w:r>
      <w:r>
        <w:t xml:space="preserve"> &amp; -0.25</w:t>
      </w:r>
      <w:r>
        <w:br/>
      </w:r>
      <w:r>
        <w:rPr>
          <w:rFonts w:hint="eastAsia"/>
        </w:rPr>
        <w:t xml:space="preserve">恐慌初始强度</w:t>
      </w:r>
      <w:r>
        <w:t xml:space="preserve"> &amp; 0.12 &amp; </w:t>
      </w:r>
      <w:r>
        <w:rPr>
          <w:rFonts w:hint="eastAsia"/>
        </w:rPr>
        <w:t xml:space="preserve">恐慌衰减速度</w:t>
      </w:r>
      <w:r>
        <w:t xml:space="preserve"> &amp; 0.11</w:t>
      </w:r>
      <w:r>
        <w:br/>
      </w:r>
      <w:r>
        <w:rPr>
          <w:rFonts w:hint="eastAsia"/>
        </w:rPr>
        <w:t xml:space="preserve">库存日缓冲上限</w:t>
      </w:r>
      <w:r>
        <w:t xml:space="preserve"> &amp; 250 &amp; </w:t>
      </w:r>
      <w:r>
        <w:rPr>
          <w:rFonts w:hint="eastAsia"/>
        </w:rPr>
        <w:t xml:space="preserve">价格传导系数</w:t>
      </w:r>
      <w:r>
        <w:t xml:space="preserve"> </w:t>
      </w:r>
      <m:oMath>
        <m:r>
          <m:t>ϕ</m:t>
        </m:r>
      </m:oMath>
      <w:r>
        <w:t xml:space="preserve"> </w:t>
      </w:r>
      <w:r>
        <w:t xml:space="preserve">&amp; 0.028</w:t>
      </w:r>
      <w:r>
        <w:br/>
      </w:r>
      <w:r>
        <w:rPr>
          <w:rFonts w:hint="eastAsia"/>
        </w:rPr>
        <w:t xml:space="preserve">调整速度</w:t>
      </w:r>
      <w:r>
        <w:t xml:space="preserve"> </w:t>
      </w:r>
      <m:oMath>
        <m:r>
          <m:t>v</m:t>
        </m:r>
      </m:oMath>
      <w:r>
        <w:t xml:space="preserve"> </w:t>
      </w:r>
      <w:r>
        <w:t xml:space="preserve">&amp; 0.344 &amp; </w:t>
      </w:r>
      <w:r>
        <w:rPr>
          <w:rFonts w:hint="eastAsia"/>
        </w:rPr>
        <w:t xml:space="preserve">风险权重</w:t>
      </w:r>
      <w:r>
        <w:t xml:space="preserve"> </w:t>
      </w:r>
      <m:oMath>
        <m:r>
          <m:t>β</m:t>
        </m:r>
      </m:oMath>
      <w:r>
        <w:t xml:space="preserve"> </w:t>
      </w:r>
      <w:r>
        <w:t xml:space="preserve">&amp; 2.462</w:t>
      </w:r>
      <w:r>
        <w:br/>
      </w:r>
      <w:r>
        <w:rPr>
          <w:rFonts w:hint="eastAsia"/>
        </w:rPr>
        <w:t xml:space="preserve">不确定性/制度风险强度</w:t>
      </w:r>
      <w:r>
        <w:t xml:space="preserve"> &amp; 0.247 &amp; </w:t>
      </w:r>
      <w:r>
        <w:rPr>
          <w:rFonts w:hint="eastAsia"/>
        </w:rPr>
        <w:t xml:space="preserve">库存响应系数</w:t>
      </w:r>
      <w:r>
        <w:t xml:space="preserve"> &amp; 0.666</w:t>
      </w:r>
      <w:r>
        <w:br/>
      </w:r>
      <w:r>
        <w:rPr>
          <w:rFonts w:hint="eastAsia"/>
        </w:rPr>
        <w:t xml:space="preserve">缓冲确认强度</w:t>
      </w:r>
      <w:r>
        <w:t xml:space="preserve"> &amp; 0.220 &amp; </w:t>
      </w:r>
      <w:r>
        <w:rPr>
          <w:rFonts w:hint="eastAsia"/>
        </w:rPr>
        <w:t xml:space="preserve">预期修复强度</w:t>
      </w:r>
      <w:r>
        <w:t xml:space="preserve"> &amp; 0.240</w:t>
      </w:r>
      <w:r>
        <w:br/>
      </w:r>
    </w:p>
    <w:p>
      <w:pPr>
        <w:pStyle w:val="BodyText"/>
      </w:pPr>
      <w:r>
        <w:rPr>
          <w:rFonts w:hint="eastAsia"/>
        </w:rPr>
        <w:t xml:space="preserve">注：供应中断量、SPR</w:t>
      </w:r>
      <w:r>
        <w:t xml:space="preserve"> </w:t>
      </w:r>
      <w:r>
        <w:rPr>
          <w:rFonts w:hint="eastAsia"/>
        </w:rPr>
        <w:t xml:space="preserve">释放上限、绕道能力上限和库存日缓冲上限的单位为万桶/日；其余无量纲参数用于刻画行为强度、调整速度或弹性。</w:t>
      </w:r>
    </w:p>
    <w:p>
      <w:pPr>
        <w:pStyle w:val="BodyText"/>
      </w:pPr>
      <w:r>
        <w:rPr>
          <w:rFonts w:hint="eastAsia"/>
        </w:rPr>
        <w:t xml:space="preserve">表中参数可分为两类理解：供应中断量、SPR</w:t>
      </w:r>
      <w:r>
        <w:t xml:space="preserve"> </w:t>
      </w:r>
      <w:r>
        <w:rPr>
          <w:rFonts w:hint="eastAsia"/>
        </w:rPr>
        <w:t xml:space="preserve">上限、绕道能力、库存缓冲和需求弹性受题面范围约束；风险权重、价格调整速度、缓冲确认和预期修复强度属于行为价格形成参数，必须依赖数据校准和鲁棒性检验。本文后续所有模型评价均围绕这一区分展开，校准参数只在相应机制语境下解释。</w:t>
      </w:r>
    </w:p>
    <w:p>
      <w:pPr>
        <w:pStyle w:val="BodyText"/>
      </w:pPr>
      <w:r>
        <w:rPr>
          <w:rFonts w:hint="eastAsia"/>
        </w:rPr>
        <w:t xml:space="preserve">其中，供应中断量</w:t>
      </w:r>
      <w:r>
        <w:t xml:space="preserve"> 1493 </w:t>
      </w:r>
      <w:r>
        <w:rPr>
          <w:rFonts w:hint="eastAsia"/>
        </w:rPr>
        <w:t xml:space="preserve">万桶/日是在赛题给定中断范围内由短期冲突窗口校准得到的中心情景值，不等同于官方观测到的实际中断量。本文将其作为模型参数使用，并在长期乐观、中性、悲观情景以及蒙特卡洛抽样中覆盖</w:t>
      </w:r>
      <w:r>
        <w:t xml:space="preserve"> 1400–1800 </w:t>
      </w:r>
      <w:r>
        <w:rPr>
          <w:rFonts w:hint="eastAsia"/>
        </w:rPr>
        <w:t xml:space="preserve">万桶/日的扰动区间。</w:t>
      </w:r>
    </w:p>
    <w:bookmarkEnd w:id="45"/>
    <w:bookmarkStart w:id="53" w:name="拟合结果"/>
    <w:p>
      <w:pPr>
        <w:pStyle w:val="Heading3"/>
      </w:pPr>
      <w:r>
        <w:rPr>
          <w:rFonts w:hint="eastAsia"/>
        </w:rPr>
        <w:t xml:space="preserve">拟合结果</w:t>
      </w:r>
    </w:p>
    <w:p>
      <w:pPr>
        <w:pStyle w:val="FirstParagraph"/>
      </w:pPr>
      <w:r>
        <w:rPr>
          <w:rFonts w:hint="eastAsia"/>
        </w:rPr>
        <w:t xml:space="preserve">短期冲击模型在冲突窗口内取得</w:t>
      </w:r>
      <w:r>
        <w:t xml:space="preserve"> RMSE </w:t>
      </w:r>
      <w:r>
        <w:rPr>
          <w:rFonts w:hint="eastAsia"/>
        </w:rPr>
        <w:t xml:space="preserve">为</w:t>
      </w:r>
      <w:r>
        <w:t xml:space="preserve"> 3.38 </w:t>
      </w:r>
      <w:r>
        <w:rPr>
          <w:rFonts w:hint="eastAsia"/>
        </w:rPr>
        <w:t xml:space="preserve">美元/桶、MAE</w:t>
      </w:r>
      <w:r>
        <w:t xml:space="preserve"> </w:t>
      </w:r>
      <w:r>
        <w:rPr>
          <w:rFonts w:hint="eastAsia"/>
        </w:rPr>
        <w:t xml:space="preserve">为</w:t>
      </w:r>
      <w:r>
        <w:t xml:space="preserve"> 2.76 </w:t>
      </w:r>
      <w:r>
        <w:rPr>
          <w:rFonts w:hint="eastAsia"/>
        </w:rPr>
        <w:t xml:space="preserve">美元/桶。模拟峰值为</w:t>
      </w:r>
      <w:r>
        <w:t xml:space="preserve"> 110.32 </w:t>
      </w:r>
      <w:r>
        <w:rPr>
          <w:rFonts w:hint="eastAsia"/>
        </w:rPr>
        <w:t xml:space="preserve">美元/桶，实际最高收盘价为</w:t>
      </w:r>
      <w:r>
        <w:t xml:space="preserve"> 114.06 </w:t>
      </w:r>
      <w:r>
        <w:rPr>
          <w:rFonts w:hint="eastAsia"/>
        </w:rPr>
        <w:t xml:space="preserve">美元/桶，峰值低估</w:t>
      </w:r>
      <w:r>
        <w:t xml:space="preserve"> 3.74 </w:t>
      </w:r>
      <w:r>
        <w:rPr>
          <w:rFonts w:hint="eastAsia"/>
        </w:rPr>
        <w:t xml:space="preserve">美元/桶；末日模拟价格为</w:t>
      </w:r>
      <w:r>
        <w:t xml:space="preserve"> 110.32 </w:t>
      </w:r>
      <w:r>
        <w:rPr>
          <w:rFonts w:hint="eastAsia"/>
        </w:rPr>
        <w:t xml:space="preserve">美元/桶，实际末日价格为</w:t>
      </w:r>
      <w:r>
        <w:t xml:space="preserve"> 110.31 </w:t>
      </w:r>
      <w:r>
        <w:rPr>
          <w:rFonts w:hint="eastAsia"/>
        </w:rPr>
        <w:t xml:space="preserve">美元/桶，末日误差仅为</w:t>
      </w:r>
      <w:r>
        <w:t xml:space="preserve"> 0.01 </w:t>
      </w:r>
      <w:r>
        <w:rPr>
          <w:rFonts w:hint="eastAsia"/>
        </w:rPr>
        <w:t xml:space="preserve">美元/桶。在此基础上，本文只在高位平台形成和中期再定价回落两个薄弱窗口启用低自由度</w:t>
      </w:r>
      <w:r>
        <w:t xml:space="preserve"> Ridge </w:t>
      </w:r>
      <w:r>
        <w:rPr>
          <w:rFonts w:hint="eastAsia"/>
        </w:rPr>
        <w:t xml:space="preserve">收益率修正，得到短期冲击模型增强路径，RMSE</w:t>
      </w:r>
      <w:r>
        <w:t xml:space="preserve"> </w:t>
      </w:r>
      <w:r>
        <w:rPr>
          <w:rFonts w:hint="eastAsia"/>
        </w:rPr>
        <w:t xml:space="preserve">降至</w:t>
      </w:r>
      <w:r>
        <w:t xml:space="preserve"> 3.18 </w:t>
      </w:r>
      <w:r>
        <w:rPr>
          <w:rFonts w:hint="eastAsia"/>
        </w:rPr>
        <w:t xml:space="preserve">美元/桶、MAE</w:t>
      </w:r>
      <w:r>
        <w:t xml:space="preserve"> </w:t>
      </w:r>
      <w:r>
        <w:rPr>
          <w:rFonts w:hint="eastAsia"/>
        </w:rPr>
        <w:t xml:space="preserve">降至</w:t>
      </w:r>
      <w:r>
        <w:t xml:space="preserve"> 2.69 </w:t>
      </w:r>
      <w:r>
        <w:rPr>
          <w:rFonts w:hint="eastAsia"/>
        </w:rPr>
        <w:t xml:space="preserve">美元/桶、MAPE</w:t>
      </w:r>
      <w:r>
        <w:t xml:space="preserve"> </w:t>
      </w:r>
      <w:r>
        <w:rPr>
          <w:rFonts w:hint="eastAsia"/>
        </w:rPr>
        <w:t xml:space="preserve">为</w:t>
      </w:r>
      <w:r>
        <w:t xml:space="preserve"> </w:t>
      </w:r>
      <w:r>
        <w:rPr>
          <w:rFonts w:hint="eastAsia"/>
        </w:rPr>
        <w:t xml:space="preserve">2.69%，方向命中率为</w:t>
      </w:r>
      <w:r>
        <w:t xml:space="preserve"> 68.9%。</w:t>
      </w:r>
    </w:p>
    <w:p>
      <w:pPr>
        <w:pStyle w:val="BodyText"/>
      </w:pPr>
      <w:r>
        <w:rPr>
          <w:rFonts w:hint="eastAsia"/>
          <w:b/>
          <w:bCs/>
        </w:rPr>
        <w:t xml:space="preserve">结论</w:t>
      </w:r>
      <w:r>
        <w:rPr>
          <w:rFonts w:hint="eastAsia"/>
        </w:rPr>
        <w:t xml:space="preserve">短期模型的核心价值在于解释极端冲突窗口中的前期冲击、中期平台和后期再定价；最终采用的阶段</w:t>
      </w:r>
      <w:r>
        <w:t xml:space="preserve"> Ridge </w:t>
      </w:r>
      <w:r>
        <w:rPr>
          <w:rFonts w:hint="eastAsia"/>
        </w:rPr>
        <w:t xml:space="preserve">增强路径进一步修正平台期日度震荡。</w:t>
      </w:r>
    </w:p>
    <w:bookmarkStart w:id="49" w:name="fig:short-term-fit"/>
    <w:p>
      <w:pPr>
        <w:pStyle w:val="CaptionedFigure"/>
      </w:pPr>
      <w:r>
        <w:drawing>
          <wp:inline>
            <wp:extent cx="4907280" cy="2587474"/>
            <wp:effectExtent b="0" l="0" r="0" t="0"/>
            <wp:docPr descr="" title="" id="47" name="Picture"/>
            <a:graphic>
              <a:graphicData uri="http://schemas.openxmlformats.org/drawingml/2006/picture">
                <pic:pic>
                  <pic:nvPicPr>
                    <pic:cNvPr descr="短期模型拟合效果.png" id="48" name="Picture"/>
                    <pic:cNvPicPr>
                      <a:picLocks noChangeArrowheads="1" noChangeAspect="1"/>
                    </pic:cNvPicPr>
                  </pic:nvPicPr>
                  <pic:blipFill>
                    <a:blip r:embed="rId46"/>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短期冲击模型拟合效果</w:t>
      </w:r>
    </w:p>
    <w:bookmarkEnd w:id="49"/>
    <w:p>
      <w:pPr>
        <w:pStyle w:val="BodyText"/>
      </w:pPr>
      <w:r>
        <w:t xml:space="preserve">l S[table-format=2.0] S[table-format=1.2] S[table-format=1.2] S[table-format=1.2]</w:t>
      </w:r>
      <w:r>
        <w:t xml:space="preserve"> </w:t>
      </w:r>
      <w:r>
        <w:rPr>
          <w:rFonts w:hint="eastAsia"/>
        </w:rPr>
        <w:t xml:space="preserve">分段</w:t>
      </w:r>
      <w:r>
        <w:t xml:space="preserve"> &amp;</w:t>
      </w:r>
      <w:r>
        <w:t xml:space="preserve"> </w:t>
      </w:r>
      <w:r>
        <w:rPr>
          <w:rFonts w:hint="eastAsia"/>
        </w:rPr>
        <w:t xml:space="preserve">样本数</w:t>
      </w:r>
      <w:r>
        <w:t xml:space="preserve"> </w:t>
      </w:r>
      <w:r>
        <w:t xml:space="preserve">&amp;</w:t>
      </w:r>
      <w:r>
        <w:t xml:space="preserve"> </w:t>
      </w:r>
      <w:r>
        <w:t xml:space="preserve">RMSE</w:t>
      </w:r>
      <w:r>
        <w:t xml:space="preserve"> </w:t>
      </w:r>
      <w:r>
        <w:t xml:space="preserve">&amp;</w:t>
      </w:r>
      <w:r>
        <w:t xml:space="preserve"> </w:t>
      </w:r>
      <w:r>
        <w:t xml:space="preserve">MAE</w:t>
      </w:r>
      <w:r>
        <w:t xml:space="preserve"> </w:t>
      </w:r>
      <w:r>
        <w:t xml:space="preserve">&amp;</w:t>
      </w:r>
      <w:r>
        <w:t xml:space="preserve"> </w:t>
      </w:r>
      <w:r>
        <w:rPr>
          <w:rFonts w:hint="eastAsia"/>
        </w:rPr>
        <w:t xml:space="preserve">最大绝对误差</w:t>
      </w:r>
      <w:r>
        <w:br/>
      </w:r>
      <w:r>
        <w:rPr>
          <w:rFonts w:hint="eastAsia"/>
        </w:rPr>
        <w:t xml:space="preserve">全窗口</w:t>
      </w:r>
      <w:r>
        <w:t xml:space="preserve"> &amp; 46 &amp; 3.38 &amp; 2.76 &amp; 7.24</w:t>
      </w:r>
      <w:r>
        <w:br/>
      </w:r>
      <w:r>
        <w:rPr>
          <w:rFonts w:hint="eastAsia"/>
        </w:rPr>
        <w:t xml:space="preserve">前期冲击</w:t>
      </w:r>
      <w:r>
        <w:t xml:space="preserve"> &amp; 11 &amp; 3.17 &amp; 2.73 &amp; 5.79</w:t>
      </w:r>
      <w:r>
        <w:br/>
      </w:r>
      <w:r>
        <w:rPr>
          <w:rFonts w:hint="eastAsia"/>
        </w:rPr>
        <w:t xml:space="preserve">中期平台</w:t>
      </w:r>
      <w:r>
        <w:t xml:space="preserve"> &amp; 14 &amp; 4.21 &amp; 3.52 &amp; 7.24</w:t>
      </w:r>
      <w:r>
        <w:br/>
      </w:r>
      <w:r>
        <w:rPr>
          <w:rFonts w:hint="eastAsia"/>
        </w:rPr>
        <w:t xml:space="preserve">后期再定价</w:t>
      </w:r>
      <w:r>
        <w:t xml:space="preserve"> &amp; 21 &amp; 2.82 &amp; 2.27 &amp; 5.37</w:t>
      </w:r>
      <w:r>
        <w:br/>
      </w:r>
      <w:r>
        <w:rPr>
          <w:rFonts w:hint="eastAsia"/>
        </w:rPr>
        <w:t xml:space="preserve">高价平台</w:t>
      </w:r>
      <w:r>
        <w:t xml:space="preserve"> &amp; 4 &amp; 2.70 &amp; 2.19 &amp; 3.93</w:t>
      </w:r>
      <w:r>
        <w:br/>
      </w:r>
      <w:r>
        <w:rPr>
          <w:rFonts w:hint="eastAsia"/>
        </w:rPr>
        <w:t xml:space="preserve">低价回落</w:t>
      </w:r>
      <w:r>
        <w:t xml:space="preserve"> &amp; 21 &amp; 3.20 &amp; 2.76 &amp; 5.79</w:t>
      </w:r>
      <w:r>
        <w:br/>
      </w:r>
    </w:p>
    <w:p>
      <w:pPr>
        <w:pStyle w:val="CaptionedFigure"/>
      </w:pPr>
      <w:r>
        <w:drawing>
          <wp:inline>
            <wp:extent cx="4907280" cy="2765921"/>
            <wp:effectExtent b="0" l="0" r="0" t="0"/>
            <wp:docPr descr="" title="" id="51" name="Picture"/>
            <a:graphic>
              <a:graphicData uri="http://schemas.openxmlformats.org/drawingml/2006/picture">
                <pic:pic>
                  <pic:nvPicPr>
                    <pic:cNvPr descr="短期模型机制贡献.png" id="52" name="Picture"/>
                    <pic:cNvPicPr>
                      <a:picLocks noChangeArrowheads="1" noChangeAspect="1"/>
                    </pic:cNvPicPr>
                  </pic:nvPicPr>
                  <pic:blipFill>
                    <a:blip r:embed="rId50"/>
                    <a:stretch>
                      <a:fillRect/>
                    </a:stretch>
                  </pic:blipFill>
                  <pic:spPr bwMode="auto">
                    <a:xfrm>
                      <a:off x="0" y="0"/>
                      <a:ext cx="4907280" cy="2765921"/>
                    </a:xfrm>
                    <a:prstGeom prst="rect">
                      <a:avLst/>
                    </a:prstGeom>
                    <a:noFill/>
                    <a:ln w="9525">
                      <a:noFill/>
                      <a:headEnd/>
                      <a:tailEnd/>
                    </a:ln>
                  </pic:spPr>
                </pic:pic>
              </a:graphicData>
            </a:graphic>
          </wp:inline>
        </w:drawing>
      </w:r>
    </w:p>
    <w:p>
      <w:pPr>
        <w:pStyle w:val="ImageCaption"/>
      </w:pPr>
      <w:r>
        <w:rPr>
          <w:rFonts w:hint="eastAsia"/>
        </w:rPr>
        <w:t xml:space="preserve">短期模型机制贡献分解</w:t>
      </w:r>
    </w:p>
    <w:bookmarkEnd w:id="53"/>
    <w:bookmarkEnd w:id="54"/>
    <w:bookmarkStart w:id="62" w:name="基准对比与统计检验"/>
    <w:p>
      <w:pPr>
        <w:pStyle w:val="Heading2"/>
      </w:pPr>
      <w:r>
        <w:rPr>
          <w:rFonts w:hint="eastAsia"/>
        </w:rPr>
        <w:t xml:space="preserve">基准对比与统计检验</w:t>
      </w:r>
    </w:p>
    <w:bookmarkStart w:id="61" w:name="基准对比与滞后检验"/>
    <w:p>
      <w:pPr>
        <w:pStyle w:val="Heading3"/>
      </w:pPr>
      <w:r>
        <w:rPr>
          <w:rFonts w:hint="eastAsia"/>
        </w:rPr>
        <w:t xml:space="preserve">基准对比与滞后检验</w:t>
      </w:r>
    </w:p>
    <w:p>
      <w:pPr>
        <w:pStyle w:val="FirstParagraph"/>
      </w:pPr>
      <w:r>
        <w:rPr>
          <w:rFonts w:hint="eastAsia"/>
        </w:rPr>
        <w:t xml:space="preserve">金融时间序列中，上一日价格朴素基准是最重要参照。本文同时使用滚动</w:t>
      </w:r>
      <w:r>
        <w:t xml:space="preserve"> ARIMA(1,1,0) </w:t>
      </w:r>
      <w:r>
        <w:rPr>
          <w:rFonts w:hint="eastAsia"/>
        </w:rPr>
        <w:t xml:space="preserve">作基础时间序列对照，所有基准在预测第</w:t>
      </w:r>
      <w:r>
        <w:t xml:space="preserve"> </w:t>
      </w:r>
      <m:oMath>
        <m:r>
          <m:t>t</m:t>
        </m:r>
      </m:oMath>
      <w:r>
        <w:t xml:space="preserve"> </w:t>
      </w:r>
      <w:r>
        <w:rPr>
          <w:rFonts w:hint="eastAsia"/>
        </w:rPr>
        <w:t xml:space="preserve">日时只使用</w:t>
      </w:r>
      <w:r>
        <w:t xml:space="preserve"> </w:t>
      </w:r>
      <m:oMath>
        <m:r>
          <m:t>t</m:t>
        </m:r>
        <m:r>
          <m:rPr>
            <m:sty m:val="p"/>
          </m:rPr>
          <m:t>−</m:t>
        </m:r>
        <m:r>
          <m:t>1</m:t>
        </m:r>
      </m:oMath>
      <w:r>
        <w:t xml:space="preserve"> </w:t>
      </w:r>
      <w:r>
        <w:rPr>
          <w:rFonts w:hint="eastAsia"/>
        </w:rPr>
        <w:t xml:space="preserve">日及以前信息。三日均值和漂移随机游走也在程序中复核，结论与朴素基准一致，正文不再展开。</w:t>
      </w:r>
    </w:p>
    <w:tbl>
      <w:tblPr>
        <w:tblStyle w:val="FigureTable"/>
        <w:tblW w:type="auto" w:w="0"/>
        <w:jc w:val="center"/>
        <w:tblLook w:firstRow="0" w:lastRow="0" w:firstColumn="0" w:lastColumn="0"/>
      </w:tblPr>
      <w:tblGrid/>
    </w:tbl>
    <w:p>
      <w:pPr>
        <w:pStyle w:val="ImageCaption"/>
      </w:pPr>
      <w:r>
        <w:rPr>
          <w:rFonts w:hint="eastAsia"/>
        </w:rPr>
        <w:t xml:space="preserve">模型鲁棒性检验框架</w:t>
      </w:r>
    </w:p>
    <w:p>
      <w:pPr>
        <w:pStyle w:val="BodyText"/>
      </w:pPr>
      <w:r>
        <w:t xml:space="preserve">l S[table-format=1.2] S[table-format=1.2] S[table-format=1.2] S[table-format=2.1]</w:t>
      </w:r>
      <w:r>
        <w:t xml:space="preserve"> </w:t>
      </w:r>
      <w:r>
        <w:rPr>
          <w:rFonts w:hint="eastAsia"/>
        </w:rPr>
        <w:t xml:space="preserve">模型</w:t>
      </w:r>
      <w:r>
        <w:t xml:space="preserve"> &amp;</w:t>
      </w:r>
      <w:r>
        <w:t xml:space="preserve"> </w:t>
      </w:r>
      <w:r>
        <w:t xml:space="preserve">RMSE</w:t>
      </w:r>
      <w:r>
        <w:t xml:space="preserve"> </w:t>
      </w:r>
      <w:r>
        <w:t xml:space="preserve">&amp;</w:t>
      </w:r>
      <w:r>
        <w:t xml:space="preserve"> </w:t>
      </w:r>
      <w:r>
        <w:t xml:space="preserve">MAE</w:t>
      </w:r>
      <w:r>
        <w:t xml:space="preserve"> </w:t>
      </w:r>
      <w:r>
        <w:t xml:space="preserve">&amp;</w:t>
      </w:r>
      <w:r>
        <w:t xml:space="preserve"> </w:t>
      </w:r>
      <w:r>
        <w:t xml:space="preserve">MAPE(%)</w:t>
      </w:r>
      <w:r>
        <w:t xml:space="preserve"> </w:t>
      </w:r>
      <w:r>
        <w:t xml:space="preserve">&amp;</w:t>
      </w:r>
      <w:r>
        <w:t xml:space="preserve"> </w:t>
      </w:r>
      <w:r>
        <w:rPr>
          <w:rFonts w:hint="eastAsia"/>
        </w:rPr>
        <w:t xml:space="preserve">方向命中率(%)</w:t>
      </w:r>
      <w:r>
        <w:br/>
      </w:r>
      <w:r>
        <w:rPr>
          <w:rFonts w:hint="eastAsia"/>
        </w:rPr>
        <w:t xml:space="preserve">短期冲击模型</w:t>
      </w:r>
      <w:r>
        <w:t xml:space="preserve"> &amp; 3.38 &amp; 2.76 &amp; 2.76 &amp; 66.7</w:t>
      </w:r>
      <w:r>
        <w:br/>
      </w:r>
      <w:r>
        <w:rPr>
          <w:rFonts w:hint="eastAsia"/>
          <w:b/>
          <w:bCs/>
        </w:rPr>
        <w:t xml:space="preserve">短期冲击模型增强路径</w:t>
      </w:r>
      <w:r>
        <w:t xml:space="preserve"> </w:t>
      </w:r>
      <w:r>
        <w:t xml:space="preserve">&amp;</w:t>
      </w:r>
      <w:r>
        <w:t xml:space="preserve"> </w:t>
      </w:r>
      <w:r>
        <w:rPr>
          <w:b/>
          <w:bCs/>
        </w:rPr>
        <w:t xml:space="preserve">3.18</w:t>
      </w:r>
      <w:r>
        <w:t xml:space="preserve"> </w:t>
      </w:r>
      <w:r>
        <w:t xml:space="preserve">&amp;</w:t>
      </w:r>
      <w:r>
        <w:t xml:space="preserve"> </w:t>
      </w:r>
      <w:r>
        <w:rPr>
          <w:b/>
          <w:bCs/>
        </w:rPr>
        <w:t xml:space="preserve">2.69</w:t>
      </w:r>
      <w:r>
        <w:t xml:space="preserve"> </w:t>
      </w:r>
      <w:r>
        <w:t xml:space="preserve">&amp;</w:t>
      </w:r>
      <w:r>
        <w:t xml:space="preserve"> </w:t>
      </w:r>
      <w:r>
        <w:rPr>
          <w:b/>
          <w:bCs/>
        </w:rPr>
        <w:t xml:space="preserve">2.69</w:t>
      </w:r>
      <w:r>
        <w:t xml:space="preserve"> </w:t>
      </w:r>
      <w:r>
        <w:t xml:space="preserve">&amp;</w:t>
      </w:r>
      <w:r>
        <w:t xml:space="preserve"> </w:t>
      </w:r>
      <w:r>
        <w:rPr>
          <w:b/>
          <w:bCs/>
        </w:rPr>
        <w:t xml:space="preserve">68.9</w:t>
      </w:r>
      <w:r>
        <w:br/>
      </w:r>
      <w:r>
        <w:rPr>
          <w:rFonts w:hint="eastAsia"/>
        </w:rPr>
        <w:t xml:space="preserve">朴素上一日基准</w:t>
      </w:r>
      <w:r>
        <w:t xml:space="preserve"> &amp; 4.47 &amp; 3.57 &amp; 3.54 &amp; 46.7</w:t>
      </w:r>
      <w:r>
        <w:br/>
      </w:r>
      <w:r>
        <w:rPr>
          <w:rFonts w:hint="eastAsia"/>
        </w:rPr>
        <w:t xml:space="preserve">滚动</w:t>
      </w:r>
      <w:r>
        <w:t xml:space="preserve"> ARIMA(1,1,0) </w:t>
      </w:r>
      <w:r>
        <w:rPr>
          <w:rFonts w:hint="eastAsia"/>
        </w:rPr>
        <w:t xml:space="preserve">基准</w:t>
      </w:r>
      <w:r>
        <w:t xml:space="preserve"> &amp; 4.53 &amp; 3.67 &amp; 3.63 &amp; 46.7</w:t>
      </w:r>
      <w:r>
        <w:br/>
      </w:r>
    </w:p>
    <w:p>
      <w:pPr>
        <w:pStyle w:val="BodyText"/>
      </w:pPr>
      <w:r>
        <w:rPr>
          <w:rFonts w:hint="eastAsia"/>
        </w:rPr>
        <w:t xml:space="preserve">注：RMSE</w:t>
      </w:r>
      <w:r>
        <w:t xml:space="preserve"> </w:t>
      </w:r>
      <w:r>
        <w:rPr>
          <w:rFonts w:hint="eastAsia"/>
        </w:rPr>
        <w:t xml:space="preserve">与</w:t>
      </w:r>
      <w:r>
        <w:t xml:space="preserve"> MAE </w:t>
      </w:r>
      <w:r>
        <w:rPr>
          <w:rFonts w:hint="eastAsia"/>
        </w:rPr>
        <w:t xml:space="preserve">单位为美元/桶；MAPE</w:t>
      </w:r>
      <w:r>
        <w:t xml:space="preserve"> </w:t>
      </w:r>
      <w:r>
        <w:rPr>
          <w:rFonts w:hint="eastAsia"/>
        </w:rPr>
        <w:t xml:space="preserve">与方向命中率以百分比计。短期冲击模型增强路径指</w:t>
      </w:r>
      <w:r>
        <w:rPr>
          <w:rFonts w:hint="eastAsia"/>
        </w:rPr>
        <w:t xml:space="preserve">“短期冲击模型</w:t>
      </w:r>
      <w:r>
        <w:t xml:space="preserve"> + </w:t>
      </w:r>
      <w:r>
        <w:rPr>
          <w:rFonts w:hint="eastAsia"/>
        </w:rPr>
        <w:t xml:space="preserve">阶段</w:t>
      </w:r>
      <w:r>
        <w:t xml:space="preserve"> Ridge </w:t>
      </w:r>
      <w:r>
        <w:rPr>
          <w:rFonts w:hint="eastAsia"/>
        </w:rPr>
        <w:t xml:space="preserve">修正”</w:t>
      </w:r>
      <w:r>
        <w:rPr>
          <w:rFonts w:hint="eastAsia"/>
        </w:rPr>
        <w:t xml:space="preserve">，只在高位平台形成和中期再定价回落两个残差薄弱段启用收益率修正，其他事件段保持机制路径不变。</w:t>
      </w:r>
    </w:p>
    <w:p>
      <w:pPr>
        <w:pStyle w:val="CaptionedFigure"/>
      </w:pPr>
      <w:r>
        <w:drawing>
          <wp:inline>
            <wp:extent cx="4587240" cy="2533904"/>
            <wp:effectExtent b="0" l="0" r="0" t="0"/>
            <wp:docPr descr="" title="" id="56" name="Picture"/>
            <a:graphic>
              <a:graphicData uri="http://schemas.openxmlformats.org/drawingml/2006/picture">
                <pic:pic>
                  <pic:nvPicPr>
                    <pic:cNvPr descr="短期模型基准对比.png" id="57" name="Picture"/>
                    <pic:cNvPicPr>
                      <a:picLocks noChangeArrowheads="1" noChangeAspect="1"/>
                    </pic:cNvPicPr>
                  </pic:nvPicPr>
                  <pic:blipFill>
                    <a:blip r:embed="rId55"/>
                    <a:stretch>
                      <a:fillRect/>
                    </a:stretch>
                  </pic:blipFill>
                  <pic:spPr bwMode="auto">
                    <a:xfrm>
                      <a:off x="0" y="0"/>
                      <a:ext cx="4587240" cy="2533904"/>
                    </a:xfrm>
                    <a:prstGeom prst="rect">
                      <a:avLst/>
                    </a:prstGeom>
                    <a:noFill/>
                    <a:ln w="9525">
                      <a:noFill/>
                      <a:headEnd/>
                      <a:tailEnd/>
                    </a:ln>
                  </pic:spPr>
                </pic:pic>
              </a:graphicData>
            </a:graphic>
          </wp:inline>
        </w:drawing>
      </w:r>
    </w:p>
    <w:p>
      <w:pPr>
        <w:pStyle w:val="ImageCaption"/>
      </w:pPr>
      <w:r>
        <w:rPr>
          <w:rFonts w:hint="eastAsia"/>
        </w:rPr>
        <w:t xml:space="preserve">短期冲击模型与关键基准</w:t>
      </w:r>
      <w:r>
        <w:t xml:space="preserve"> RMSE </w:t>
      </w:r>
      <w:r>
        <w:rPr>
          <w:rFonts w:hint="eastAsia"/>
        </w:rPr>
        <w:t xml:space="preserve">对比</w:t>
      </w:r>
    </w:p>
    <w:p>
      <w:pPr>
        <w:pStyle w:val="BodyText"/>
      </w:pPr>
      <w:hyperlink w:anchor="fig:short-term-fit">
        <w:r>
          <w:rPr>
            <w:rStyle w:val="Hyperlink"/>
          </w:rPr>
          <w:t xml:space="preserve">3</w:t>
        </w:r>
      </w:hyperlink>
      <w:r>
        <w:t xml:space="preserve"> </w:t>
      </w:r>
      <w:r>
        <w:rPr>
          <w:rFonts w:hint="eastAsia"/>
        </w:rPr>
        <w:t xml:space="preserve">展示了短期主模型的路径拟合结果。本文进一步将模型曲线整体向左、向右平移</w:t>
      </w:r>
      <w:r>
        <w:t xml:space="preserve"> 1–5 </w:t>
      </w:r>
      <w:r>
        <w:rPr>
          <w:rFonts w:hint="eastAsia"/>
        </w:rPr>
        <w:t xml:space="preserve">天后重新计算</w:t>
      </w:r>
      <w:r>
        <w:t xml:space="preserve"> </w:t>
      </w:r>
      <w:r>
        <w:rPr>
          <w:rFonts w:hint="eastAsia"/>
        </w:rPr>
        <w:t xml:space="preserve">RMSE。结果显示，原始位置</w:t>
      </w:r>
      <w:r>
        <w:t xml:space="preserve"> RMSE </w:t>
      </w:r>
      <w:r>
        <w:rPr>
          <w:rFonts w:hint="eastAsia"/>
        </w:rPr>
        <w:t xml:space="preserve">最低，为</w:t>
      </w:r>
      <w:r>
        <w:t xml:space="preserve"> </w:t>
      </w:r>
      <w:r>
        <w:rPr>
          <w:rFonts w:hint="eastAsia"/>
        </w:rPr>
        <w:t xml:space="preserve">3.38；向左平移</w:t>
      </w:r>
      <w:r>
        <w:t xml:space="preserve"> 1 </w:t>
      </w:r>
      <w:r>
        <w:rPr>
          <w:rFonts w:hint="eastAsia"/>
        </w:rPr>
        <w:t xml:space="preserve">天后</w:t>
      </w:r>
      <w:r>
        <w:t xml:space="preserve"> RMSE </w:t>
      </w:r>
      <w:r>
        <w:rPr>
          <w:rFonts w:hint="eastAsia"/>
        </w:rPr>
        <w:t xml:space="preserve">升至</w:t>
      </w:r>
      <w:r>
        <w:t xml:space="preserve"> </w:t>
      </w:r>
      <w:r>
        <w:rPr>
          <w:rFonts w:hint="eastAsia"/>
        </w:rPr>
        <w:t xml:space="preserve">3.90，向左平移</w:t>
      </w:r>
      <w:r>
        <w:t xml:space="preserve"> 2 </w:t>
      </w:r>
      <w:r>
        <w:rPr>
          <w:rFonts w:hint="eastAsia"/>
        </w:rPr>
        <w:t xml:space="preserve">天后升至</w:t>
      </w:r>
      <w:r>
        <w:t xml:space="preserve"> </w:t>
      </w:r>
      <w:r>
        <w:rPr>
          <w:rFonts w:hint="eastAsia"/>
        </w:rPr>
        <w:t xml:space="preserve">4.71，说明模型拟合位置与真实冲击窗口基本同步。</w:t>
      </w:r>
    </w:p>
    <w:p>
      <w:pPr>
        <w:pStyle w:val="CaptionedFigure"/>
      </w:pPr>
      <w:r>
        <w:drawing>
          <wp:inline>
            <wp:extent cx="4480560" cy="2594008"/>
            <wp:effectExtent b="0" l="0" r="0" t="0"/>
            <wp:docPr descr="" title="" id="59" name="Picture"/>
            <a:graphic>
              <a:graphicData uri="http://schemas.openxmlformats.org/drawingml/2006/picture">
                <pic:pic>
                  <pic:nvPicPr>
                    <pic:cNvPr descr="短期模型滞后平移检验.png" id="60" name="Picture"/>
                    <pic:cNvPicPr>
                      <a:picLocks noChangeArrowheads="1" noChangeAspect="1"/>
                    </pic:cNvPicPr>
                  </pic:nvPicPr>
                  <pic:blipFill>
                    <a:blip r:embed="rId58"/>
                    <a:stretch>
                      <a:fillRect/>
                    </a:stretch>
                  </pic:blipFill>
                  <pic:spPr bwMode="auto">
                    <a:xfrm>
                      <a:off x="0" y="0"/>
                      <a:ext cx="4480560" cy="2594008"/>
                    </a:xfrm>
                    <a:prstGeom prst="rect">
                      <a:avLst/>
                    </a:prstGeom>
                    <a:noFill/>
                    <a:ln w="9525">
                      <a:noFill/>
                      <a:headEnd/>
                      <a:tailEnd/>
                    </a:ln>
                  </pic:spPr>
                </pic:pic>
              </a:graphicData>
            </a:graphic>
          </wp:inline>
        </w:drawing>
      </w:r>
    </w:p>
    <w:p>
      <w:pPr>
        <w:pStyle w:val="ImageCaption"/>
      </w:pPr>
      <w:r>
        <w:rPr>
          <w:rFonts w:hint="eastAsia"/>
        </w:rPr>
        <w:t xml:space="preserve">模型曲线平移后的</w:t>
      </w:r>
      <w:r>
        <w:t xml:space="preserve"> RMSE </w:t>
      </w:r>
      <w:r>
        <w:rPr>
          <w:rFonts w:hint="eastAsia"/>
        </w:rPr>
        <w:t xml:space="preserve">检验</w:t>
      </w:r>
    </w:p>
    <w:bookmarkEnd w:id="61"/>
    <w:bookmarkEnd w:id="62"/>
    <w:bookmarkStart w:id="90" w:name="模型鲁棒性与稳定性评估"/>
    <w:p>
      <w:pPr>
        <w:pStyle w:val="Heading2"/>
      </w:pPr>
      <w:r>
        <w:rPr>
          <w:rFonts w:hint="eastAsia"/>
        </w:rPr>
        <w:t xml:space="preserve">模型鲁棒性与稳定性评估</w:t>
      </w:r>
    </w:p>
    <w:bookmarkStart w:id="66" w:name="结构稳定性检验"/>
    <w:p>
      <w:pPr>
        <w:pStyle w:val="Heading3"/>
      </w:pPr>
      <w:r>
        <w:rPr>
          <w:rFonts w:hint="eastAsia"/>
        </w:rPr>
        <w:t xml:space="preserve">结构稳定性检验</w:t>
      </w:r>
    </w:p>
    <w:p>
      <w:pPr>
        <w:pStyle w:val="FirstParagraph"/>
      </w:pPr>
      <w:r>
        <w:rPr>
          <w:rFonts w:hint="eastAsia"/>
        </w:rPr>
        <w:t xml:space="preserve">由于冲突窗口只有</w:t>
      </w:r>
      <w:r>
        <w:t xml:space="preserve"> 46 </w:t>
      </w:r>
      <w:r>
        <w:rPr>
          <w:rFonts w:hint="eastAsia"/>
        </w:rPr>
        <w:t xml:space="preserve">个交易日，而校准参数较多，本文进一步进行参数扰动与结构稳定性检验。结果显示，在</w:t>
      </w:r>
      <w:r>
        <w:t xml:space="preserve"> 1000 </w:t>
      </w:r>
      <w:r>
        <w:rPr>
          <w:rFonts w:hint="eastAsia"/>
        </w:rPr>
        <w:t xml:space="preserve">组</w:t>
      </w:r>
      <w:r>
        <w:t xml:space="preserve"> </w:t>
      </w:r>
      <m:oMath>
        <m:r>
          <m:rPr>
            <m:sty m:val="p"/>
          </m:rPr>
          <m:t>±</m:t>
        </m:r>
        <m:r>
          <m:t>15</m:t>
        </m:r>
        <m:r>
          <m:rPr>
            <m:sty m:val="p"/>
          </m:rPr>
          <m:t>%</m:t>
        </m:r>
      </m:oMath>
      <w:r>
        <w:t xml:space="preserve"> </w:t>
      </w:r>
      <w:r>
        <w:rPr>
          <w:rFonts w:hint="eastAsia"/>
        </w:rPr>
        <w:t xml:space="preserve">参数扰动中，96.6%</w:t>
      </w:r>
      <w:r>
        <w:t xml:space="preserve"> </w:t>
      </w:r>
      <w:r>
        <w:rPr>
          <w:rFonts w:hint="eastAsia"/>
        </w:rPr>
        <w:t xml:space="preserve">的样本模拟峰值仍落在</w:t>
      </w:r>
      <w:r>
        <w:t xml:space="preserve"> 105–125 </w:t>
      </w:r>
      <w:r>
        <w:rPr>
          <w:rFonts w:hint="eastAsia"/>
        </w:rPr>
        <w:t xml:space="preserve">美元/桶区间。本文因此将模型定位为</w:t>
      </w:r>
      <w:r>
        <w:rPr>
          <w:rFonts w:hint="eastAsia"/>
        </w:rPr>
        <w:t xml:space="preserve">“事件机制递推模型”</w:t>
      </w:r>
      <w:r>
        <w:rPr>
          <w:rFonts w:hint="eastAsia"/>
        </w:rPr>
        <w:t xml:space="preserve">，重点解释霍尔木兹封锁情境下的条件价格路径。</w:t>
      </w:r>
    </w:p>
    <w:p>
      <w:pPr>
        <w:pStyle w:val="CaptionedFigure"/>
      </w:pPr>
      <w:r>
        <w:drawing>
          <wp:inline>
            <wp:extent cx="4693920" cy="2048256"/>
            <wp:effectExtent b="0" l="0" r="0" t="0"/>
            <wp:docPr descr="" title="" id="64" name="Picture"/>
            <a:graphic>
              <a:graphicData uri="http://schemas.openxmlformats.org/drawingml/2006/picture">
                <pic:pic>
                  <pic:nvPicPr>
                    <pic:cNvPr descr="短期模型过拟合压力测试.png" id="65" name="Picture"/>
                    <pic:cNvPicPr>
                      <a:picLocks noChangeArrowheads="1" noChangeAspect="1"/>
                    </pic:cNvPicPr>
                  </pic:nvPicPr>
                  <pic:blipFill>
                    <a:blip r:embed="rId63"/>
                    <a:stretch>
                      <a:fillRect/>
                    </a:stretch>
                  </pic:blipFill>
                  <pic:spPr bwMode="auto">
                    <a:xfrm>
                      <a:off x="0" y="0"/>
                      <a:ext cx="4693920" cy="2048256"/>
                    </a:xfrm>
                    <a:prstGeom prst="rect">
                      <a:avLst/>
                    </a:prstGeom>
                    <a:noFill/>
                    <a:ln w="9525">
                      <a:noFill/>
                      <a:headEnd/>
                      <a:tailEnd/>
                    </a:ln>
                  </pic:spPr>
                </pic:pic>
              </a:graphicData>
            </a:graphic>
          </wp:inline>
        </w:drawing>
      </w:r>
    </w:p>
    <w:p>
      <w:pPr>
        <w:pStyle w:val="ImageCaption"/>
      </w:pPr>
      <w:r>
        <w:rPr>
          <w:rFonts w:hint="eastAsia"/>
        </w:rPr>
        <w:t xml:space="preserve">短期模型参数扰动检验</w:t>
      </w:r>
    </w:p>
    <w:bookmarkEnd w:id="66"/>
    <w:bookmarkStart w:id="78" w:name="分段误差与残差诊断"/>
    <w:p>
      <w:pPr>
        <w:pStyle w:val="Heading3"/>
      </w:pPr>
      <w:r>
        <w:rPr>
          <w:rFonts w:hint="eastAsia"/>
        </w:rPr>
        <w:t xml:space="preserve">分段误差与残差诊断</w:t>
      </w:r>
    </w:p>
    <w:p>
      <w:pPr>
        <w:pStyle w:val="FirstParagraph"/>
      </w:pPr>
      <w:r>
        <w:rPr>
          <w:rFonts w:hint="eastAsia"/>
        </w:rPr>
        <w:t xml:space="preserve">仅报告全窗口</w:t>
      </w:r>
      <w:r>
        <w:t xml:space="preserve"> RMSE </w:t>
      </w:r>
      <w:r>
        <w:rPr>
          <w:rFonts w:hint="eastAsia"/>
        </w:rPr>
        <w:t xml:space="preserve">容易掩盖局部失败。本文进一步检查逐日残差、滚动误差、实际值与模拟值一致性以及残差自相关。分段误差显示，中期平台是最难解释的部分，RMSE</w:t>
      </w:r>
      <w:r>
        <w:t xml:space="preserve"> </w:t>
      </w:r>
      <w:r>
        <w:rPr>
          <w:rFonts w:hint="eastAsia"/>
        </w:rPr>
        <w:t xml:space="preserve">为</w:t>
      </w:r>
      <w:r>
        <w:t xml:space="preserve"> 4.39 </w:t>
      </w:r>
      <w:r>
        <w:rPr>
          <w:rFonts w:hint="eastAsia"/>
        </w:rPr>
        <w:t xml:space="preserve">美元/桶；后期再定价阶段</w:t>
      </w:r>
      <w:r>
        <w:t xml:space="preserve"> RMSE </w:t>
      </w:r>
      <w:r>
        <w:rPr>
          <w:rFonts w:hint="eastAsia"/>
        </w:rPr>
        <w:t xml:space="preserve">降至</w:t>
      </w:r>
      <w:r>
        <w:t xml:space="preserve"> 2.81 </w:t>
      </w:r>
      <w:r>
        <w:rPr>
          <w:rFonts w:hint="eastAsia"/>
        </w:rPr>
        <w:t xml:space="preserve">美元/桶，说明缓冲确认折价和预期修复折价对解释后期回落有实际作用。</w:t>
      </w:r>
    </w:p>
    <w:p>
      <w:pPr>
        <w:pStyle w:val="CaptionedFigure"/>
      </w:pPr>
      <w:r>
        <w:drawing>
          <wp:inline>
            <wp:extent cx="4907280" cy="3655675"/>
            <wp:effectExtent b="0" l="0" r="0" t="0"/>
            <wp:docPr descr="" title="" id="68" name="Picture"/>
            <a:graphic>
              <a:graphicData uri="http://schemas.openxmlformats.org/drawingml/2006/picture">
                <pic:pic>
                  <pic:nvPicPr>
                    <pic:cNvPr descr="短期模型残差诊断增强.png" id="69" name="Picture"/>
                    <pic:cNvPicPr>
                      <a:picLocks noChangeArrowheads="1" noChangeAspect="1"/>
                    </pic:cNvPicPr>
                  </pic:nvPicPr>
                  <pic:blipFill>
                    <a:blip r:embed="rId67"/>
                    <a:stretch>
                      <a:fillRect/>
                    </a:stretch>
                  </pic:blipFill>
                  <pic:spPr bwMode="auto">
                    <a:xfrm>
                      <a:off x="0" y="0"/>
                      <a:ext cx="4907280" cy="3655675"/>
                    </a:xfrm>
                    <a:prstGeom prst="rect">
                      <a:avLst/>
                    </a:prstGeom>
                    <a:noFill/>
                    <a:ln w="9525">
                      <a:noFill/>
                      <a:headEnd/>
                      <a:tailEnd/>
                    </a:ln>
                  </pic:spPr>
                </pic:pic>
              </a:graphicData>
            </a:graphic>
          </wp:inline>
        </w:drawing>
      </w:r>
    </w:p>
    <w:p>
      <w:pPr>
        <w:pStyle w:val="ImageCaption"/>
      </w:pPr>
      <w:r>
        <w:rPr>
          <w:rFonts w:hint="eastAsia"/>
        </w:rPr>
        <w:t xml:space="preserve">短期模型增强残差诊断</w:t>
      </w:r>
    </w:p>
    <w:p>
      <w:pPr>
        <w:pStyle w:val="BodyText"/>
      </w:pPr>
      <w:r>
        <w:rPr>
          <w:rFonts w:hint="eastAsia"/>
        </w:rPr>
        <w:t xml:space="preserve">增强诊断表明，模型没有通过牺牲某一局部阶段来换取总体</w:t>
      </w:r>
      <w:r>
        <w:t xml:space="preserve"> </w:t>
      </w:r>
      <w:r>
        <w:rPr>
          <w:rFonts w:hint="eastAsia"/>
        </w:rPr>
        <w:t xml:space="preserve">RMSE。实际值与模拟值的一致性图说明模型能够跟随冲突窗口的主要价格平台；残差分布没有出现单侧系统性偏移；滚动误差在中期平台阶段略高，符合市场对封锁持续时间和缓冲机制可持续性反复定价的事实。残差一阶自相关约为</w:t>
      </w:r>
      <w:r>
        <w:t xml:space="preserve"> </w:t>
      </w:r>
      <w:r>
        <w:rPr>
          <w:rFonts w:hint="eastAsia"/>
        </w:rPr>
        <w:t xml:space="preserve">0.254，说明仍存在一定连续偏差，但未形成明显强自相关。</w:t>
      </w:r>
    </w:p>
    <w:bookmarkStart w:id="73" w:name="fig:segmented-residual-distribution"/>
    <w:p>
      <w:pPr>
        <w:pStyle w:val="CaptionedFigure"/>
      </w:pPr>
      <w:r>
        <w:drawing>
          <wp:inline>
            <wp:extent cx="4800600" cy="2937084"/>
            <wp:effectExtent b="0" l="0" r="0" t="0"/>
            <wp:docPr descr="" title="" id="71" name="Picture"/>
            <a:graphic>
              <a:graphicData uri="http://schemas.openxmlformats.org/drawingml/2006/picture">
                <pic:pic>
                  <pic:nvPicPr>
                    <pic:cNvPr descr="短期残差分段分布图.png" id="72" name="Picture"/>
                    <pic:cNvPicPr>
                      <a:picLocks noChangeArrowheads="1" noChangeAspect="1"/>
                    </pic:cNvPicPr>
                  </pic:nvPicPr>
                  <pic:blipFill>
                    <a:blip r:embed="rId70"/>
                    <a:stretch>
                      <a:fillRect/>
                    </a:stretch>
                  </pic:blipFill>
                  <pic:spPr bwMode="auto">
                    <a:xfrm>
                      <a:off x="0" y="0"/>
                      <a:ext cx="4800600" cy="2937084"/>
                    </a:xfrm>
                    <a:prstGeom prst="rect">
                      <a:avLst/>
                    </a:prstGeom>
                    <a:noFill/>
                    <a:ln w="9525">
                      <a:noFill/>
                      <a:headEnd/>
                      <a:tailEnd/>
                    </a:ln>
                  </pic:spPr>
                </pic:pic>
              </a:graphicData>
            </a:graphic>
          </wp:inline>
        </w:drawing>
      </w:r>
    </w:p>
    <w:p>
      <w:pPr>
        <w:pStyle w:val="ImageCaption"/>
      </w:pPr>
      <w:r>
        <w:rPr>
          <w:rFonts w:hint="eastAsia"/>
        </w:rPr>
        <w:t xml:space="preserve">短期模型残差的分段分布</w:t>
      </w:r>
    </w:p>
    <w:bookmarkEnd w:id="73"/>
    <w:p>
      <w:pPr>
        <w:pStyle w:val="BodyText"/>
      </w:pPr>
      <w:r>
        <w:rPr>
          <w:rFonts w:hint="eastAsia"/>
        </w:rPr>
        <w:t xml:space="preserve">进一步将逐日误差、事件段误差和机制项放在同一口径下复核，结果见</w:t>
      </w:r>
      <w:hyperlink w:anchor="fig:short-error-attribution">
        <w:r>
          <w:rPr>
            <w:rStyle w:val="Hyperlink"/>
          </w:rPr>
          <w:t xml:space="preserve">5</w:t>
        </w:r>
      </w:hyperlink>
      <w:r>
        <w:rPr>
          <w:rFonts w:hint="eastAsia"/>
        </w:rPr>
        <w:t xml:space="preserve">。最大单日误差出现在</w:t>
      </w:r>
      <w:r>
        <w:t xml:space="preserve"> 2026 </w:t>
      </w:r>
      <w:r>
        <w:rPr>
          <w:rFonts w:hint="eastAsia"/>
        </w:rPr>
        <w:t xml:space="preserve">年</w:t>
      </w:r>
      <w:r>
        <w:t xml:space="preserve"> 4 </w:t>
      </w:r>
      <w:r>
        <w:rPr>
          <w:rFonts w:hint="eastAsia"/>
        </w:rPr>
        <w:t xml:space="preserve">月</w:t>
      </w:r>
      <w:r>
        <w:t xml:space="preserve"> 6 </w:t>
      </w:r>
      <w:r>
        <w:rPr>
          <w:rFonts w:hint="eastAsia"/>
        </w:rPr>
        <w:t xml:space="preserve">日，短期冲击模型低估</w:t>
      </w:r>
      <w:r>
        <w:t xml:space="preserve"> 7.24 </w:t>
      </w:r>
      <w:r>
        <w:rPr>
          <w:rFonts w:hint="eastAsia"/>
        </w:rPr>
        <w:t xml:space="preserve">美元/桶；事件段层面，高位平台形成和中期再定价回落仍是主要难点，RMSE</w:t>
      </w:r>
      <w:r>
        <w:t xml:space="preserve"> </w:t>
      </w:r>
      <w:r>
        <w:rPr>
          <w:rFonts w:hint="eastAsia"/>
        </w:rPr>
        <w:t xml:space="preserve">分别约为</w:t>
      </w:r>
      <w:r>
        <w:t xml:space="preserve"> 3.73 </w:t>
      </w:r>
      <w:r>
        <w:rPr>
          <w:rFonts w:hint="eastAsia"/>
        </w:rPr>
        <w:t xml:space="preserve">和</w:t>
      </w:r>
      <w:r>
        <w:t xml:space="preserve"> 3.78 </w:t>
      </w:r>
      <w:r>
        <w:rPr>
          <w:rFonts w:hint="eastAsia"/>
        </w:rPr>
        <w:t xml:space="preserve">美元/桶。增强路径只针对这两个薄弱窗口加入低自由度</w:t>
      </w:r>
      <w:r>
        <w:t xml:space="preserve"> Ridge </w:t>
      </w:r>
      <w:r>
        <w:rPr>
          <w:rFonts w:hint="eastAsia"/>
        </w:rPr>
        <w:t xml:space="preserve">收益率修正，使全窗口</w:t>
      </w:r>
      <w:r>
        <w:t xml:space="preserve"> RMSE </w:t>
      </w:r>
      <w:r>
        <w:rPr>
          <w:rFonts w:hint="eastAsia"/>
        </w:rPr>
        <w:t xml:space="preserve">从</w:t>
      </w:r>
      <w:r>
        <w:t xml:space="preserve"> 3.38 </w:t>
      </w:r>
      <w:r>
        <w:rPr>
          <w:rFonts w:hint="eastAsia"/>
        </w:rPr>
        <w:t xml:space="preserve">降至</w:t>
      </w:r>
      <w:r>
        <w:t xml:space="preserve"> </w:t>
      </w:r>
      <w:r>
        <w:rPr>
          <w:rFonts w:hint="eastAsia"/>
        </w:rPr>
        <w:t xml:space="preserve">3.18，方向命中率从</w:t>
      </w:r>
      <w:r>
        <w:t xml:space="preserve"> 66.7% </w:t>
      </w:r>
      <w:r>
        <w:rPr>
          <w:rFonts w:hint="eastAsia"/>
        </w:rPr>
        <w:t xml:space="preserve">提高至</w:t>
      </w:r>
      <w:r>
        <w:t xml:space="preserve"> </w:t>
      </w:r>
      <w:r>
        <w:rPr>
          <w:rFonts w:hint="eastAsia"/>
        </w:rPr>
        <w:t xml:space="preserve">68.9%。因此，本文报告的短期最优拟合效果来自</w:t>
      </w:r>
      <w:r>
        <w:rPr>
          <w:rFonts w:hint="eastAsia"/>
        </w:rPr>
        <w:t xml:space="preserve">“机制解释</w:t>
      </w:r>
      <w:r>
        <w:t xml:space="preserve"> + </w:t>
      </w:r>
      <w:r>
        <w:rPr>
          <w:rFonts w:hint="eastAsia"/>
        </w:rPr>
        <w:t xml:space="preserve">局部收益惯性修正”</w:t>
      </w:r>
      <w:r>
        <w:rPr>
          <w:rFonts w:hint="eastAsia"/>
        </w:rPr>
        <w:t xml:space="preserve">，而不是多个候选模型的简单堆叠。</w:t>
      </w:r>
    </w:p>
    <w:bookmarkStart w:id="77" w:name="fig:short-error-attribution"/>
    <w:p>
      <w:pPr>
        <w:pStyle w:val="CaptionedFigure"/>
      </w:pPr>
      <w:r>
        <w:drawing>
          <wp:inline>
            <wp:extent cx="5013960" cy="3068244"/>
            <wp:effectExtent b="0" l="0" r="0" t="0"/>
            <wp:docPr descr="" title="" id="75" name="Picture"/>
            <a:graphic>
              <a:graphicData uri="http://schemas.openxmlformats.org/drawingml/2006/picture">
                <pic:pic>
                  <pic:nvPicPr>
                    <pic:cNvPr descr="短期模型误差归因.png" id="76" name="Picture"/>
                    <pic:cNvPicPr>
                      <a:picLocks noChangeArrowheads="1" noChangeAspect="1"/>
                    </pic:cNvPicPr>
                  </pic:nvPicPr>
                  <pic:blipFill>
                    <a:blip r:embed="rId74"/>
                    <a:stretch>
                      <a:fillRect/>
                    </a:stretch>
                  </pic:blipFill>
                  <pic:spPr bwMode="auto">
                    <a:xfrm>
                      <a:off x="0" y="0"/>
                      <a:ext cx="5013960" cy="3068244"/>
                    </a:xfrm>
                    <a:prstGeom prst="rect">
                      <a:avLst/>
                    </a:prstGeom>
                    <a:noFill/>
                    <a:ln w="9525">
                      <a:noFill/>
                      <a:headEnd/>
                      <a:tailEnd/>
                    </a:ln>
                  </pic:spPr>
                </pic:pic>
              </a:graphicData>
            </a:graphic>
          </wp:inline>
        </w:drawing>
      </w:r>
    </w:p>
    <w:p>
      <w:pPr>
        <w:pStyle w:val="ImageCaption"/>
      </w:pPr>
      <w:r>
        <w:rPr>
          <w:rFonts w:hint="eastAsia"/>
        </w:rPr>
        <w:t xml:space="preserve">短期模型误差归因复核</w:t>
      </w:r>
    </w:p>
    <w:bookmarkEnd w:id="77"/>
    <w:bookmarkEnd w:id="78"/>
    <w:bookmarkStart w:id="82" w:name="时间轴语义与删块稳健性复核"/>
    <w:p>
      <w:pPr>
        <w:pStyle w:val="Heading3"/>
      </w:pPr>
      <w:r>
        <w:rPr>
          <w:rFonts w:hint="eastAsia"/>
        </w:rPr>
        <w:t xml:space="preserve">时间轴语义与删块稳健性复核</w:t>
      </w:r>
    </w:p>
    <w:p>
      <w:pPr>
        <w:pStyle w:val="FirstParagraph"/>
      </w:pPr>
      <w:r>
        <w:rPr>
          <w:rFonts w:hint="eastAsia"/>
        </w:rPr>
        <w:t xml:space="preserve">短期递推中的</w:t>
      </w:r>
      <w:r>
        <w:t xml:space="preserve"> SPR </w:t>
      </w:r>
      <w:r>
        <w:rPr>
          <w:rFonts w:hint="eastAsia"/>
        </w:rPr>
        <w:t xml:space="preserve">释放、绕道恢复、需求收缩和恐慌衰减都依赖时间变量。若将每一行交易日都视为等间隔一步，可能低估周末和节假日期间政策与运输机制的实际推进；若采用日历日差，则相邻交易行在周末后会出现</w:t>
      </w:r>
      <w:r>
        <w:t xml:space="preserve"> 3 </w:t>
      </w:r>
      <w:r>
        <w:rPr>
          <w:rFonts w:hint="eastAsia"/>
        </w:rPr>
        <w:t xml:space="preserve">天跳变。为避免时间轴选择成为隐藏建模假设，本文在不重新调参的条件下，对同一组最优参数分别采用日历日口径和交易日序号口径进行复算。</w:t>
      </w:r>
    </w:p>
    <w:p>
      <w:pPr>
        <w:pStyle w:val="TableCaption"/>
      </w:pPr>
      <w:r>
        <w:rPr>
          <w:rFonts w:hint="eastAsia"/>
        </w:rPr>
        <w:t xml:space="preserve">短期模型时间轴口径对比</w:t>
      </w:r>
    </w:p>
    <w:tbl>
      <w:tblPr>
        <w:tblStyle w:val="Table"/>
        <w:tblW w:type="auto" w:w="0"/>
        <w:tblLook w:firstRow="1" w:lastRow="0" w:firstColumn="0" w:lastColumn="0" w:noHBand="0" w:noVBand="0" w:val="0020"/>
        <w:tblCaption w:val="短期模型时间轴口径对比"/>
      </w:tblPr>
      <w:tblGrid>
        <w:gridCol w:w="1584"/>
        <w:gridCol w:w="1584"/>
        <w:gridCol w:w="1584"/>
        <w:gridCol w:w="1584"/>
        <w:gridCol w:w="1584"/>
      </w:tblGrid>
      <w:tr>
        <w:trPr>
          <w:tblHeader w:val="on"/>
        </w:trPr>
        <w:tc>
          <w:tcPr/>
          <w:p>
            <w:pPr>
              <w:pStyle w:val="Compact"/>
              <w:jc w:val="left"/>
            </w:pPr>
            <w:r>
              <w:rPr>
                <w:rFonts w:hint="eastAsia"/>
              </w:rPr>
              <w:t xml:space="preserve">时间轴口径</w:t>
            </w:r>
          </w:p>
        </w:tc>
        <w:tc>
          <w:tcPr/>
          <w:p>
            <w:pPr>
              <w:pStyle w:val="Compact"/>
              <w:jc w:val="right"/>
            </w:pPr>
            <w:r>
              <w:rPr>
                <w:rFonts w:hint="eastAsia"/>
              </w:rPr>
              <w:t xml:space="preserve">最大时间索引</w:t>
            </w:r>
          </w:p>
        </w:tc>
        <w:tc>
          <w:tcPr/>
          <w:p>
            <w:pPr>
              <w:pStyle w:val="Compact"/>
              <w:jc w:val="right"/>
            </w:pPr>
            <w:r>
              <w:t xml:space="preserve">RMSE</w:t>
            </w:r>
          </w:p>
        </w:tc>
        <w:tc>
          <w:tcPr/>
          <w:p>
            <w:pPr>
              <w:pStyle w:val="Compact"/>
              <w:jc w:val="right"/>
            </w:pPr>
            <w:r>
              <w:t xml:space="preserve">MAE</w:t>
            </w:r>
          </w:p>
        </w:tc>
        <w:tc>
          <w:tcPr/>
          <w:p>
            <w:pPr>
              <w:pStyle w:val="Compact"/>
              <w:jc w:val="right"/>
            </w:pPr>
            <w:r>
              <w:rPr>
                <w:rFonts w:hint="eastAsia"/>
              </w:rPr>
              <w:t xml:space="preserve">校准损失</w:t>
            </w:r>
          </w:p>
        </w:tc>
      </w:tr>
      <w:tr>
        <w:tc>
          <w:tcPr/>
          <w:p>
            <w:pPr>
              <w:pStyle w:val="Compact"/>
              <w:jc w:val="left"/>
            </w:pPr>
            <w:r>
              <w:rPr>
                <w:rFonts w:hint="eastAsia"/>
              </w:rPr>
              <w:t xml:space="preserve">日历日口径</w:t>
            </w:r>
          </w:p>
        </w:tc>
        <w:tc>
          <w:tcPr/>
          <w:p>
            <w:pPr>
              <w:pStyle w:val="Compact"/>
              <w:jc w:val="right"/>
            </w:pPr>
            <w:r>
              <w:t xml:space="preserve">64</w:t>
            </w:r>
          </w:p>
        </w:tc>
        <w:tc>
          <w:tcPr/>
          <w:p>
            <w:pPr>
              <w:pStyle w:val="Compact"/>
              <w:jc w:val="right"/>
            </w:pPr>
            <w:r>
              <w:t xml:space="preserve">3.380</w:t>
            </w:r>
          </w:p>
        </w:tc>
        <w:tc>
          <w:tcPr/>
          <w:p>
            <w:pPr>
              <w:pStyle w:val="Compact"/>
              <w:jc w:val="right"/>
            </w:pPr>
            <w:r>
              <w:t xml:space="preserve">2.756</w:t>
            </w:r>
          </w:p>
        </w:tc>
        <w:tc>
          <w:tcPr/>
          <w:p>
            <w:pPr>
              <w:pStyle w:val="Compact"/>
              <w:jc w:val="right"/>
            </w:pPr>
            <w:r>
              <w:t xml:space="preserve">6.505</w:t>
            </w:r>
          </w:p>
        </w:tc>
      </w:tr>
      <w:tr>
        <w:tc>
          <w:tcPr/>
          <w:p>
            <w:pPr>
              <w:pStyle w:val="Compact"/>
              <w:jc w:val="left"/>
            </w:pPr>
            <w:r>
              <w:rPr>
                <w:rFonts w:hint="eastAsia"/>
              </w:rPr>
              <w:t xml:space="preserve">交易日序号口径</w:t>
            </w:r>
          </w:p>
        </w:tc>
        <w:tc>
          <w:tcPr/>
          <w:p>
            <w:pPr>
              <w:pStyle w:val="Compact"/>
              <w:jc w:val="right"/>
            </w:pPr>
            <w:r>
              <w:t xml:space="preserve">45</w:t>
            </w:r>
          </w:p>
        </w:tc>
        <w:tc>
          <w:tcPr/>
          <w:p>
            <w:pPr>
              <w:pStyle w:val="Compact"/>
              <w:jc w:val="right"/>
            </w:pPr>
            <w:r>
              <w:t xml:space="preserve">7.407</w:t>
            </w:r>
          </w:p>
        </w:tc>
        <w:tc>
          <w:tcPr/>
          <w:p>
            <w:pPr>
              <w:pStyle w:val="Compact"/>
              <w:jc w:val="right"/>
            </w:pPr>
            <w:r>
              <w:t xml:space="preserve">5.984</w:t>
            </w:r>
          </w:p>
        </w:tc>
        <w:tc>
          <w:tcPr/>
          <w:p>
            <w:pPr>
              <w:pStyle w:val="Compact"/>
              <w:jc w:val="right"/>
            </w:pPr>
            <w:r>
              <w:t xml:space="preserve">20.178</w:t>
            </w:r>
          </w:p>
        </w:tc>
      </w:tr>
    </w:tbl>
    <w:p>
      <w:pPr>
        <w:pStyle w:val="BodyText"/>
      </w:pPr>
      <w:r>
        <w:rPr>
          <w:rFonts w:hint="eastAsia"/>
        </w:rPr>
        <w:t xml:space="preserve">结果显示，交易日序号口径在同参条件下明显恶化，尤其高价平台</w:t>
      </w:r>
      <w:r>
        <w:t xml:space="preserve"> RMSE </w:t>
      </w:r>
      <w:r>
        <w:rPr>
          <w:rFonts w:hint="eastAsia"/>
        </w:rPr>
        <w:t xml:space="preserve">升至</w:t>
      </w:r>
      <w:r>
        <w:t xml:space="preserve"> 15.22 </w:t>
      </w:r>
      <w:r>
        <w:rPr>
          <w:rFonts w:hint="eastAsia"/>
        </w:rPr>
        <w:t xml:space="preserve">美元/桶。因此，当前主模型保留日历日口径是合理的：封锁冲击、政策释放和运输恢复并不会在周末停止，按真实经过时间推进更符合机制解释题的语义。</w:t>
      </w:r>
    </w:p>
    <w:p>
      <w:pPr>
        <w:pStyle w:val="BodyText"/>
      </w:pPr>
      <w:r>
        <w:rPr>
          <w:rFonts w:hint="eastAsia"/>
        </w:rPr>
        <w:t xml:space="preserve">进一步地，本文将</w:t>
      </w:r>
      <w:r>
        <w:t xml:space="preserve"> 46 </w:t>
      </w:r>
      <w:r>
        <w:rPr>
          <w:rFonts w:hint="eastAsia"/>
        </w:rPr>
        <w:t xml:space="preserve">个交易日按时间顺序切分为</w:t>
      </w:r>
      <w:r>
        <w:t xml:space="preserve"> 5 </w:t>
      </w:r>
      <w:r>
        <w:rPr>
          <w:rFonts w:hint="eastAsia"/>
        </w:rPr>
        <w:t xml:space="preserve">个连续块，使用同一组参数检查各块误差。被删除块</w:t>
      </w:r>
      <w:r>
        <w:t xml:space="preserve"> RMSE </w:t>
      </w:r>
      <w:r>
        <w:rPr>
          <w:rFonts w:hint="eastAsia"/>
        </w:rPr>
        <w:t xml:space="preserve">分别为</w:t>
      </w:r>
      <w:r>
        <w:t xml:space="preserve"> 3.27、3.58、4.60、2.55 </w:t>
      </w:r>
      <w:r>
        <w:rPr>
          <w:rFonts w:hint="eastAsia"/>
        </w:rPr>
        <w:t xml:space="preserve">和</w:t>
      </w:r>
      <w:r>
        <w:t xml:space="preserve"> 2.84 </w:t>
      </w:r>
      <w:r>
        <w:rPr>
          <w:rFonts w:hint="eastAsia"/>
        </w:rPr>
        <w:t xml:space="preserve">美元/桶，标准差为</w:t>
      </w:r>
      <w:r>
        <w:t xml:space="preserve"> </w:t>
      </w:r>
      <w:r>
        <w:rPr>
          <w:rFonts w:hint="eastAsia"/>
        </w:rPr>
        <w:t xml:space="preserve">0.71。最难片段为</w:t>
      </w:r>
      <w:r>
        <w:t xml:space="preserve"> 2026 </w:t>
      </w:r>
      <w:r>
        <w:rPr>
          <w:rFonts w:hint="eastAsia"/>
        </w:rPr>
        <w:t xml:space="preserve">年</w:t>
      </w:r>
      <w:r>
        <w:t xml:space="preserve"> 3 </w:t>
      </w:r>
      <w:r>
        <w:rPr>
          <w:rFonts w:hint="eastAsia"/>
        </w:rPr>
        <w:t xml:space="preserve">月</w:t>
      </w:r>
      <w:r>
        <w:t xml:space="preserve"> 27 </w:t>
      </w:r>
      <w:r>
        <w:rPr>
          <w:rFonts w:hint="eastAsia"/>
        </w:rPr>
        <w:t xml:space="preserve">日至</w:t>
      </w:r>
      <w:r>
        <w:t xml:space="preserve"> 4 </w:t>
      </w:r>
      <w:r>
        <w:rPr>
          <w:rFonts w:hint="eastAsia"/>
        </w:rPr>
        <w:t xml:space="preserve">月</w:t>
      </w:r>
      <w:r>
        <w:t xml:space="preserve"> 9 </w:t>
      </w:r>
      <w:r>
        <w:rPr>
          <w:rFonts w:hint="eastAsia"/>
        </w:rPr>
        <w:t xml:space="preserve">日，RMSE</w:t>
      </w:r>
      <w:r>
        <w:t xml:space="preserve"> </w:t>
      </w:r>
      <w:r>
        <w:rPr>
          <w:rFonts w:hint="eastAsia"/>
        </w:rPr>
        <w:t xml:space="preserve">为</w:t>
      </w:r>
      <w:r>
        <w:t xml:space="preserve"> 4.60 </w:t>
      </w:r>
      <w:r>
        <w:rPr>
          <w:rFonts w:hint="eastAsia"/>
        </w:rPr>
        <w:t xml:space="preserve">美元/桶，说明模型的主要残余误差集中在中期平台再定价阶段，而不是平均分布在所有时期。</w:t>
      </w:r>
    </w:p>
    <w:p>
      <w:pPr>
        <w:pStyle w:val="CaptionedFigure"/>
      </w:pPr>
      <w:r>
        <w:drawing>
          <wp:inline>
            <wp:extent cx="4907280" cy="1890211"/>
            <wp:effectExtent b="0" l="0" r="0" t="0"/>
            <wp:docPr descr="" title="" id="80" name="Picture"/>
            <a:graphic>
              <a:graphicData uri="http://schemas.openxmlformats.org/drawingml/2006/picture">
                <pic:pic>
                  <pic:nvPicPr>
                    <pic:cNvPr descr="短期模型时间轴与删块稳健性.png" id="81" name="Picture"/>
                    <pic:cNvPicPr>
                      <a:picLocks noChangeArrowheads="1" noChangeAspect="1"/>
                    </pic:cNvPicPr>
                  </pic:nvPicPr>
                  <pic:blipFill>
                    <a:blip r:embed="rId79"/>
                    <a:stretch>
                      <a:fillRect/>
                    </a:stretch>
                  </pic:blipFill>
                  <pic:spPr bwMode="auto">
                    <a:xfrm>
                      <a:off x="0" y="0"/>
                      <a:ext cx="4907280" cy="1890211"/>
                    </a:xfrm>
                    <a:prstGeom prst="rect">
                      <a:avLst/>
                    </a:prstGeom>
                    <a:noFill/>
                    <a:ln w="9525">
                      <a:noFill/>
                      <a:headEnd/>
                      <a:tailEnd/>
                    </a:ln>
                  </pic:spPr>
                </pic:pic>
              </a:graphicData>
            </a:graphic>
          </wp:inline>
        </w:drawing>
      </w:r>
    </w:p>
    <w:p>
      <w:pPr>
        <w:pStyle w:val="ImageCaption"/>
      </w:pPr>
      <w:r>
        <w:rPr>
          <w:rFonts w:hint="eastAsia"/>
        </w:rPr>
        <w:t xml:space="preserve">短期模型时间轴与删块稳健性复核</w:t>
      </w:r>
    </w:p>
    <w:bookmarkEnd w:id="82"/>
    <w:bookmarkStart w:id="89" w:name="统计检验与-r-语言辅助定位"/>
    <w:p>
      <w:pPr>
        <w:pStyle w:val="Heading3"/>
      </w:pPr>
      <w:r>
        <w:rPr>
          <w:rFonts w:hint="eastAsia"/>
        </w:rPr>
        <w:t xml:space="preserve">统计检验与</w:t>
      </w:r>
      <w:r>
        <w:t xml:space="preserve"> R </w:t>
      </w:r>
      <w:r>
        <w:rPr>
          <w:rFonts w:hint="eastAsia"/>
        </w:rPr>
        <w:t xml:space="preserve">语言辅助定位</w:t>
      </w:r>
    </w:p>
    <w:p>
      <w:pPr>
        <w:pStyle w:val="FirstParagraph"/>
      </w:pPr>
      <w:r>
        <w:rPr>
          <w:rFonts w:hint="eastAsia"/>
        </w:rPr>
        <w:t xml:space="preserve">本文还在剔除首日后构造可比较样本，将短期冲击模型与朴素上一日基准进行误差和统计比较。剔除首日是因为朴素上一日基准需要上一交易日真实价格作为输入，因此本节统计检验中的</w:t>
      </w:r>
      <w:r>
        <w:t xml:space="preserve"> RMSE </w:t>
      </w:r>
      <w:r>
        <w:rPr>
          <w:rFonts w:hint="eastAsia"/>
        </w:rPr>
        <w:t xml:space="preserve">与前文全窗口</w:t>
      </w:r>
      <w:r>
        <w:t xml:space="preserve"> RMSE </w:t>
      </w:r>
      <w:r>
        <w:rPr>
          <w:rFonts w:hint="eastAsia"/>
        </w:rPr>
        <w:t xml:space="preserve">略有差异。</w:t>
      </w:r>
    </w:p>
    <w:p>
      <w:pPr>
        <w:pStyle w:val="TableCaption"/>
      </w:pPr>
      <w:r>
        <w:rPr>
          <w:rFonts w:hint="eastAsia"/>
        </w:rPr>
        <w:t xml:space="preserve">短期模型统计检验结果</w:t>
      </w:r>
    </w:p>
    <w:tbl>
      <w:tblPr>
        <w:tblStyle w:val="Table"/>
        <w:tblW w:type="auto" w:w="0"/>
        <w:tblLook w:firstRow="1" w:lastRow="0" w:firstColumn="0" w:lastColumn="0" w:noHBand="0" w:noVBand="0" w:val="0020"/>
        <w:tblCaption w:val="短期模型统计检验结果"/>
      </w:tblPr>
      <w:tblGrid>
        <w:gridCol w:w="1980"/>
        <w:gridCol w:w="1980"/>
        <w:gridCol w:w="1980"/>
        <w:gridCol w:w="1980"/>
      </w:tblGrid>
      <w:tr>
        <w:trPr>
          <w:tblHeader w:val="on"/>
        </w:trPr>
        <w:tc>
          <w:tcPr/>
          <w:p>
            <w:pPr>
              <w:pStyle w:val="Compact"/>
              <w:jc w:val="left"/>
            </w:pPr>
            <w:r>
              <w:rPr>
                <w:rFonts w:hint="eastAsia"/>
              </w:rPr>
              <w:t xml:space="preserve">检验项</w:t>
            </w:r>
          </w:p>
        </w:tc>
        <w:tc>
          <w:tcPr/>
          <w:p>
            <w:pPr>
              <w:pStyle w:val="Compact"/>
              <w:jc w:val="right"/>
            </w:pPr>
            <w:r>
              <w:rPr>
                <w:rFonts w:hint="eastAsia"/>
              </w:rPr>
              <w:t xml:space="preserve">本文模型</w:t>
            </w:r>
          </w:p>
        </w:tc>
        <w:tc>
          <w:tcPr/>
          <w:p>
            <w:pPr>
              <w:pStyle w:val="Compact"/>
              <w:jc w:val="right"/>
            </w:pPr>
            <w:r>
              <w:rPr>
                <w:rFonts w:hint="eastAsia"/>
              </w:rPr>
              <w:t xml:space="preserve">对照或</w:t>
            </w:r>
            <w:r>
              <w:t xml:space="preserve"> p </w:t>
            </w:r>
            <w:r>
              <w:rPr>
                <w:rFonts w:hint="eastAsia"/>
              </w:rPr>
              <w:t xml:space="preserve">值</w:t>
            </w:r>
          </w:p>
        </w:tc>
        <w:tc>
          <w:tcPr/>
          <w:p>
            <w:pPr>
              <w:pStyle w:val="Compact"/>
              <w:jc w:val="left"/>
            </w:pPr>
            <w:r>
              <w:rPr>
                <w:rFonts w:hint="eastAsia"/>
              </w:rPr>
              <w:t xml:space="preserve">解释</w:t>
            </w:r>
          </w:p>
        </w:tc>
      </w:tr>
      <w:tr>
        <w:tc>
          <w:tcPr/>
          <w:p>
            <w:pPr>
              <w:pStyle w:val="Compact"/>
              <w:jc w:val="left"/>
            </w:pPr>
            <w:r>
              <w:t xml:space="preserve">RMSE</w:t>
            </w:r>
          </w:p>
        </w:tc>
        <w:tc>
          <w:tcPr/>
          <w:p>
            <w:pPr>
              <w:pStyle w:val="Compact"/>
              <w:jc w:val="right"/>
            </w:pPr>
            <w:r>
              <w:t xml:space="preserve">3.42</w:t>
            </w:r>
          </w:p>
        </w:tc>
        <w:tc>
          <w:tcPr/>
          <w:p>
            <w:pPr>
              <w:pStyle w:val="Compact"/>
              <w:jc w:val="right"/>
            </w:pPr>
            <w:r>
              <w:t xml:space="preserve">4.52</w:t>
            </w:r>
          </w:p>
        </w:tc>
        <w:tc>
          <w:tcPr/>
          <w:p>
            <w:pPr>
              <w:pStyle w:val="Compact"/>
              <w:jc w:val="left"/>
            </w:pPr>
            <w:r>
              <w:rPr>
                <w:rFonts w:hint="eastAsia"/>
              </w:rPr>
              <w:t xml:space="preserve">对照为朴素上一日基准，改善约</w:t>
            </w:r>
            <w:r>
              <w:t xml:space="preserve"> 24.4%</w:t>
            </w:r>
          </w:p>
        </w:tc>
      </w:tr>
      <w:tr>
        <w:tc>
          <w:tcPr/>
          <w:p>
            <w:pPr>
              <w:pStyle w:val="Compact"/>
              <w:jc w:val="left"/>
            </w:pPr>
            <w:r>
              <w:t xml:space="preserve">MAE</w:t>
            </w:r>
          </w:p>
        </w:tc>
        <w:tc>
          <w:tcPr/>
          <w:p>
            <w:pPr>
              <w:pStyle w:val="Compact"/>
              <w:jc w:val="right"/>
            </w:pPr>
            <w:r>
              <w:t xml:space="preserve">2.80</w:t>
            </w:r>
          </w:p>
        </w:tc>
        <w:tc>
          <w:tcPr/>
          <w:p>
            <w:pPr>
              <w:pStyle w:val="Compact"/>
              <w:jc w:val="right"/>
            </w:pPr>
            <w:r>
              <w:t xml:space="preserve">3.65</w:t>
            </w:r>
          </w:p>
        </w:tc>
        <w:tc>
          <w:tcPr/>
          <w:p>
            <w:pPr>
              <w:pStyle w:val="Compact"/>
              <w:jc w:val="left"/>
            </w:pPr>
            <w:r>
              <w:rPr>
                <w:rFonts w:hint="eastAsia"/>
              </w:rPr>
              <w:t xml:space="preserve">平均绝对误差低于朴素基准</w:t>
            </w:r>
          </w:p>
        </w:tc>
      </w:tr>
      <w:tr>
        <w:tc>
          <w:tcPr/>
          <w:p>
            <w:pPr>
              <w:pStyle w:val="Compact"/>
              <w:jc w:val="left"/>
            </w:pPr>
            <w:r>
              <w:t xml:space="preserve">MAPE</w:t>
            </w:r>
          </w:p>
        </w:tc>
        <w:tc>
          <w:tcPr/>
          <w:p>
            <w:pPr>
              <w:pStyle w:val="Compact"/>
              <w:jc w:val="right"/>
            </w:pPr>
            <w:r>
              <w:t xml:space="preserve">2.79%</w:t>
            </w:r>
          </w:p>
        </w:tc>
        <w:tc>
          <w:tcPr/>
          <w:p>
            <w:pPr>
              <w:pStyle w:val="Compact"/>
              <w:jc w:val="right"/>
            </w:pPr>
            <w:r>
              <w:t xml:space="preserve">3.62%</w:t>
            </w:r>
          </w:p>
        </w:tc>
        <w:tc>
          <w:tcPr/>
          <w:p>
            <w:pPr>
              <w:pStyle w:val="Compact"/>
              <w:jc w:val="left"/>
            </w:pPr>
            <w:r>
              <w:rPr>
                <w:rFonts w:hint="eastAsia"/>
              </w:rPr>
              <w:t xml:space="preserve">相对误差低于朴素基准</w:t>
            </w:r>
          </w:p>
        </w:tc>
      </w:tr>
      <w:tr>
        <w:tc>
          <w:tcPr/>
          <w:p>
            <w:pPr>
              <w:pStyle w:val="Compact"/>
              <w:jc w:val="left"/>
            </w:pPr>
            <w:r>
              <w:t xml:space="preserve">DM </w:t>
            </w:r>
            <w:r>
              <w:rPr>
                <w:rFonts w:hint="eastAsia"/>
              </w:rPr>
              <w:t xml:space="preserve">平方损失检验</w:t>
            </w:r>
          </w:p>
        </w:tc>
        <w:tc>
          <w:tcPr/>
          <w:p>
            <w:pPr>
              <w:pStyle w:val="Compact"/>
              <w:jc w:val="right"/>
            </w:pPr>
            <w:r>
              <w:t xml:space="preserve">-2.12</w:t>
            </w:r>
          </w:p>
        </w:tc>
        <w:tc>
          <w:tcPr/>
          <w:p>
            <w:pPr>
              <w:pStyle w:val="Compact"/>
              <w:jc w:val="right"/>
            </w:pPr>
            <w:r>
              <w:t xml:space="preserve">0.020</w:t>
            </w:r>
          </w:p>
        </w:tc>
        <w:tc>
          <w:tcPr/>
          <w:p>
            <w:pPr>
              <w:pStyle w:val="Compact"/>
              <w:jc w:val="left"/>
            </w:pPr>
            <w:r>
              <w:t xml:space="preserve">R </w:t>
            </w:r>
            <w:r>
              <w:rPr>
                <w:rFonts w:hint="eastAsia"/>
              </w:rPr>
              <w:t xml:space="preserve">独立复核下，单侧检验支持模型优于朴素基准</w:t>
            </w:r>
          </w:p>
        </w:tc>
      </w:tr>
      <w:tr>
        <w:tc>
          <w:tcPr/>
          <w:p>
            <w:pPr>
              <w:pStyle w:val="Compact"/>
              <w:jc w:val="left"/>
            </w:pPr>
            <w:r>
              <w:t xml:space="preserve">DM </w:t>
            </w:r>
            <w:r>
              <w:rPr>
                <w:rFonts w:hint="eastAsia"/>
              </w:rPr>
              <w:t xml:space="preserve">绝对损失检验</w:t>
            </w:r>
          </w:p>
        </w:tc>
        <w:tc>
          <w:tcPr/>
          <w:p>
            <w:pPr>
              <w:pStyle w:val="Compact"/>
              <w:jc w:val="right"/>
            </w:pPr>
            <w:r>
              <w:t xml:space="preserve">-1.82</w:t>
            </w:r>
          </w:p>
        </w:tc>
        <w:tc>
          <w:tcPr/>
          <w:p>
            <w:pPr>
              <w:pStyle w:val="Compact"/>
              <w:jc w:val="right"/>
            </w:pPr>
            <w:r>
              <w:t xml:space="preserve">0.038</w:t>
            </w:r>
          </w:p>
        </w:tc>
        <w:tc>
          <w:tcPr/>
          <w:p>
            <w:pPr>
              <w:pStyle w:val="Compact"/>
              <w:jc w:val="left"/>
            </w:pPr>
            <w:r>
              <w:rPr>
                <w:rFonts w:hint="eastAsia"/>
              </w:rPr>
              <w:t xml:space="preserve">绝对损失优势接近</w:t>
            </w:r>
            <w:r>
              <w:t xml:space="preserve"> 5% </w:t>
            </w:r>
            <w:r>
              <w:rPr>
                <w:rFonts w:hint="eastAsia"/>
              </w:rPr>
              <w:t xml:space="preserve">显著性边界，不作强显著性夸大</w:t>
            </w:r>
          </w:p>
        </w:tc>
      </w:tr>
      <w:tr>
        <w:tc>
          <w:tcPr/>
          <w:p>
            <w:pPr>
              <w:pStyle w:val="Compact"/>
              <w:jc w:val="left"/>
            </w:pPr>
            <w:r>
              <w:rPr>
                <w:rFonts w:hint="eastAsia"/>
              </w:rPr>
              <w:t xml:space="preserve">方向命中率</w:t>
            </w:r>
          </w:p>
        </w:tc>
        <w:tc>
          <w:tcPr/>
          <w:p>
            <w:pPr>
              <w:pStyle w:val="Compact"/>
              <w:jc w:val="right"/>
            </w:pPr>
            <w:r>
              <w:t xml:space="preserve">65.9%</w:t>
            </w:r>
          </w:p>
        </w:tc>
        <w:tc>
          <w:tcPr/>
          <w:p>
            <w:pPr>
              <w:pStyle w:val="Compact"/>
              <w:jc w:val="right"/>
            </w:pPr>
            <w:r>
              <w:t xml:space="preserve">0.024</w:t>
            </w:r>
          </w:p>
        </w:tc>
        <w:tc>
          <w:tcPr/>
          <w:p>
            <w:pPr>
              <w:pStyle w:val="Compact"/>
              <w:jc w:val="left"/>
            </w:pPr>
            <w:r>
              <w:rPr>
                <w:rFonts w:hint="eastAsia"/>
              </w:rPr>
              <w:t xml:space="preserve">相对随机</w:t>
            </w:r>
            <w:r>
              <w:t xml:space="preserve"> 50% </w:t>
            </w:r>
            <w:r>
              <w:rPr>
                <w:rFonts w:hint="eastAsia"/>
              </w:rPr>
              <w:t xml:space="preserve">的单侧二项检验</w:t>
            </w:r>
          </w:p>
        </w:tc>
      </w:tr>
      <w:tr>
        <w:tc>
          <w:tcPr/>
          <w:p>
            <w:pPr>
              <w:pStyle w:val="Compact"/>
              <w:jc w:val="left"/>
            </w:pPr>
            <w:r>
              <w:t xml:space="preserve">Ljung–Box lag10</w:t>
            </w:r>
          </w:p>
        </w:tc>
        <w:tc>
          <w:tcPr/>
          <w:p>
            <w:pPr>
              <w:pStyle w:val="Compact"/>
              <w:jc w:val="right"/>
            </w:pPr>
            <w:r>
              <w:t xml:space="preserve">10.92</w:t>
            </w:r>
          </w:p>
        </w:tc>
        <w:tc>
          <w:tcPr/>
          <w:p>
            <w:pPr>
              <w:pStyle w:val="Compact"/>
              <w:jc w:val="right"/>
            </w:pPr>
            <w:r>
              <w:t xml:space="preserve">0.364</w:t>
            </w:r>
          </w:p>
        </w:tc>
        <w:tc>
          <w:tcPr/>
          <w:p>
            <w:pPr>
              <w:pStyle w:val="Compact"/>
              <w:jc w:val="left"/>
            </w:pPr>
            <w:r>
              <w:rPr>
                <w:rFonts w:hint="eastAsia"/>
              </w:rPr>
              <w:t xml:space="preserve">未发现显著线性残差自相关</w:t>
            </w:r>
          </w:p>
        </w:tc>
      </w:tr>
      <w:tr>
        <w:tc>
          <w:tcPr/>
          <w:p>
            <w:pPr>
              <w:pStyle w:val="Compact"/>
              <w:jc w:val="left"/>
            </w:pPr>
            <w:r>
              <w:t xml:space="preserve">ARCH–LM lag5</w:t>
            </w:r>
          </w:p>
        </w:tc>
        <w:tc>
          <w:tcPr/>
          <w:p>
            <w:pPr>
              <w:pStyle w:val="Compact"/>
              <w:jc w:val="right"/>
            </w:pPr>
            <w:r>
              <w:t xml:space="preserve">5.22</w:t>
            </w:r>
          </w:p>
        </w:tc>
        <w:tc>
          <w:tcPr/>
          <w:p>
            <w:pPr>
              <w:pStyle w:val="Compact"/>
              <w:jc w:val="right"/>
            </w:pPr>
            <w:r>
              <w:t xml:space="preserve">0.389</w:t>
            </w:r>
          </w:p>
        </w:tc>
        <w:tc>
          <w:tcPr/>
          <w:p>
            <w:pPr>
              <w:pStyle w:val="Compact"/>
              <w:jc w:val="left"/>
            </w:pPr>
            <w:r>
              <w:rPr>
                <w:rFonts w:hint="eastAsia"/>
              </w:rPr>
              <w:t xml:space="preserve">未发现强条件异方差证据</w:t>
            </w:r>
          </w:p>
        </w:tc>
      </w:tr>
      <w:tr>
        <w:tc>
          <w:tcPr/>
          <w:p>
            <w:pPr>
              <w:pStyle w:val="Compact"/>
              <w:jc w:val="left"/>
            </w:pPr>
            <w:r>
              <w:t xml:space="preserve">Newey–West </w:t>
            </w:r>
            <w:r>
              <w:rPr>
                <w:rFonts w:hint="eastAsia"/>
              </w:rPr>
              <w:t xml:space="preserve">校准诊断</w:t>
            </w:r>
          </w:p>
        </w:tc>
        <w:tc>
          <w:tcPr/>
          <w:p>
            <w:pPr>
              <w:pStyle w:val="Compact"/>
              <w:jc w:val="right"/>
            </w:pPr>
            <w:r>
              <w:t xml:space="preserve">1.061</w:t>
            </w:r>
          </w:p>
        </w:tc>
        <w:tc>
          <w:tcPr/>
          <w:p>
            <w:pPr>
              <w:pStyle w:val="Compact"/>
              <w:jc w:val="right"/>
            </w:pPr>
            <m:oMath>
              <m:r>
                <m:rPr>
                  <m:sty m:val="p"/>
                </m:rPr>
                <m:t>&lt;</m:t>
              </m:r>
              <m:r>
                <m:t>0.001</m:t>
              </m:r>
            </m:oMath>
          </w:p>
        </w:tc>
        <w:tc>
          <w:tcPr/>
          <w:p>
            <w:pPr>
              <w:pStyle w:val="Compact"/>
              <w:jc w:val="left"/>
            </w:pPr>
            <w:r>
              <w:rPr>
                <w:rFonts w:hint="eastAsia"/>
              </w:rPr>
              <w:t xml:space="preserve">仅作拟合值与真实价格的刻画性校准诊断，不作为独立因果或样本外证明</w:t>
            </w:r>
          </w:p>
        </w:tc>
      </w:tr>
    </w:tbl>
    <w:p>
      <w:pPr>
        <w:pStyle w:val="CaptionedFigure"/>
      </w:pPr>
      <w:r>
        <w:drawing>
          <wp:inline>
            <wp:extent cx="4907280" cy="2826593"/>
            <wp:effectExtent b="0" l="0" r="0" t="0"/>
            <wp:docPr descr="" title="" id="84" name="Picture"/>
            <a:graphic>
              <a:graphicData uri="http://schemas.openxmlformats.org/drawingml/2006/picture">
                <pic:pic>
                  <pic:nvPicPr>
                    <pic:cNvPr descr="短期模型统计审计.png" id="85" name="Picture"/>
                    <pic:cNvPicPr>
                      <a:picLocks noChangeArrowheads="1" noChangeAspect="1"/>
                    </pic:cNvPicPr>
                  </pic:nvPicPr>
                  <pic:blipFill>
                    <a:blip r:embed="rId83"/>
                    <a:stretch>
                      <a:fillRect/>
                    </a:stretch>
                  </pic:blipFill>
                  <pic:spPr bwMode="auto">
                    <a:xfrm>
                      <a:off x="0" y="0"/>
                      <a:ext cx="4907280" cy="2826593"/>
                    </a:xfrm>
                    <a:prstGeom prst="rect">
                      <a:avLst/>
                    </a:prstGeom>
                    <a:noFill/>
                    <a:ln w="9525">
                      <a:noFill/>
                      <a:headEnd/>
                      <a:tailEnd/>
                    </a:ln>
                  </pic:spPr>
                </pic:pic>
              </a:graphicData>
            </a:graphic>
          </wp:inline>
        </w:drawing>
      </w:r>
    </w:p>
    <w:p>
      <w:pPr>
        <w:pStyle w:val="ImageCaption"/>
      </w:pPr>
      <w:r>
        <w:rPr>
          <w:rFonts w:hint="eastAsia"/>
        </w:rPr>
        <w:t xml:space="preserve">短期模型统计检验图</w:t>
      </w:r>
    </w:p>
    <w:p>
      <w:pPr>
        <w:pStyle w:val="BodyText"/>
      </w:pPr>
      <w:r>
        <w:rPr>
          <w:rFonts w:hint="eastAsia"/>
        </w:rPr>
        <w:t xml:space="preserve">分段统计给出更细的判断：前段冲击吸收和后段预期修复阶段，本文模型相对朴素基准的</w:t>
      </w:r>
      <w:r>
        <w:t xml:space="preserve"> RMSE </w:t>
      </w:r>
      <w:r>
        <w:rPr>
          <w:rFonts w:hint="eastAsia"/>
        </w:rPr>
        <w:t xml:space="preserve">改善率分别约为</w:t>
      </w:r>
      <w:r>
        <w:t xml:space="preserve"> 33.4% </w:t>
      </w:r>
      <w:r>
        <w:rPr>
          <w:rFonts w:hint="eastAsia"/>
        </w:rPr>
        <w:t xml:space="preserve">和</w:t>
      </w:r>
      <w:r>
        <w:t xml:space="preserve"> </w:t>
      </w:r>
      <w:r>
        <w:rPr>
          <w:rFonts w:hint="eastAsia"/>
        </w:rPr>
        <w:t xml:space="preserve">34.1%；中段平台维持阶段改善率约为</w:t>
      </w:r>
      <w:r>
        <w:t xml:space="preserve"> </w:t>
      </w:r>
      <w:r>
        <w:rPr>
          <w:rFonts w:hint="eastAsia"/>
        </w:rPr>
        <w:t xml:space="preserve">3.9%，说明平台震荡期仍是模型的主要难点。总体看，DM</w:t>
      </w:r>
      <w:r>
        <w:t xml:space="preserve"> </w:t>
      </w:r>
      <w:r>
        <w:rPr>
          <w:rFonts w:hint="eastAsia"/>
        </w:rPr>
        <w:t xml:space="preserve">检验和方向命中检验提供了支持性统计证据；样本只有</w:t>
      </w:r>
      <w:r>
        <w:t xml:space="preserve"> 45 </w:t>
      </w:r>
      <w:r>
        <w:rPr>
          <w:rFonts w:hint="eastAsia"/>
        </w:rPr>
        <w:t xml:space="preserve">个可比较交易日，绝对损失</w:t>
      </w:r>
      <w:r>
        <w:t xml:space="preserve"> DM </w:t>
      </w:r>
      <w:r>
        <w:rPr>
          <w:rFonts w:hint="eastAsia"/>
        </w:rPr>
        <w:t xml:space="preserve">检验也接近显著性边界，因此这些统计结果作为基准对比、滞后检验和机制消融之外的补充验证。Newey–West</w:t>
      </w:r>
      <w:r>
        <w:t xml:space="preserve"> </w:t>
      </w:r>
      <w:r>
        <w:rPr>
          <w:rFonts w:hint="eastAsia"/>
        </w:rPr>
        <w:t xml:space="preserve">回归仅用于刻画拟合路径与真实价格的线性一致性。</w:t>
      </w:r>
    </w:p>
    <w:p>
      <w:pPr>
        <w:pStyle w:val="BodyText"/>
      </w:pPr>
      <w:r>
        <w:t xml:space="preserve">R </w:t>
      </w:r>
      <w:r>
        <w:rPr>
          <w:rFonts w:hint="eastAsia"/>
        </w:rPr>
        <w:t xml:space="preserve">语言在本文中承担独立计量复核功能，用于检验</w:t>
      </w:r>
      <w:r>
        <w:t xml:space="preserve"> </w:t>
      </w:r>
      <w:r>
        <w:rPr>
          <w:rFonts w:hint="eastAsia"/>
        </w:rPr>
        <w:t xml:space="preserve">DM、方向命中、Ljung–Box、ADF、ARCH/GARCH</w:t>
      </w:r>
      <w:r>
        <w:t xml:space="preserve"> </w:t>
      </w:r>
      <w:r>
        <w:rPr>
          <w:rFonts w:hint="eastAsia"/>
        </w:rPr>
        <w:t xml:space="preserve">和</w:t>
      </w:r>
      <w:r>
        <w:t xml:space="preserve"> Newey–West </w:t>
      </w:r>
      <w:r>
        <w:rPr>
          <w:rFonts w:hint="eastAsia"/>
        </w:rPr>
        <w:t xml:space="preserve">稳健校准回归。R</w:t>
      </w:r>
      <w:r>
        <w:t xml:space="preserve"> </w:t>
      </w:r>
      <w:r>
        <w:rPr>
          <w:rFonts w:hint="eastAsia"/>
        </w:rPr>
        <w:t xml:space="preserve">复核显示，价格水平和对数价格不能拒绝单位根假设，而对数收益率可拒绝单位根假设；GARCH(1,1)</w:t>
      </w:r>
      <w:r>
        <w:t xml:space="preserve"> </w:t>
      </w:r>
      <w:r>
        <w:rPr>
          <w:rFonts w:hint="eastAsia"/>
        </w:rPr>
        <w:t xml:space="preserve">在短样本下提示波动持续性。除计量检验外，本文还使用</w:t>
      </w:r>
      <w:r>
        <w:t xml:space="preserve"> R </w:t>
      </w:r>
      <w:r>
        <w:rPr>
          <w:rFonts w:hint="eastAsia"/>
        </w:rPr>
        <w:t xml:space="preserve">的</w:t>
      </w:r>
      <w:r>
        <w:t xml:space="preserve"> ggplot2 </w:t>
      </w:r>
      <w:r>
        <w:rPr>
          <w:rFonts w:hint="eastAsia"/>
        </w:rPr>
        <w:t xml:space="preserve">对关键证据图进行学术化重绘。</w:t>
      </w:r>
    </w:p>
    <w:p>
      <w:pPr>
        <w:pStyle w:val="CaptionedFigure"/>
      </w:pPr>
      <w:r>
        <w:drawing>
          <wp:inline>
            <wp:extent cx="4907280" cy="2892712"/>
            <wp:effectExtent b="0" l="0" r="0" t="0"/>
            <wp:docPr descr="" title="" id="87" name="Picture"/>
            <a:graphic>
              <a:graphicData uri="http://schemas.openxmlformats.org/drawingml/2006/picture">
                <pic:pic>
                  <pic:nvPicPr>
                    <pic:cNvPr descr="R短期误差学术诊断.png" id="88" name="Picture"/>
                    <pic:cNvPicPr>
                      <a:picLocks noChangeArrowheads="1" noChangeAspect="1"/>
                    </pic:cNvPicPr>
                  </pic:nvPicPr>
                  <pic:blipFill>
                    <a:blip r:embed="rId86"/>
                    <a:stretch>
                      <a:fillRect/>
                    </a:stretch>
                  </pic:blipFill>
                  <pic:spPr bwMode="auto">
                    <a:xfrm>
                      <a:off x="0" y="0"/>
                      <a:ext cx="4907280" cy="2892712"/>
                    </a:xfrm>
                    <a:prstGeom prst="rect">
                      <a:avLst/>
                    </a:prstGeom>
                    <a:noFill/>
                    <a:ln w="9525">
                      <a:noFill/>
                      <a:headEnd/>
                      <a:tailEnd/>
                    </a:ln>
                  </pic:spPr>
                </pic:pic>
              </a:graphicData>
            </a:graphic>
          </wp:inline>
        </w:drawing>
      </w:r>
    </w:p>
    <w:p>
      <w:pPr>
        <w:pStyle w:val="ImageCaption"/>
      </w:pPr>
      <w:r>
        <w:t xml:space="preserve">R/ggplot2 </w:t>
      </w:r>
      <w:r>
        <w:rPr>
          <w:rFonts w:hint="eastAsia"/>
        </w:rPr>
        <w:t xml:space="preserve">短期误差学术诊断</w:t>
      </w:r>
    </w:p>
    <w:bookmarkEnd w:id="89"/>
    <w:bookmarkEnd w:id="90"/>
    <w:bookmarkStart w:id="113" w:name="机制消融事件边界与机器学习辅助"/>
    <w:p>
      <w:pPr>
        <w:pStyle w:val="Heading2"/>
      </w:pPr>
      <w:r>
        <w:rPr>
          <w:rFonts w:hint="eastAsia"/>
        </w:rPr>
        <w:t xml:space="preserve">机制消融、事件边界与机器学习辅助</w:t>
      </w:r>
    </w:p>
    <w:bookmarkStart w:id="91" w:name="机制消融的定量证据"/>
    <w:p>
      <w:pPr>
        <w:pStyle w:val="Heading3"/>
      </w:pPr>
      <w:r>
        <w:rPr>
          <w:rFonts w:hint="eastAsia"/>
        </w:rPr>
        <w:t xml:space="preserve">机制消融的定量证据</w:t>
      </w:r>
    </w:p>
    <w:p>
      <w:pPr>
        <w:pStyle w:val="FirstParagraph"/>
      </w:pPr>
      <w:r>
        <w:rPr>
          <w:rFonts w:hint="eastAsia"/>
        </w:rPr>
        <w:t xml:space="preserve">本文对完整模型进行逐项消融：关闭某一机制时，其他参数保持不变，不重新校准。该设计用于检验单个机制在同一参数体系下的边际贡献，而不是重新给每个缺失机制模型寻找最优参数。</w:t>
      </w:r>
    </w:p>
    <w:p>
      <w:pPr>
        <w:pStyle w:val="TableCaption"/>
      </w:pPr>
      <w:r>
        <w:rPr>
          <w:rFonts w:hint="eastAsia"/>
        </w:rPr>
        <w:t xml:space="preserve">短期模型机制消融实验</w:t>
      </w:r>
    </w:p>
    <w:tbl>
      <w:tblPr>
        <w:tblStyle w:val="Table"/>
        <w:tblW w:type="auto" w:w="0"/>
        <w:tblLook w:firstRow="1" w:lastRow="0" w:firstColumn="0" w:lastColumn="0" w:noHBand="0" w:noVBand="0" w:val="0020"/>
        <w:tblCaption w:val="短期模型机制消融实验"/>
      </w:tblPr>
      <w:tblGrid>
        <w:gridCol w:w="1584"/>
        <w:gridCol w:w="1584"/>
        <w:gridCol w:w="1584"/>
        <w:gridCol w:w="1584"/>
        <w:gridCol w:w="1584"/>
      </w:tblGrid>
      <w:tr>
        <w:trPr>
          <w:tblHeader w:val="on"/>
        </w:trPr>
        <w:tc>
          <w:tcPr/>
          <w:p>
            <w:pPr>
              <w:pStyle w:val="Compact"/>
              <w:jc w:val="left"/>
            </w:pPr>
            <w:r>
              <w:rPr>
                <w:rFonts w:hint="eastAsia"/>
              </w:rPr>
              <w:t xml:space="preserve">消融实验</w:t>
            </w:r>
          </w:p>
        </w:tc>
        <w:tc>
          <w:tcPr/>
          <w:p>
            <w:pPr>
              <w:pStyle w:val="Compact"/>
              <w:jc w:val="right"/>
            </w:pPr>
            <w:r>
              <w:t xml:space="preserve">RMSE</w:t>
            </w:r>
          </w:p>
        </w:tc>
        <w:tc>
          <w:tcPr/>
          <w:p>
            <w:pPr>
              <w:pStyle w:val="Compact"/>
              <w:jc w:val="right"/>
            </w:pPr>
            <w:r>
              <w:rPr>
                <w:rFonts w:hint="eastAsia"/>
              </w:rPr>
              <w:t xml:space="preserve">RMSE变化</w:t>
            </w:r>
          </w:p>
        </w:tc>
        <w:tc>
          <w:tcPr/>
          <w:p>
            <w:pPr>
              <w:pStyle w:val="Compact"/>
              <w:jc w:val="right"/>
            </w:pPr>
            <w:r>
              <w:rPr>
                <w:rFonts w:hint="eastAsia"/>
              </w:rPr>
              <w:t xml:space="preserve">后期RMSE</w:t>
            </w:r>
          </w:p>
        </w:tc>
        <w:tc>
          <w:tcPr/>
          <w:p>
            <w:pPr>
              <w:pStyle w:val="Compact"/>
              <w:jc w:val="right"/>
            </w:pPr>
            <w:r>
              <w:rPr>
                <w:rFonts w:hint="eastAsia"/>
              </w:rPr>
              <w:t xml:space="preserve">低价回落RMSE</w:t>
            </w:r>
          </w:p>
        </w:tc>
      </w:tr>
      <w:tr>
        <w:tc>
          <w:tcPr/>
          <w:p>
            <w:pPr>
              <w:pStyle w:val="Compact"/>
              <w:jc w:val="left"/>
            </w:pPr>
            <w:r>
              <w:rPr>
                <w:rFonts w:hint="eastAsia"/>
              </w:rPr>
              <w:t xml:space="preserve">完整模型</w:t>
            </w:r>
          </w:p>
        </w:tc>
        <w:tc>
          <w:tcPr/>
          <w:p>
            <w:pPr>
              <w:pStyle w:val="Compact"/>
              <w:jc w:val="right"/>
            </w:pPr>
            <w:r>
              <w:t xml:space="preserve">3.38</w:t>
            </w:r>
          </w:p>
        </w:tc>
        <w:tc>
          <w:tcPr/>
          <w:p>
            <w:pPr>
              <w:pStyle w:val="Compact"/>
              <w:jc w:val="right"/>
            </w:pPr>
            <w:r>
              <w:t xml:space="preserve">0.00</w:t>
            </w:r>
          </w:p>
        </w:tc>
        <w:tc>
          <w:tcPr/>
          <w:p>
            <w:pPr>
              <w:pStyle w:val="Compact"/>
              <w:jc w:val="right"/>
            </w:pPr>
            <w:r>
              <w:t xml:space="preserve">2.82</w:t>
            </w:r>
          </w:p>
        </w:tc>
        <w:tc>
          <w:tcPr/>
          <w:p>
            <w:pPr>
              <w:pStyle w:val="Compact"/>
              <w:jc w:val="right"/>
            </w:pPr>
            <w:r>
              <w:t xml:space="preserve">3.20</w:t>
            </w:r>
          </w:p>
        </w:tc>
      </w:tr>
      <w:tr>
        <w:tc>
          <w:tcPr/>
          <w:p>
            <w:pPr>
              <w:pStyle w:val="Compact"/>
              <w:jc w:val="left"/>
            </w:pPr>
            <w:r>
              <w:rPr>
                <w:rFonts w:hint="eastAsia"/>
              </w:rPr>
              <w:t xml:space="preserve">无</w:t>
            </w:r>
            <w:r>
              <w:t xml:space="preserve"> SPR</w:t>
            </w:r>
          </w:p>
        </w:tc>
        <w:tc>
          <w:tcPr/>
          <w:p>
            <w:pPr>
              <w:pStyle w:val="Compact"/>
              <w:jc w:val="right"/>
            </w:pPr>
            <w:r>
              <w:t xml:space="preserve">5.19</w:t>
            </w:r>
          </w:p>
        </w:tc>
        <w:tc>
          <w:tcPr/>
          <w:p>
            <w:pPr>
              <w:pStyle w:val="Compact"/>
              <w:jc w:val="right"/>
            </w:pPr>
            <w:r>
              <w:t xml:space="preserve">+1.81</w:t>
            </w:r>
          </w:p>
        </w:tc>
        <w:tc>
          <w:tcPr/>
          <w:p>
            <w:pPr>
              <w:pStyle w:val="Compact"/>
              <w:jc w:val="right"/>
            </w:pPr>
            <w:r>
              <w:t xml:space="preserve">5.08</w:t>
            </w:r>
          </w:p>
        </w:tc>
        <w:tc>
          <w:tcPr/>
          <w:p>
            <w:pPr>
              <w:pStyle w:val="Compact"/>
              <w:jc w:val="right"/>
            </w:pPr>
            <w:r>
              <w:t xml:space="preserve">5.90</w:t>
            </w:r>
          </w:p>
        </w:tc>
      </w:tr>
      <w:tr>
        <w:tc>
          <w:tcPr/>
          <w:p>
            <w:pPr>
              <w:pStyle w:val="Compact"/>
              <w:jc w:val="left"/>
            </w:pPr>
            <w:r>
              <w:rPr>
                <w:rFonts w:hint="eastAsia"/>
              </w:rPr>
              <w:t xml:space="preserve">无库存</w:t>
            </w:r>
          </w:p>
        </w:tc>
        <w:tc>
          <w:tcPr/>
          <w:p>
            <w:pPr>
              <w:pStyle w:val="Compact"/>
              <w:jc w:val="right"/>
            </w:pPr>
            <w:r>
              <w:t xml:space="preserve">4.08</w:t>
            </w:r>
          </w:p>
        </w:tc>
        <w:tc>
          <w:tcPr/>
          <w:p>
            <w:pPr>
              <w:pStyle w:val="Compact"/>
              <w:jc w:val="right"/>
            </w:pPr>
            <w:r>
              <w:t xml:space="preserve">+0.70</w:t>
            </w:r>
          </w:p>
        </w:tc>
        <w:tc>
          <w:tcPr/>
          <w:p>
            <w:pPr>
              <w:pStyle w:val="Compact"/>
              <w:jc w:val="right"/>
            </w:pPr>
            <w:r>
              <w:t xml:space="preserve">2.63</w:t>
            </w:r>
          </w:p>
        </w:tc>
        <w:tc>
          <w:tcPr/>
          <w:p>
            <w:pPr>
              <w:pStyle w:val="Compact"/>
              <w:jc w:val="right"/>
            </w:pPr>
            <w:r>
              <w:t xml:space="preserve">4.39</w:t>
            </w:r>
          </w:p>
        </w:tc>
      </w:tr>
      <w:tr>
        <w:tc>
          <w:tcPr/>
          <w:p>
            <w:pPr>
              <w:pStyle w:val="Compact"/>
              <w:jc w:val="left"/>
            </w:pPr>
            <w:r>
              <w:rPr>
                <w:rFonts w:hint="eastAsia"/>
              </w:rPr>
              <w:t xml:space="preserve">无绕道</w:t>
            </w:r>
          </w:p>
        </w:tc>
        <w:tc>
          <w:tcPr/>
          <w:p>
            <w:pPr>
              <w:pStyle w:val="Compact"/>
              <w:jc w:val="right"/>
            </w:pPr>
            <w:r>
              <w:t xml:space="preserve">3.38</w:t>
            </w:r>
          </w:p>
        </w:tc>
        <w:tc>
          <w:tcPr/>
          <w:p>
            <w:pPr>
              <w:pStyle w:val="Compact"/>
              <w:jc w:val="right"/>
            </w:pPr>
            <w:r>
              <w:t xml:space="preserve">-0.00</w:t>
            </w:r>
          </w:p>
        </w:tc>
        <w:tc>
          <w:tcPr/>
          <w:p>
            <w:pPr>
              <w:pStyle w:val="Compact"/>
              <w:jc w:val="right"/>
            </w:pPr>
            <w:r>
              <w:t xml:space="preserve">2.83</w:t>
            </w:r>
          </w:p>
        </w:tc>
        <w:tc>
          <w:tcPr/>
          <w:p>
            <w:pPr>
              <w:pStyle w:val="Compact"/>
              <w:jc w:val="right"/>
            </w:pPr>
            <w:r>
              <w:t xml:space="preserve">3.22</w:t>
            </w:r>
          </w:p>
        </w:tc>
      </w:tr>
      <w:tr>
        <w:tc>
          <w:tcPr/>
          <w:p>
            <w:pPr>
              <w:pStyle w:val="Compact"/>
              <w:jc w:val="left"/>
            </w:pPr>
            <w:r>
              <w:rPr>
                <w:rFonts w:hint="eastAsia"/>
              </w:rPr>
              <w:t xml:space="preserve">无需求收缩</w:t>
            </w:r>
          </w:p>
        </w:tc>
        <w:tc>
          <w:tcPr/>
          <w:p>
            <w:pPr>
              <w:pStyle w:val="Compact"/>
              <w:jc w:val="right"/>
            </w:pPr>
            <w:r>
              <w:t xml:space="preserve">4.51</w:t>
            </w:r>
          </w:p>
        </w:tc>
        <w:tc>
          <w:tcPr/>
          <w:p>
            <w:pPr>
              <w:pStyle w:val="Compact"/>
              <w:jc w:val="right"/>
            </w:pPr>
            <w:r>
              <w:t xml:space="preserve">+1.13</w:t>
            </w:r>
          </w:p>
        </w:tc>
        <w:tc>
          <w:tcPr/>
          <w:p>
            <w:pPr>
              <w:pStyle w:val="Compact"/>
              <w:jc w:val="right"/>
            </w:pPr>
            <w:r>
              <w:t xml:space="preserve">3.54</w:t>
            </w:r>
          </w:p>
        </w:tc>
        <w:tc>
          <w:tcPr/>
          <w:p>
            <w:pPr>
              <w:pStyle w:val="Compact"/>
              <w:jc w:val="right"/>
            </w:pPr>
            <w:r>
              <w:t xml:space="preserve">5.17</w:t>
            </w:r>
          </w:p>
        </w:tc>
      </w:tr>
      <w:tr>
        <w:tc>
          <w:tcPr/>
          <w:p>
            <w:pPr>
              <w:pStyle w:val="Compact"/>
              <w:jc w:val="left"/>
            </w:pPr>
            <w:r>
              <w:rPr>
                <w:rFonts w:hint="eastAsia"/>
              </w:rPr>
              <w:t xml:space="preserve">无恐慌溢价</w:t>
            </w:r>
          </w:p>
        </w:tc>
        <w:tc>
          <w:tcPr/>
          <w:p>
            <w:pPr>
              <w:pStyle w:val="Compact"/>
              <w:jc w:val="right"/>
            </w:pPr>
            <w:r>
              <w:t xml:space="preserve">3.67</w:t>
            </w:r>
          </w:p>
        </w:tc>
        <w:tc>
          <w:tcPr/>
          <w:p>
            <w:pPr>
              <w:pStyle w:val="Compact"/>
              <w:jc w:val="right"/>
            </w:pPr>
            <w:r>
              <w:t xml:space="preserve">+0.29</w:t>
            </w:r>
          </w:p>
        </w:tc>
        <w:tc>
          <w:tcPr/>
          <w:p>
            <w:pPr>
              <w:pStyle w:val="Compact"/>
              <w:jc w:val="right"/>
            </w:pPr>
            <w:r>
              <w:t xml:space="preserve">2.80</w:t>
            </w:r>
          </w:p>
        </w:tc>
        <w:tc>
          <w:tcPr/>
          <w:p>
            <w:pPr>
              <w:pStyle w:val="Compact"/>
              <w:jc w:val="right"/>
            </w:pPr>
            <w:r>
              <w:t xml:space="preserve">3.39</w:t>
            </w:r>
          </w:p>
        </w:tc>
      </w:tr>
      <w:tr>
        <w:tc>
          <w:tcPr/>
          <w:p>
            <w:pPr>
              <w:pStyle w:val="Compact"/>
              <w:jc w:val="left"/>
            </w:pPr>
            <w:r>
              <w:rPr>
                <w:rFonts w:hint="eastAsia"/>
              </w:rPr>
              <w:t xml:space="preserve">无风险溢价</w:t>
            </w:r>
          </w:p>
        </w:tc>
        <w:tc>
          <w:tcPr/>
          <w:p>
            <w:pPr>
              <w:pStyle w:val="Compact"/>
              <w:jc w:val="right"/>
            </w:pPr>
            <w:r>
              <w:t xml:space="preserve">30.34</w:t>
            </w:r>
          </w:p>
        </w:tc>
        <w:tc>
          <w:tcPr/>
          <w:p>
            <w:pPr>
              <w:pStyle w:val="Compact"/>
              <w:jc w:val="right"/>
            </w:pPr>
            <w:r>
              <w:t xml:space="preserve">+26.96</w:t>
            </w:r>
          </w:p>
        </w:tc>
        <w:tc>
          <w:tcPr/>
          <w:p>
            <w:pPr>
              <w:pStyle w:val="Compact"/>
              <w:jc w:val="right"/>
            </w:pPr>
            <w:r>
              <w:t xml:space="preserve">35.50</w:t>
            </w:r>
          </w:p>
        </w:tc>
        <w:tc>
          <w:tcPr/>
          <w:p>
            <w:pPr>
              <w:pStyle w:val="Compact"/>
              <w:jc w:val="right"/>
            </w:pPr>
            <w:r>
              <w:t xml:space="preserve">25.57</w:t>
            </w:r>
          </w:p>
        </w:tc>
      </w:tr>
      <w:tr>
        <w:tc>
          <w:tcPr/>
          <w:p>
            <w:pPr>
              <w:pStyle w:val="Compact"/>
              <w:jc w:val="left"/>
            </w:pPr>
            <w:r>
              <w:rPr>
                <w:rFonts w:hint="eastAsia"/>
              </w:rPr>
              <w:t xml:space="preserve">无缓冲折价</w:t>
            </w:r>
          </w:p>
        </w:tc>
        <w:tc>
          <w:tcPr/>
          <w:p>
            <w:pPr>
              <w:pStyle w:val="Compact"/>
              <w:jc w:val="right"/>
            </w:pPr>
            <w:r>
              <w:t xml:space="preserve">4.55</w:t>
            </w:r>
          </w:p>
        </w:tc>
        <w:tc>
          <w:tcPr/>
          <w:p>
            <w:pPr>
              <w:pStyle w:val="Compact"/>
              <w:jc w:val="right"/>
            </w:pPr>
            <w:r>
              <w:t xml:space="preserve">+1.17</w:t>
            </w:r>
          </w:p>
        </w:tc>
        <w:tc>
          <w:tcPr/>
          <w:p>
            <w:pPr>
              <w:pStyle w:val="Compact"/>
              <w:jc w:val="right"/>
            </w:pPr>
            <w:r>
              <w:t xml:space="preserve">3.77</w:t>
            </w:r>
          </w:p>
        </w:tc>
        <w:tc>
          <w:tcPr/>
          <w:p>
            <w:pPr>
              <w:pStyle w:val="Compact"/>
              <w:jc w:val="right"/>
            </w:pPr>
            <w:r>
              <w:t xml:space="preserve">5.38</w:t>
            </w:r>
          </w:p>
        </w:tc>
      </w:tr>
      <w:tr>
        <w:tc>
          <w:tcPr/>
          <w:p>
            <w:pPr>
              <w:pStyle w:val="Compact"/>
              <w:jc w:val="left"/>
            </w:pPr>
            <w:r>
              <w:rPr>
                <w:rFonts w:hint="eastAsia"/>
              </w:rPr>
              <w:t xml:space="preserve">无修复折价</w:t>
            </w:r>
          </w:p>
        </w:tc>
        <w:tc>
          <w:tcPr/>
          <w:p>
            <w:pPr>
              <w:pStyle w:val="Compact"/>
              <w:jc w:val="right"/>
            </w:pPr>
            <w:r>
              <w:t xml:space="preserve">7.13</w:t>
            </w:r>
          </w:p>
        </w:tc>
        <w:tc>
          <w:tcPr/>
          <w:p>
            <w:pPr>
              <w:pStyle w:val="Compact"/>
              <w:jc w:val="right"/>
            </w:pPr>
            <w:r>
              <w:t xml:space="preserve">+3.75</w:t>
            </w:r>
          </w:p>
        </w:tc>
        <w:tc>
          <w:tcPr/>
          <w:p>
            <w:pPr>
              <w:pStyle w:val="Compact"/>
              <w:jc w:val="right"/>
            </w:pPr>
            <w:r>
              <w:t xml:space="preserve">9.83</w:t>
            </w:r>
          </w:p>
        </w:tc>
        <w:tc>
          <w:tcPr/>
          <w:p>
            <w:pPr>
              <w:pStyle w:val="Compact"/>
              <w:jc w:val="right"/>
            </w:pPr>
            <w:r>
              <w:t xml:space="preserve">9.51</w:t>
            </w:r>
          </w:p>
        </w:tc>
      </w:tr>
      <w:tr>
        <w:tc>
          <w:tcPr/>
          <w:p>
            <w:pPr>
              <w:pStyle w:val="Compact"/>
              <w:jc w:val="left"/>
            </w:pPr>
            <w:r>
              <w:rPr>
                <w:rFonts w:hint="eastAsia"/>
              </w:rPr>
              <w:t xml:space="preserve">无市场修正</w:t>
            </w:r>
          </w:p>
        </w:tc>
        <w:tc>
          <w:tcPr/>
          <w:p>
            <w:pPr>
              <w:pStyle w:val="Compact"/>
              <w:jc w:val="right"/>
            </w:pPr>
            <w:r>
              <w:t xml:space="preserve">27.02</w:t>
            </w:r>
          </w:p>
        </w:tc>
        <w:tc>
          <w:tcPr/>
          <w:p>
            <w:pPr>
              <w:pStyle w:val="Compact"/>
              <w:jc w:val="right"/>
            </w:pPr>
            <w:r>
              <w:t xml:space="preserve">+23.64</w:t>
            </w:r>
          </w:p>
        </w:tc>
        <w:tc>
          <w:tcPr/>
          <w:p>
            <w:pPr>
              <w:pStyle w:val="Compact"/>
              <w:jc w:val="right"/>
            </w:pPr>
            <w:r>
              <w:t xml:space="preserve">29.32</w:t>
            </w:r>
          </w:p>
        </w:tc>
        <w:tc>
          <w:tcPr/>
          <w:p>
            <w:pPr>
              <w:pStyle w:val="Compact"/>
              <w:jc w:val="right"/>
            </w:pPr>
            <w:r>
              <w:t xml:space="preserve">18.92</w:t>
            </w:r>
          </w:p>
        </w:tc>
      </w:tr>
    </w:tbl>
    <w:p>
      <w:pPr>
        <w:pStyle w:val="BodyText"/>
      </w:pPr>
      <w:r>
        <w:rPr>
          <w:rFonts w:hint="eastAsia"/>
        </w:rPr>
        <w:t xml:space="preserve">消融结果可以分成两层理解。第一层是题面物理层：SPR</w:t>
      </w:r>
      <w:r>
        <w:t xml:space="preserve"> </w:t>
      </w:r>
      <w:r>
        <w:rPr>
          <w:rFonts w:hint="eastAsia"/>
        </w:rPr>
        <w:t xml:space="preserve">释放、商业库存和需求收缩的影响最清楚，去除</w:t>
      </w:r>
      <w:r>
        <w:t xml:space="preserve"> SPR </w:t>
      </w:r>
      <w:r>
        <w:rPr>
          <w:rFonts w:hint="eastAsia"/>
        </w:rPr>
        <w:t xml:space="preserve">后</w:t>
      </w:r>
      <w:r>
        <w:t xml:space="preserve"> RMSE </w:t>
      </w:r>
      <w:r>
        <w:rPr>
          <w:rFonts w:hint="eastAsia"/>
        </w:rPr>
        <w:t xml:space="preserve">从</w:t>
      </w:r>
      <w:r>
        <w:t xml:space="preserve"> 3.38 </w:t>
      </w:r>
      <w:r>
        <w:rPr>
          <w:rFonts w:hint="eastAsia"/>
        </w:rPr>
        <w:t xml:space="preserve">升至</w:t>
      </w:r>
      <w:r>
        <w:t xml:space="preserve"> </w:t>
      </w:r>
      <w:r>
        <w:rPr>
          <w:rFonts w:hint="eastAsia"/>
        </w:rPr>
        <w:t xml:space="preserve">5.19，去除商业库存后</w:t>
      </w:r>
      <w:r>
        <w:t xml:space="preserve"> RMSE </w:t>
      </w:r>
      <w:r>
        <w:rPr>
          <w:rFonts w:hint="eastAsia"/>
        </w:rPr>
        <w:t xml:space="preserve">升至</w:t>
      </w:r>
      <w:r>
        <w:t xml:space="preserve"> </w:t>
      </w:r>
      <w:r>
        <w:rPr>
          <w:rFonts w:hint="eastAsia"/>
        </w:rPr>
        <w:t xml:space="preserve">4.08，去除需求收缩后低价回落</w:t>
      </w:r>
      <w:r>
        <w:t xml:space="preserve"> RMSE </w:t>
      </w:r>
      <w:r>
        <w:rPr>
          <w:rFonts w:hint="eastAsia"/>
        </w:rPr>
        <w:t xml:space="preserve">升至</w:t>
      </w:r>
      <w:r>
        <w:t xml:space="preserve"> </w:t>
      </w:r>
      <w:r>
        <w:rPr>
          <w:rFonts w:hint="eastAsia"/>
        </w:rPr>
        <w:t xml:space="preserve">5.17，说明政策缓冲、库存吸收和需求侧调整不是装饰项。绕道运输在</w:t>
      </w:r>
      <w:r>
        <w:t xml:space="preserve"> 46 </w:t>
      </w:r>
      <w:r>
        <w:rPr>
          <w:rFonts w:hint="eastAsia"/>
        </w:rPr>
        <w:t xml:space="preserve">个交易日短窗口内边际影响较小，但它在中长期油价调节模型中会影响剩余缺口和二次跳涨风险，因此不应因为短窗口贡献小就删除。</w:t>
      </w:r>
    </w:p>
    <w:p>
      <w:pPr>
        <w:pStyle w:val="BodyText"/>
      </w:pPr>
      <w:r>
        <w:rPr>
          <w:rFonts w:hint="eastAsia"/>
        </w:rPr>
        <w:t xml:space="preserve">第二层是市场价格形成层：风险与不确定性溢价负责解释价格快速进入高位平台，缓冲确认折价和预期修复折价负责解释后期再定价。若去除预期修复折价，后期</w:t>
      </w:r>
      <w:r>
        <w:t xml:space="preserve"> RMSE </w:t>
      </w:r>
      <w:r>
        <w:rPr>
          <w:rFonts w:hint="eastAsia"/>
        </w:rPr>
        <w:t xml:space="preserve">从</w:t>
      </w:r>
      <w:r>
        <w:t xml:space="preserve"> 2.82 </w:t>
      </w:r>
      <w:r>
        <w:rPr>
          <w:rFonts w:hint="eastAsia"/>
        </w:rPr>
        <w:t xml:space="preserve">升至</w:t>
      </w:r>
      <w:r>
        <w:t xml:space="preserve"> </w:t>
      </w:r>
      <w:r>
        <w:rPr>
          <w:rFonts w:hint="eastAsia"/>
        </w:rPr>
        <w:t xml:space="preserve">9.83，说明市场对政策缓冲和运输恢复的预期并不是可有可无的修饰，而是解释后期回落的关键机制。</w:t>
      </w:r>
    </w:p>
    <w:bookmarkEnd w:id="91"/>
    <w:bookmarkStart w:id="92" w:name="阶段-ridge-辅助边界"/>
    <w:p>
      <w:pPr>
        <w:pStyle w:val="Heading3"/>
      </w:pPr>
      <w:r>
        <w:rPr>
          <w:rFonts w:hint="eastAsia"/>
        </w:rPr>
        <w:t xml:space="preserve">阶段</w:t>
      </w:r>
      <w:r>
        <w:t xml:space="preserve"> Ridge </w:t>
      </w:r>
      <w:r>
        <w:rPr>
          <w:rFonts w:hint="eastAsia"/>
        </w:rPr>
        <w:t xml:space="preserve">辅助边界</w:t>
      </w:r>
    </w:p>
    <w:p>
      <w:pPr>
        <w:pStyle w:val="FirstParagraph"/>
      </w:pPr>
      <w:r>
        <w:rPr>
          <w:rFonts w:hint="eastAsia"/>
        </w:rPr>
        <w:t xml:space="preserve">历史价格特征并不能单独解释霍尔木兹封锁冲突窗口。本文使用冲突前历史滞后价格特征训练低自由度</w:t>
      </w:r>
      <w:r>
        <w:t xml:space="preserve"> Ridge </w:t>
      </w:r>
      <w:r>
        <w:rPr>
          <w:rFonts w:hint="eastAsia"/>
        </w:rPr>
        <w:t xml:space="preserve">收益率模型，目的只是刻画价格自身的短期惯性，并将其限制在两个残差薄弱窗口内使用。程序中还比较了纯</w:t>
      </w:r>
      <w:r>
        <w:t xml:space="preserve"> </w:t>
      </w:r>
      <w:r>
        <w:rPr>
          <w:rFonts w:hint="eastAsia"/>
        </w:rPr>
        <w:t xml:space="preserve">Ridge、全窗口</w:t>
      </w:r>
      <w:r>
        <w:t xml:space="preserve"> Ridge </w:t>
      </w:r>
      <w:r>
        <w:rPr>
          <w:rFonts w:hint="eastAsia"/>
        </w:rPr>
        <w:t xml:space="preserve">和在线残差校正等方案；这些方案或解释性不足，或会损害初始冲击与后期二次抬升阶段，因此不作为正文主线展开。最终采用的阶段</w:t>
      </w:r>
      <w:r>
        <w:t xml:space="preserve"> Ridge </w:t>
      </w:r>
      <w:r>
        <w:rPr>
          <w:rFonts w:hint="eastAsia"/>
        </w:rPr>
        <w:t xml:space="preserve">辅助层只修正高位平台和中期再定价中的日度收益惯性，主解释仍由供应缺口、SPR、库存、绕道运输、恐慌溢价和预期修复机制承担。</w:t>
      </w:r>
    </w:p>
    <w:bookmarkEnd w:id="92"/>
    <w:bookmarkStart w:id="100" w:name="拐点预测步长与事件边界"/>
    <w:p>
      <w:pPr>
        <w:pStyle w:val="Heading3"/>
      </w:pPr>
      <w:r>
        <w:rPr>
          <w:rFonts w:hint="eastAsia"/>
        </w:rPr>
        <w:t xml:space="preserve">拐点、预测步长与事件边界</w:t>
      </w:r>
    </w:p>
    <w:p>
      <w:pPr>
        <w:pStyle w:val="FirstParagraph"/>
      </w:pPr>
      <w:r>
        <w:rPr>
          <w:rFonts w:hint="eastAsia"/>
        </w:rPr>
        <w:t xml:space="preserve">本文模型是条件机制递推模型。模型给定冲突开始、题面参数和校准参数后，从初始价格开始逐日递推；真实价格用于参数校准和事后评价，不在每日递推时作为当日输入。因此，RMSE</w:t>
      </w:r>
      <w:r>
        <w:t xml:space="preserve"> </w:t>
      </w:r>
      <w:r>
        <w:rPr>
          <w:rFonts w:hint="eastAsia"/>
        </w:rPr>
        <w:t xml:space="preserve">为</w:t>
      </w:r>
      <w:r>
        <w:t xml:space="preserve"> 3.38 </w:t>
      </w:r>
      <w:r>
        <w:rPr>
          <w:rFonts w:hint="eastAsia"/>
        </w:rPr>
        <w:t xml:space="preserve">的含义是模型对整段冲突路径的条件解释误差。</w:t>
      </w:r>
    </w:p>
    <w:p>
      <w:pPr>
        <w:pStyle w:val="BodyText"/>
      </w:pPr>
      <w:r>
        <w:rPr>
          <w:rFonts w:hint="eastAsia"/>
        </w:rPr>
        <w:t xml:space="preserve">为了检查模型在突变日是否只是慢半拍跟随真实价格，本文选取实际价格绝对变动最大的</w:t>
      </w:r>
      <w:r>
        <w:t xml:space="preserve"> 10 </w:t>
      </w:r>
      <w:r>
        <w:rPr>
          <w:rFonts w:hint="eastAsia"/>
        </w:rPr>
        <w:t xml:space="preserve">个交易日进行方向检查。结果显示，模型在</w:t>
      </w:r>
      <w:r>
        <w:t xml:space="preserve"> 8 </w:t>
      </w:r>
      <w:r>
        <w:rPr>
          <w:rFonts w:hint="eastAsia"/>
        </w:rPr>
        <w:t xml:space="preserve">个交易日与真实价格同向同步变化，2</w:t>
      </w:r>
      <w:r>
        <w:t xml:space="preserve"> </w:t>
      </w:r>
      <w:r>
        <w:rPr>
          <w:rFonts w:hint="eastAsia"/>
        </w:rPr>
        <w:t xml:space="preserve">个交易日体现为提前</w:t>
      </w:r>
      <w:r>
        <w:t xml:space="preserve"> 1 </w:t>
      </w:r>
      <w:r>
        <w:rPr>
          <w:rFonts w:hint="eastAsia"/>
        </w:rPr>
        <w:t xml:space="preserve">日变化。这说明模型对主要冲击方向具有同步解释力，但个别日度噪声仍不能完全捕捉。</w:t>
      </w:r>
    </w:p>
    <w:p>
      <w:pPr>
        <w:pStyle w:val="CaptionedFigure"/>
      </w:pPr>
      <w:r>
        <w:drawing>
          <wp:inline>
            <wp:extent cx="4907280" cy="3568930"/>
            <wp:effectExtent b="0" l="0" r="0" t="0"/>
            <wp:docPr descr="" title="" id="94" name="Picture"/>
            <a:graphic>
              <a:graphicData uri="http://schemas.openxmlformats.org/drawingml/2006/picture">
                <pic:pic>
                  <pic:nvPicPr>
                    <pic:cNvPr descr="短期模型拐点局部检验.png" id="95" name="Picture"/>
                    <pic:cNvPicPr>
                      <a:picLocks noChangeArrowheads="1" noChangeAspect="1"/>
                    </pic:cNvPicPr>
                  </pic:nvPicPr>
                  <pic:blipFill>
                    <a:blip r:embed="rId93"/>
                    <a:stretch>
                      <a:fillRect/>
                    </a:stretch>
                  </pic:blipFill>
                  <pic:spPr bwMode="auto">
                    <a:xfrm>
                      <a:off x="0" y="0"/>
                      <a:ext cx="4907280" cy="3568930"/>
                    </a:xfrm>
                    <a:prstGeom prst="rect">
                      <a:avLst/>
                    </a:prstGeom>
                    <a:noFill/>
                    <a:ln w="9525">
                      <a:noFill/>
                      <a:headEnd/>
                      <a:tailEnd/>
                    </a:ln>
                  </pic:spPr>
                </pic:pic>
              </a:graphicData>
            </a:graphic>
          </wp:inline>
        </w:drawing>
      </w:r>
    </w:p>
    <w:p>
      <w:pPr>
        <w:pStyle w:val="ImageCaption"/>
      </w:pPr>
      <w:r>
        <w:rPr>
          <w:rFonts w:hint="eastAsia"/>
        </w:rPr>
        <w:t xml:space="preserve">短期模型拐点局部检验</w:t>
      </w:r>
    </w:p>
    <w:p>
      <w:pPr>
        <w:pStyle w:val="BodyText"/>
      </w:pPr>
      <w:r>
        <w:rPr>
          <w:rFonts w:hint="eastAsia"/>
        </w:rPr>
        <w:t xml:space="preserve">进一步地，本文将短期冲突窗口拆成四个事件段，分别检验初始冲击吸收、高位平台形成、中期再定价回落和后期二次抬升。</w:t>
      </w:r>
      <w:hyperlink w:anchor="tab:short-event-window-audit">
        <w:r>
          <w:rPr>
            <w:rStyle w:val="Hyperlink"/>
          </w:rPr>
          <w:t xml:space="preserve">5</w:t>
        </w:r>
      </w:hyperlink>
      <w:r>
        <w:t xml:space="preserve"> </w:t>
      </w:r>
      <w:r>
        <w:rPr>
          <w:rFonts w:hint="eastAsia"/>
        </w:rPr>
        <w:t xml:space="preserve">显示，四个事件窗口下模型</w:t>
      </w:r>
      <w:r>
        <w:t xml:space="preserve"> RMSE </w:t>
      </w:r>
      <w:r>
        <w:rPr>
          <w:rFonts w:hint="eastAsia"/>
        </w:rPr>
        <w:t xml:space="preserve">均低于朴素上一日基准，其中初始冲击吸收和后期二次抬升窗口的相对改善率超过</w:t>
      </w:r>
      <w:r>
        <w:t xml:space="preserve"> </w:t>
      </w:r>
      <w:r>
        <w:rPr>
          <w:rFonts w:hint="eastAsia"/>
        </w:rPr>
        <w:t xml:space="preserve">30%。高位平台形成和中期再定价回落窗口误差相对更高，说明模型最难处理的不是方向判断，而是平台期真实价格的短期反复震荡。</w:t>
      </w:r>
    </w:p>
    <w:bookmarkStart w:id="96" w:name="tab:short-event-window-audit"/>
    <w:p>
      <w:pPr>
        <w:pStyle w:val="TableCaption"/>
      </w:pPr>
      <w:r>
        <w:rPr>
          <w:rFonts w:hint="eastAsia"/>
        </w:rPr>
        <w:t xml:space="preserve">短期模型事件窗口检验表</w:t>
      </w:r>
    </w:p>
    <w:tbl>
      <w:tblPr>
        <w:tblStyle w:val="Table"/>
        <w:tblW w:type="auto" w:w="0"/>
        <w:tblLook w:firstRow="1" w:lastRow="0" w:firstColumn="0" w:lastColumn="0" w:noHBand="0" w:noVBand="0" w:val="0020"/>
        <w:tblCaption w:val="短期模型事件窗口检验表"/>
      </w:tblPr>
      <w:tblGrid>
        <w:gridCol w:w="1584"/>
        <w:gridCol w:w="1584"/>
        <w:gridCol w:w="1584"/>
        <w:gridCol w:w="1584"/>
        <w:gridCol w:w="1584"/>
      </w:tblGrid>
      <w:tr>
        <w:trPr>
          <w:tblHeader w:val="on"/>
        </w:trPr>
        <w:tc>
          <w:tcPr/>
          <w:p>
            <w:pPr>
              <w:pStyle w:val="Compact"/>
              <w:jc w:val="left"/>
            </w:pPr>
            <w:r>
              <w:rPr>
                <w:rFonts w:hint="eastAsia"/>
              </w:rPr>
              <w:t xml:space="preserve">事件窗口</w:t>
            </w:r>
          </w:p>
        </w:tc>
        <w:tc>
          <w:tcPr/>
          <w:p>
            <w:pPr>
              <w:pStyle w:val="Compact"/>
              <w:jc w:val="right"/>
            </w:pPr>
            <w:r>
              <w:t xml:space="preserve">RMSE</w:t>
            </w:r>
          </w:p>
        </w:tc>
        <w:tc>
          <w:tcPr/>
          <w:p>
            <w:pPr>
              <w:pStyle w:val="Compact"/>
              <w:jc w:val="right"/>
            </w:pPr>
            <w:r>
              <w:t xml:space="preserve">MAE</w:t>
            </w:r>
          </w:p>
        </w:tc>
        <w:tc>
          <w:tcPr/>
          <w:p>
            <w:pPr>
              <w:pStyle w:val="Compact"/>
              <w:jc w:val="right"/>
            </w:pPr>
            <w:r>
              <w:rPr>
                <w:rFonts w:hint="eastAsia"/>
              </w:rPr>
              <w:t xml:space="preserve">方向命中率</w:t>
            </w:r>
          </w:p>
        </w:tc>
        <w:tc>
          <w:tcPr/>
          <w:p>
            <w:pPr>
              <w:pStyle w:val="Compact"/>
              <w:jc w:val="right"/>
            </w:pPr>
            <w:r>
              <w:rPr>
                <w:rFonts w:hint="eastAsia"/>
              </w:rPr>
              <w:t xml:space="preserve">相对朴素改善率</w:t>
            </w:r>
          </w:p>
        </w:tc>
      </w:tr>
      <w:tr>
        <w:tc>
          <w:tcPr/>
          <w:p>
            <w:pPr>
              <w:pStyle w:val="Compact"/>
              <w:jc w:val="left"/>
            </w:pPr>
            <w:r>
              <w:rPr>
                <w:rFonts w:hint="eastAsia"/>
              </w:rPr>
              <w:t xml:space="preserve">初始冲击吸收</w:t>
            </w:r>
          </w:p>
        </w:tc>
        <w:tc>
          <w:tcPr/>
          <w:p>
            <w:pPr>
              <w:pStyle w:val="Compact"/>
              <w:jc w:val="right"/>
            </w:pPr>
            <w:r>
              <w:t xml:space="preserve">3.27</w:t>
            </w:r>
          </w:p>
        </w:tc>
        <w:tc>
          <w:tcPr/>
          <w:p>
            <w:pPr>
              <w:pStyle w:val="Compact"/>
              <w:jc w:val="right"/>
            </w:pPr>
            <w:r>
              <w:t xml:space="preserve">2.88</w:t>
            </w:r>
          </w:p>
        </w:tc>
        <w:tc>
          <w:tcPr/>
          <w:p>
            <w:pPr>
              <w:pStyle w:val="Compact"/>
              <w:jc w:val="right"/>
            </w:pPr>
            <w:r>
              <w:t xml:space="preserve">77.8%</w:t>
            </w:r>
          </w:p>
        </w:tc>
        <w:tc>
          <w:tcPr/>
          <w:p>
            <w:pPr>
              <w:pStyle w:val="Compact"/>
              <w:jc w:val="right"/>
            </w:pPr>
            <w:r>
              <w:t xml:space="preserve">32.7%</w:t>
            </w:r>
          </w:p>
        </w:tc>
      </w:tr>
      <w:tr>
        <w:tc>
          <w:tcPr/>
          <w:p>
            <w:pPr>
              <w:pStyle w:val="Compact"/>
              <w:jc w:val="left"/>
            </w:pPr>
            <w:r>
              <w:rPr>
                <w:rFonts w:hint="eastAsia"/>
              </w:rPr>
              <w:t xml:space="preserve">高位平台形成</w:t>
            </w:r>
          </w:p>
        </w:tc>
        <w:tc>
          <w:tcPr/>
          <w:p>
            <w:pPr>
              <w:pStyle w:val="Compact"/>
              <w:jc w:val="right"/>
            </w:pPr>
            <w:r>
              <w:t xml:space="preserve">3.91</w:t>
            </w:r>
          </w:p>
        </w:tc>
        <w:tc>
          <w:tcPr/>
          <w:p>
            <w:pPr>
              <w:pStyle w:val="Compact"/>
              <w:jc w:val="right"/>
            </w:pPr>
            <w:r>
              <w:t xml:space="preserve">3.23</w:t>
            </w:r>
          </w:p>
        </w:tc>
        <w:tc>
          <w:tcPr/>
          <w:p>
            <w:pPr>
              <w:pStyle w:val="Compact"/>
              <w:jc w:val="right"/>
            </w:pPr>
            <w:r>
              <w:t xml:space="preserve">70.0%</w:t>
            </w:r>
          </w:p>
        </w:tc>
        <w:tc>
          <w:tcPr/>
          <w:p>
            <w:pPr>
              <w:pStyle w:val="Compact"/>
              <w:jc w:val="right"/>
            </w:pPr>
            <w:r>
              <w:t xml:space="preserve">16.5%</w:t>
            </w:r>
          </w:p>
        </w:tc>
      </w:tr>
      <w:tr>
        <w:tc>
          <w:tcPr/>
          <w:p>
            <w:pPr>
              <w:pStyle w:val="Compact"/>
              <w:jc w:val="left"/>
            </w:pPr>
            <w:r>
              <w:rPr>
                <w:rFonts w:hint="eastAsia"/>
              </w:rPr>
              <w:t xml:space="preserve">中期再定价回落</w:t>
            </w:r>
          </w:p>
        </w:tc>
        <w:tc>
          <w:tcPr/>
          <w:p>
            <w:pPr>
              <w:pStyle w:val="Compact"/>
              <w:jc w:val="right"/>
            </w:pPr>
            <w:r>
              <w:t xml:space="preserve">3.90</w:t>
            </w:r>
          </w:p>
        </w:tc>
        <w:tc>
          <w:tcPr/>
          <w:p>
            <w:pPr>
              <w:pStyle w:val="Compact"/>
              <w:jc w:val="right"/>
            </w:pPr>
            <w:r>
              <w:t xml:space="preserve">3.35</w:t>
            </w:r>
          </w:p>
        </w:tc>
        <w:tc>
          <w:tcPr/>
          <w:p>
            <w:pPr>
              <w:pStyle w:val="Compact"/>
              <w:jc w:val="right"/>
            </w:pPr>
            <w:r>
              <w:t xml:space="preserve">63.6%</w:t>
            </w:r>
          </w:p>
        </w:tc>
        <w:tc>
          <w:tcPr/>
          <w:p>
            <w:pPr>
              <w:pStyle w:val="Compact"/>
              <w:jc w:val="right"/>
            </w:pPr>
            <w:r>
              <w:t xml:space="preserve">14.1%</w:t>
            </w:r>
          </w:p>
        </w:tc>
      </w:tr>
      <w:tr>
        <w:tc>
          <w:tcPr/>
          <w:p>
            <w:pPr>
              <w:pStyle w:val="Compact"/>
              <w:jc w:val="left"/>
            </w:pPr>
            <w:r>
              <w:rPr>
                <w:rFonts w:hint="eastAsia"/>
              </w:rPr>
              <w:t xml:space="preserve">后期二次抬升</w:t>
            </w:r>
          </w:p>
        </w:tc>
        <w:tc>
          <w:tcPr/>
          <w:p>
            <w:pPr>
              <w:pStyle w:val="Compact"/>
              <w:jc w:val="right"/>
            </w:pPr>
            <w:r>
              <w:t xml:space="preserve">2.66</w:t>
            </w:r>
          </w:p>
        </w:tc>
        <w:tc>
          <w:tcPr/>
          <w:p>
            <w:pPr>
              <w:pStyle w:val="Compact"/>
              <w:jc w:val="right"/>
            </w:pPr>
            <w:r>
              <w:t xml:space="preserve">2.14</w:t>
            </w:r>
          </w:p>
        </w:tc>
        <w:tc>
          <w:tcPr/>
          <w:p>
            <w:pPr>
              <w:pStyle w:val="Compact"/>
              <w:jc w:val="right"/>
            </w:pPr>
            <w:r>
              <w:t xml:space="preserve">54.5%</w:t>
            </w:r>
          </w:p>
        </w:tc>
        <w:tc>
          <w:tcPr/>
          <w:p>
            <w:pPr>
              <w:pStyle w:val="Compact"/>
              <w:jc w:val="right"/>
            </w:pPr>
            <w:r>
              <w:t xml:space="preserve">32.0%</w:t>
            </w:r>
          </w:p>
        </w:tc>
      </w:tr>
    </w:tbl>
    <w:bookmarkEnd w:id="96"/>
    <w:p>
      <w:pPr>
        <w:pStyle w:val="CaptionedFigure"/>
      </w:pPr>
      <w:r>
        <w:drawing>
          <wp:inline>
            <wp:extent cx="5013960" cy="3038763"/>
            <wp:effectExtent b="0" l="0" r="0" t="0"/>
            <wp:docPr descr="" title="" id="98" name="Picture"/>
            <a:graphic>
              <a:graphicData uri="http://schemas.openxmlformats.org/drawingml/2006/picture">
                <pic:pic>
                  <pic:nvPicPr>
                    <pic:cNvPr descr="短期模型事件窗口检验.png" id="99" name="Picture"/>
                    <pic:cNvPicPr>
                      <a:picLocks noChangeArrowheads="1" noChangeAspect="1"/>
                    </pic:cNvPicPr>
                  </pic:nvPicPr>
                  <pic:blipFill>
                    <a:blip r:embed="rId97"/>
                    <a:stretch>
                      <a:fillRect/>
                    </a:stretch>
                  </pic:blipFill>
                  <pic:spPr bwMode="auto">
                    <a:xfrm>
                      <a:off x="0" y="0"/>
                      <a:ext cx="5013960" cy="3038763"/>
                    </a:xfrm>
                    <a:prstGeom prst="rect">
                      <a:avLst/>
                    </a:prstGeom>
                    <a:noFill/>
                    <a:ln w="9525">
                      <a:noFill/>
                      <a:headEnd/>
                      <a:tailEnd/>
                    </a:ln>
                  </pic:spPr>
                </pic:pic>
              </a:graphicData>
            </a:graphic>
          </wp:inline>
        </w:drawing>
      </w:r>
    </w:p>
    <w:p>
      <w:pPr>
        <w:pStyle w:val="ImageCaption"/>
      </w:pPr>
      <w:r>
        <w:rPr>
          <w:rFonts w:hint="eastAsia"/>
        </w:rPr>
        <w:t xml:space="preserve">短期模型事件窗口检验</w:t>
      </w:r>
    </w:p>
    <w:p>
      <w:pPr>
        <w:pStyle w:val="BodyText"/>
      </w:pPr>
      <w:r>
        <w:rPr>
          <w:rFonts w:hint="eastAsia"/>
        </w:rPr>
        <w:t xml:space="preserve">本文还进行了历史高波动窗口边界检验：固定霍尔木兹机制参数，直接套用到</w:t>
      </w:r>
      <w:r>
        <w:t xml:space="preserve"> 2020 </w:t>
      </w:r>
      <w:r>
        <w:rPr>
          <w:rFonts w:hint="eastAsia"/>
        </w:rPr>
        <w:t xml:space="preserve">年、2022</w:t>
      </w:r>
      <w:r>
        <w:t xml:space="preserve"> </w:t>
      </w:r>
      <w:r>
        <w:rPr>
          <w:rFonts w:hint="eastAsia"/>
        </w:rPr>
        <w:t xml:space="preserve">年等非霍尔木兹事件窗口。结果显示，该模型在这些窗口通常显著弱于朴素上一日基准。这说明本模型高度特化于霍尔木兹封锁事件下的系统机制解释，其结论应限定在极端地缘冲突下的条件路径解释与情景预测。</w:t>
      </w:r>
    </w:p>
    <w:bookmarkEnd w:id="100"/>
    <w:bookmarkStart w:id="109" w:name="参数自由度与稳健性区间"/>
    <w:p>
      <w:pPr>
        <w:pStyle w:val="Heading3"/>
      </w:pPr>
      <w:r>
        <w:rPr>
          <w:rFonts w:hint="eastAsia"/>
        </w:rPr>
        <w:t xml:space="preserve">参数自由度与稳健性区间</w:t>
      </w:r>
    </w:p>
    <w:p>
      <w:pPr>
        <w:pStyle w:val="FirstParagraph"/>
      </w:pPr>
      <w:r>
        <w:rPr>
          <w:rFonts w:hint="eastAsia"/>
        </w:rPr>
        <w:t xml:space="preserve">短期冲突窗口只有</w:t>
      </w:r>
      <w:r>
        <w:t xml:space="preserve"> 46 </w:t>
      </w:r>
      <w:r>
        <w:rPr>
          <w:rFonts w:hint="eastAsia"/>
        </w:rPr>
        <w:t xml:space="preserve">个交易日，而连续校准参数共有</w:t>
      </w:r>
      <w:r>
        <w:t xml:space="preserve"> 21 </w:t>
      </w:r>
      <w:r>
        <w:rPr>
          <w:rFonts w:hint="eastAsia"/>
        </w:rPr>
        <w:t xml:space="preserve">个，其中</w:t>
      </w:r>
      <w:r>
        <w:t xml:space="preserve"> 10 </w:t>
      </w:r>
      <w:r>
        <w:rPr>
          <w:rFonts w:hint="eastAsia"/>
        </w:rPr>
        <w:t xml:space="preserve">个属于题面或机制范围内的物理/半物理参数，另外</w:t>
      </w:r>
      <w:r>
        <w:t xml:space="preserve"> 11 </w:t>
      </w:r>
      <w:r>
        <w:rPr>
          <w:rFonts w:hint="eastAsia"/>
        </w:rPr>
        <w:t xml:space="preserve">个属于行为与价格调整参数。为刻画参数自由度带来的不确定性，本文进一步报告压力测试、参数剖面和局部扰动结果。</w:t>
      </w:r>
    </w:p>
    <w:p>
      <w:pPr>
        <w:pStyle w:val="TableCaption"/>
      </w:pPr>
      <m:oMath>
        <m:r>
          <m:rPr>
            <m:sty m:val="p"/>
          </m:rPr>
          <m:t>±</m:t>
        </m:r>
        <m:r>
          <m:t>15</m:t>
        </m:r>
        <m:r>
          <m:rPr>
            <m:sty m:val="p"/>
          </m:rPr>
          <m:t>%</m:t>
        </m:r>
      </m:oMath>
      <w:r>
        <w:t xml:space="preserve"> </w:t>
      </w:r>
      <w:r>
        <w:rPr>
          <w:rFonts w:hint="eastAsia"/>
        </w:rPr>
        <w:t xml:space="preserve">参数压力测试摘要</w:t>
      </w:r>
    </w:p>
    <w:tbl>
      <w:tblPr>
        <w:tblStyle w:val="Table"/>
        <w:tblW w:type="auto" w:w="0"/>
        <w:tblLook w:firstRow="1" w:lastRow="0" w:firstColumn="0" w:lastColumn="0" w:noHBand="0" w:noVBand="0" w:val="0020"/>
        <w:tblCaption w:val="\pm 15\% 参数压力测试摘要"/>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均值</w:t>
            </w:r>
          </w:p>
        </w:tc>
        <w:tc>
          <w:tcPr/>
          <w:p>
            <w:pPr>
              <w:pStyle w:val="Compact"/>
              <w:jc w:val="right"/>
            </w:pPr>
            <w:r>
              <w:rPr>
                <w:rFonts w:hint="eastAsia"/>
              </w:rPr>
              <w:t xml:space="preserve">中位数</w:t>
            </w:r>
          </w:p>
        </w:tc>
        <w:tc>
          <w:tcPr/>
          <w:p>
            <w:pPr>
              <w:pStyle w:val="Compact"/>
              <w:jc w:val="right"/>
            </w:pPr>
            <w:r>
              <w:rPr>
                <w:rFonts w:hint="eastAsia"/>
              </w:rPr>
              <w:t xml:space="preserve">90%分位数</w:t>
            </w:r>
          </w:p>
        </w:tc>
        <w:tc>
          <w:tcPr/>
          <w:p>
            <w:pPr>
              <w:pStyle w:val="Compact"/>
              <w:jc w:val="right"/>
            </w:pPr>
            <w:r>
              <w:rPr>
                <w:rFonts w:hint="eastAsia"/>
              </w:rPr>
              <w:t xml:space="preserve">最大值</w:t>
            </w:r>
          </w:p>
        </w:tc>
      </w:tr>
      <w:tr>
        <w:tc>
          <w:tcPr/>
          <w:p>
            <w:pPr>
              <w:pStyle w:val="Compact"/>
              <w:jc w:val="left"/>
            </w:pPr>
            <w:r>
              <w:t xml:space="preserve">RMSE</w:t>
            </w:r>
          </w:p>
        </w:tc>
        <w:tc>
          <w:tcPr/>
          <w:p>
            <w:pPr>
              <w:pStyle w:val="Compact"/>
              <w:jc w:val="right"/>
            </w:pPr>
            <w:r>
              <w:t xml:space="preserve">4.96</w:t>
            </w:r>
          </w:p>
        </w:tc>
        <w:tc>
          <w:tcPr/>
          <w:p>
            <w:pPr>
              <w:pStyle w:val="Compact"/>
              <w:jc w:val="right"/>
            </w:pPr>
            <w:r>
              <w:t xml:space="preserve">4.74</w:t>
            </w:r>
          </w:p>
        </w:tc>
        <w:tc>
          <w:tcPr/>
          <w:p>
            <w:pPr>
              <w:pStyle w:val="Compact"/>
              <w:jc w:val="right"/>
            </w:pPr>
            <w:r>
              <w:t xml:space="preserve">6.33</w:t>
            </w:r>
          </w:p>
        </w:tc>
        <w:tc>
          <w:tcPr/>
          <w:p>
            <w:pPr>
              <w:pStyle w:val="Compact"/>
              <w:jc w:val="right"/>
            </w:pPr>
            <w:r>
              <w:t xml:space="preserve">10.27</w:t>
            </w:r>
          </w:p>
        </w:tc>
      </w:tr>
      <w:tr>
        <w:tc>
          <w:tcPr/>
          <w:p>
            <w:pPr>
              <w:pStyle w:val="Compact"/>
              <w:jc w:val="left"/>
            </w:pPr>
            <w:r>
              <w:rPr>
                <w:rFonts w:hint="eastAsia"/>
              </w:rPr>
              <w:t xml:space="preserve">模拟峰值</w:t>
            </w:r>
          </w:p>
        </w:tc>
        <w:tc>
          <w:tcPr/>
          <w:p>
            <w:pPr>
              <w:pStyle w:val="Compact"/>
              <w:jc w:val="right"/>
            </w:pPr>
            <w:r>
              <w:t xml:space="preserve">110.39</w:t>
            </w:r>
          </w:p>
        </w:tc>
        <w:tc>
          <w:tcPr/>
          <w:p>
            <w:pPr>
              <w:pStyle w:val="Compact"/>
              <w:jc w:val="right"/>
            </w:pPr>
            <w:r>
              <w:t xml:space="preserve">110.30</w:t>
            </w:r>
          </w:p>
        </w:tc>
        <w:tc>
          <w:tcPr/>
          <w:p>
            <w:pPr>
              <w:pStyle w:val="Compact"/>
              <w:jc w:val="right"/>
            </w:pPr>
            <w:r>
              <w:t xml:space="preserve">114.16</w:t>
            </w:r>
          </w:p>
        </w:tc>
        <w:tc>
          <w:tcPr/>
          <w:p>
            <w:pPr>
              <w:pStyle w:val="Compact"/>
              <w:jc w:val="right"/>
            </w:pPr>
            <w:r>
              <w:t xml:space="preserve">119.62</w:t>
            </w:r>
          </w:p>
        </w:tc>
      </w:tr>
      <w:tr>
        <w:tc>
          <w:tcPr/>
          <w:p>
            <w:pPr>
              <w:pStyle w:val="Compact"/>
              <w:jc w:val="left"/>
            </w:pPr>
            <w:r>
              <w:rPr>
                <w:rFonts w:hint="eastAsia"/>
              </w:rPr>
              <w:t xml:space="preserve">模拟末日价格</w:t>
            </w:r>
          </w:p>
        </w:tc>
        <w:tc>
          <w:tcPr/>
          <w:p>
            <w:pPr>
              <w:pStyle w:val="Compact"/>
              <w:jc w:val="right"/>
            </w:pPr>
            <w:r>
              <w:t xml:space="preserve">110.39</w:t>
            </w:r>
          </w:p>
        </w:tc>
        <w:tc>
          <w:tcPr/>
          <w:p>
            <w:pPr>
              <w:pStyle w:val="Compact"/>
              <w:jc w:val="right"/>
            </w:pPr>
            <w:r>
              <w:t xml:space="preserve">110.30</w:t>
            </w:r>
          </w:p>
        </w:tc>
        <w:tc>
          <w:tcPr/>
          <w:p>
            <w:pPr>
              <w:pStyle w:val="Compact"/>
              <w:jc w:val="right"/>
            </w:pPr>
            <w:r>
              <w:t xml:space="preserve">114.16</w:t>
            </w:r>
          </w:p>
        </w:tc>
        <w:tc>
          <w:tcPr/>
          <w:p>
            <w:pPr>
              <w:pStyle w:val="Compact"/>
              <w:jc w:val="right"/>
            </w:pPr>
            <w:r>
              <w:t xml:space="preserve">119.62</w:t>
            </w:r>
          </w:p>
        </w:tc>
      </w:tr>
      <w:tr>
        <w:tc>
          <w:tcPr/>
          <w:p>
            <w:pPr>
              <w:pStyle w:val="Compact"/>
              <w:jc w:val="left"/>
            </w:pPr>
            <w:r>
              <w:rPr>
                <w:rFonts w:hint="eastAsia"/>
              </w:rPr>
              <w:t xml:space="preserve">高价平台</w:t>
            </w:r>
            <w:r>
              <w:t xml:space="preserve"> RMSE</w:t>
            </w:r>
          </w:p>
        </w:tc>
        <w:tc>
          <w:tcPr/>
          <w:p>
            <w:pPr>
              <w:pStyle w:val="Compact"/>
              <w:jc w:val="right"/>
            </w:pPr>
            <w:r>
              <w:t xml:space="preserve">3.90</w:t>
            </w:r>
          </w:p>
        </w:tc>
        <w:tc>
          <w:tcPr/>
          <w:p>
            <w:pPr>
              <w:pStyle w:val="Compact"/>
              <w:jc w:val="right"/>
            </w:pPr>
            <w:r>
              <w:t xml:space="preserve">3.36</w:t>
            </w:r>
          </w:p>
        </w:tc>
        <w:tc>
          <w:tcPr/>
          <w:p>
            <w:pPr>
              <w:pStyle w:val="Compact"/>
              <w:jc w:val="right"/>
            </w:pPr>
            <w:r>
              <w:t xml:space="preserve">6.84</w:t>
            </w:r>
          </w:p>
        </w:tc>
        <w:tc>
          <w:tcPr/>
          <w:p>
            <w:pPr>
              <w:pStyle w:val="Compact"/>
              <w:jc w:val="right"/>
            </w:pPr>
            <w:r>
              <w:t xml:space="preserve">11.84</w:t>
            </w:r>
          </w:p>
        </w:tc>
      </w:tr>
      <w:tr>
        <w:tc>
          <w:tcPr/>
          <w:p>
            <w:pPr>
              <w:pStyle w:val="Compact"/>
              <w:jc w:val="left"/>
            </w:pPr>
            <w:r>
              <w:rPr>
                <w:rFonts w:hint="eastAsia"/>
              </w:rPr>
              <w:t xml:space="preserve">低价回落</w:t>
            </w:r>
            <w:r>
              <w:t xml:space="preserve"> RMSE</w:t>
            </w:r>
          </w:p>
        </w:tc>
        <w:tc>
          <w:tcPr/>
          <w:p>
            <w:pPr>
              <w:pStyle w:val="Compact"/>
              <w:jc w:val="right"/>
            </w:pPr>
            <w:r>
              <w:t xml:space="preserve">4.98</w:t>
            </w:r>
          </w:p>
        </w:tc>
        <w:tc>
          <w:tcPr/>
          <w:p>
            <w:pPr>
              <w:pStyle w:val="Compact"/>
              <w:jc w:val="right"/>
            </w:pPr>
            <w:r>
              <w:t xml:space="preserve">4.63</w:t>
            </w:r>
          </w:p>
        </w:tc>
        <w:tc>
          <w:tcPr/>
          <w:p>
            <w:pPr>
              <w:pStyle w:val="Compact"/>
              <w:jc w:val="right"/>
            </w:pPr>
            <w:r>
              <w:t xml:space="preserve">7.71</w:t>
            </w:r>
          </w:p>
        </w:tc>
        <w:tc>
          <w:tcPr/>
          <w:p>
            <w:pPr>
              <w:pStyle w:val="Compact"/>
              <w:jc w:val="right"/>
            </w:pPr>
            <w:r>
              <w:t xml:space="preserve">11.60</w:t>
            </w:r>
          </w:p>
        </w:tc>
      </w:tr>
    </w:tbl>
    <w:p>
      <w:pPr>
        <w:pStyle w:val="BodyText"/>
      </w:pPr>
      <w:r>
        <w:rPr>
          <w:rFonts w:hint="eastAsia"/>
        </w:rPr>
        <w:t xml:space="preserve">压力测试显示，在</w:t>
      </w:r>
      <w:r>
        <w:t xml:space="preserve"> 1000 </w:t>
      </w:r>
      <w:r>
        <w:rPr>
          <w:rFonts w:hint="eastAsia"/>
        </w:rPr>
        <w:t xml:space="preserve">组</w:t>
      </w:r>
      <w:r>
        <w:t xml:space="preserve"> </w:t>
      </w:r>
      <m:oMath>
        <m:r>
          <m:rPr>
            <m:sty m:val="p"/>
          </m:rPr>
          <m:t>±</m:t>
        </m:r>
        <m:r>
          <m:t>15</m:t>
        </m:r>
        <m:r>
          <m:rPr>
            <m:sty m:val="p"/>
          </m:rPr>
          <m:t>%</m:t>
        </m:r>
      </m:oMath>
      <w:r>
        <w:t xml:space="preserve"> </w:t>
      </w:r>
      <w:r>
        <w:rPr>
          <w:rFonts w:hint="eastAsia"/>
        </w:rPr>
        <w:t xml:space="preserve">参数扰动中，61.0%</w:t>
      </w:r>
      <w:r>
        <w:t xml:space="preserve"> </w:t>
      </w:r>
      <w:r>
        <w:rPr>
          <w:rFonts w:hint="eastAsia"/>
        </w:rPr>
        <w:t xml:space="preserve">的样本</w:t>
      </w:r>
      <w:r>
        <w:t xml:space="preserve"> RMSE </w:t>
      </w:r>
      <w:r>
        <w:rPr>
          <w:rFonts w:hint="eastAsia"/>
        </w:rPr>
        <w:t xml:space="preserve">不高于</w:t>
      </w:r>
      <w:r>
        <w:t xml:space="preserve"> </w:t>
      </w:r>
      <w:r>
        <w:rPr>
          <w:rFonts w:hint="eastAsia"/>
        </w:rPr>
        <w:t xml:space="preserve">5，96.6%</w:t>
      </w:r>
      <w:r>
        <w:t xml:space="preserve"> </w:t>
      </w:r>
      <w:r>
        <w:rPr>
          <w:rFonts w:hint="eastAsia"/>
        </w:rPr>
        <w:t xml:space="preserve">的样本模拟峰值落在</w:t>
      </w:r>
      <w:r>
        <w:t xml:space="preserve"> 105–125 </w:t>
      </w:r>
      <w:r>
        <w:rPr>
          <w:rFonts w:hint="eastAsia"/>
        </w:rPr>
        <w:t xml:space="preserve">美元/桶区间，全部样本末日价格落在</w:t>
      </w:r>
      <w:r>
        <w:t xml:space="preserve"> 100–120 </w:t>
      </w:r>
      <w:r>
        <w:rPr>
          <w:rFonts w:hint="eastAsia"/>
        </w:rPr>
        <w:t xml:space="preserve">美元/桶区间。这个结果意味着，价格平台并不依赖唯一一组精确参数点；但较大扰动会削弱</w:t>
      </w:r>
      <w:r>
        <w:t xml:space="preserve"> RMSE </w:t>
      </w:r>
      <w:r>
        <w:rPr>
          <w:rFonts w:hint="eastAsia"/>
        </w:rPr>
        <w:t xml:space="preserve">表现，因此本文只主张模型具有结构性稳健性，不主张任意参数下都能保持高精度。</w:t>
      </w:r>
    </w:p>
    <w:p>
      <w:pPr>
        <w:pStyle w:val="BodyText"/>
      </w:pPr>
      <w:r>
        <w:rPr>
          <w:rFonts w:hint="eastAsia"/>
        </w:rPr>
        <w:t xml:space="preserve">本文固定其他参数，只对价格传导系数、封锁风险权重、不确定性底座、价格调整速度、缓冲确认折价和预期修复折价进行一维剖面检验。</w:t>
      </w:r>
      <w:hyperlink w:anchor="fig:short-parameter-profile">
        <w:r>
          <w:rPr>
            <w:rStyle w:val="Hyperlink"/>
          </w:rPr>
          <w:t xml:space="preserve">6</w:t>
        </w:r>
      </w:hyperlink>
      <w:r>
        <w:t xml:space="preserve"> </w:t>
      </w:r>
      <w:r>
        <w:rPr>
          <w:rFonts w:hint="eastAsia"/>
        </w:rPr>
        <w:t xml:space="preserve">表明，当前最优参数附近的误差曲线整体连续；其中封锁风险权重和不确定性底座对</w:t>
      </w:r>
      <w:r>
        <w:t xml:space="preserve"> RMSE </w:t>
      </w:r>
      <w:r>
        <w:rPr>
          <w:rFonts w:hint="eastAsia"/>
        </w:rPr>
        <w:t xml:space="preserve">更敏感，说明风险溢价通道是短期路径解释的关键部分。</w:t>
      </w:r>
    </w:p>
    <w:bookmarkStart w:id="104" w:name="fig:short-parameter-profile"/>
    <w:p>
      <w:pPr>
        <w:pStyle w:val="CaptionedFigure"/>
      </w:pPr>
      <w:r>
        <w:drawing>
          <wp:inline>
            <wp:extent cx="5013960" cy="2962794"/>
            <wp:effectExtent b="0" l="0" r="0" t="0"/>
            <wp:docPr descr="" title="" id="102" name="Picture"/>
            <a:graphic>
              <a:graphicData uri="http://schemas.openxmlformats.org/drawingml/2006/picture">
                <pic:pic>
                  <pic:nvPicPr>
                    <pic:cNvPr descr="短期模型参数剖面图.png" id="103" name="Picture"/>
                    <pic:cNvPicPr>
                      <a:picLocks noChangeArrowheads="1" noChangeAspect="1"/>
                    </pic:cNvPicPr>
                  </pic:nvPicPr>
                  <pic:blipFill>
                    <a:blip r:embed="rId101"/>
                    <a:stretch>
                      <a:fillRect/>
                    </a:stretch>
                  </pic:blipFill>
                  <pic:spPr bwMode="auto">
                    <a:xfrm>
                      <a:off x="0" y="0"/>
                      <a:ext cx="5013960" cy="2962794"/>
                    </a:xfrm>
                    <a:prstGeom prst="rect">
                      <a:avLst/>
                    </a:prstGeom>
                    <a:noFill/>
                    <a:ln w="9525">
                      <a:noFill/>
                      <a:headEnd/>
                      <a:tailEnd/>
                    </a:ln>
                  </pic:spPr>
                </pic:pic>
              </a:graphicData>
            </a:graphic>
          </wp:inline>
        </w:drawing>
      </w:r>
    </w:p>
    <w:p>
      <w:pPr>
        <w:pStyle w:val="ImageCaption"/>
      </w:pPr>
      <w:r>
        <w:rPr>
          <w:rFonts w:hint="eastAsia"/>
        </w:rPr>
        <w:t xml:space="preserve">短期模型关键参数一维剖面</w:t>
      </w:r>
    </w:p>
    <w:bookmarkEnd w:id="104"/>
    <w:p>
      <w:pPr>
        <w:pStyle w:val="CaptionedFigure"/>
      </w:pPr>
      <w:r>
        <w:drawing>
          <wp:inline>
            <wp:extent cx="4907280" cy="2587474"/>
            <wp:effectExtent b="0" l="0" r="0" t="0"/>
            <wp:docPr descr="" title="" id="106" name="Picture"/>
            <a:graphic>
              <a:graphicData uri="http://schemas.openxmlformats.org/drawingml/2006/picture">
                <pic:pic>
                  <pic:nvPicPr>
                    <pic:cNvPr descr="短期模型稳健性带.png" id="107" name="Picture"/>
                    <pic:cNvPicPr>
                      <a:picLocks noChangeArrowheads="1" noChangeAspect="1"/>
                    </pic:cNvPicPr>
                  </pic:nvPicPr>
                  <pic:blipFill>
                    <a:blip r:embed="rId105"/>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短期模型局部扰动稳健性区间</w:t>
      </w:r>
    </w:p>
    <w:p>
      <w:pPr>
        <w:pStyle w:val="BodyText"/>
      </w:pPr>
      <w:r>
        <w:rPr>
          <w:rFonts w:hint="eastAsia"/>
        </w:rPr>
        <w:t xml:space="preserve">围绕当前入选参数进行的</w:t>
      </w:r>
      <w:r>
        <w:t xml:space="preserve"> 800 </w:t>
      </w:r>
      <w:r>
        <w:rPr>
          <w:rFonts w:hint="eastAsia"/>
        </w:rPr>
        <w:t xml:space="preserve">组局部扰动进一步显示，在</w:t>
      </w:r>
      <w:r>
        <w:t xml:space="preserve"> 801 </w:t>
      </w:r>
      <w:r>
        <w:rPr>
          <w:rFonts w:hint="eastAsia"/>
        </w:rPr>
        <w:t xml:space="preserve">组样本中，99.4%</w:t>
      </w:r>
      <w:r>
        <w:t xml:space="preserve"> </w:t>
      </w:r>
      <w:r>
        <w:rPr>
          <w:rFonts w:hint="eastAsia"/>
        </w:rPr>
        <w:t xml:space="preserve">的样本同时满足</w:t>
      </w:r>
      <w:r>
        <w:t xml:space="preserve"> RMSE </w:t>
      </w:r>
      <w:r>
        <w:rPr>
          <w:rFonts w:hint="eastAsia"/>
        </w:rPr>
        <w:t xml:space="preserve">不高于</w:t>
      </w:r>
      <w:r>
        <w:t xml:space="preserve"> </w:t>
      </w:r>
      <w:r>
        <w:rPr>
          <w:rFonts w:hint="eastAsia"/>
        </w:rPr>
        <w:t xml:space="preserve">5、高价平台</w:t>
      </w:r>
      <w:r>
        <w:t xml:space="preserve"> RMSE </w:t>
      </w:r>
      <w:r>
        <w:rPr>
          <w:rFonts w:hint="eastAsia"/>
        </w:rPr>
        <w:t xml:space="preserve">不高于</w:t>
      </w:r>
      <w:r>
        <w:t xml:space="preserve"> </w:t>
      </w:r>
      <w:r>
        <w:rPr>
          <w:rFonts w:hint="eastAsia"/>
        </w:rPr>
        <w:t xml:space="preserve">5、低价回落</w:t>
      </w:r>
      <w:r>
        <w:t xml:space="preserve"> RMSE </w:t>
      </w:r>
      <w:r>
        <w:rPr>
          <w:rFonts w:hint="eastAsia"/>
        </w:rPr>
        <w:t xml:space="preserve">不高于</w:t>
      </w:r>
      <w:r>
        <w:t xml:space="preserve"> </w:t>
      </w:r>
      <w:r>
        <w:rPr>
          <w:rFonts w:hint="eastAsia"/>
        </w:rPr>
        <w:t xml:space="preserve">6、后期</w:t>
      </w:r>
      <w:r>
        <w:t xml:space="preserve"> RMSE </w:t>
      </w:r>
      <w:r>
        <w:rPr>
          <w:rFonts w:hint="eastAsia"/>
        </w:rPr>
        <w:t xml:space="preserve">不高于</w:t>
      </w:r>
      <w:r>
        <w:t xml:space="preserve"> 5 </w:t>
      </w:r>
      <w:r>
        <w:rPr>
          <w:rFonts w:hint="eastAsia"/>
        </w:rPr>
        <w:t xml:space="preserve">的检验阈值。通过阈值样本的</w:t>
      </w:r>
      <w:r>
        <w:t xml:space="preserve"> 10%–90% </w:t>
      </w:r>
      <w:r>
        <w:rPr>
          <w:rFonts w:hint="eastAsia"/>
        </w:rPr>
        <w:t xml:space="preserve">价格带平均宽度为</w:t>
      </w:r>
      <w:r>
        <w:t xml:space="preserve"> 2.18 </w:t>
      </w:r>
      <w:r>
        <w:rPr>
          <w:rFonts w:hint="eastAsia"/>
        </w:rPr>
        <w:t xml:space="preserve">美元/桶，最大宽度为</w:t>
      </w:r>
      <w:r>
        <w:t xml:space="preserve"> 3.01 </w:t>
      </w:r>
      <w:r>
        <w:rPr>
          <w:rFonts w:hint="eastAsia"/>
        </w:rPr>
        <w:t xml:space="preserve">美元/桶，说明当前参数附近存在稳定的可接受参数邻域。</w:t>
      </w:r>
    </w:p>
    <w:p>
      <w:pPr>
        <w:pStyle w:val="BodyText"/>
      </w:pPr>
      <w:r>
        <w:rPr>
          <w:rFonts w:hint="eastAsia"/>
        </w:rPr>
        <w:t xml:space="preserve">针对多目标校准权重可能成为隐藏超参数的问题，本文进一步对已保存的前</w:t>
      </w:r>
      <w:r>
        <w:t xml:space="preserve"> 10 </w:t>
      </w:r>
      <w:r>
        <w:rPr>
          <w:rFonts w:hint="eastAsia"/>
        </w:rPr>
        <w:t xml:space="preserve">个候选参数进行权重敏感性重排。将峰值误差、末日误差、分段</w:t>
      </w:r>
      <w:r>
        <w:t xml:space="preserve"> RMSE </w:t>
      </w:r>
      <w:r>
        <w:rPr>
          <w:rFonts w:hint="eastAsia"/>
        </w:rPr>
        <w:t xml:space="preserve">等权重整体上调或下调</w:t>
      </w:r>
      <w:r>
        <w:t xml:space="preserve"> </w:t>
      </w:r>
      <w:r>
        <w:rPr>
          <w:rFonts w:hint="eastAsia"/>
        </w:rPr>
        <w:t xml:space="preserve">20%，并分别强化峰值末日、分段误差和平台误差后，当前综合最优候选在</w:t>
      </w:r>
      <w:r>
        <w:t xml:space="preserve"> 6/6 </w:t>
      </w:r>
      <w:r>
        <w:rPr>
          <w:rFonts w:hint="eastAsia"/>
        </w:rPr>
        <w:t xml:space="preserve">个权重情景下仍保持第一。该检验不等同于重新全局校准，但说明当前候选并非只依赖某一组精确权重偶然胜出。</w:t>
      </w:r>
    </w:p>
    <w:p>
      <w:pPr>
        <w:pStyle w:val="BodyText"/>
      </w:pPr>
      <w:r>
        <w:rPr>
          <w:rFonts w:hint="eastAsia"/>
        </w:rPr>
        <w:t xml:space="preserve">本文将关键检验证据按</w:t>
      </w:r>
      <w:r>
        <w:rPr>
          <w:rFonts w:hint="eastAsia"/>
        </w:rPr>
        <w:t xml:space="preserve">“问题–证据–结论”</w:t>
      </w:r>
      <w:r>
        <w:rPr>
          <w:rFonts w:hint="eastAsia"/>
        </w:rPr>
        <w:t xml:space="preserve">的形式汇总于</w:t>
      </w:r>
      <w:hyperlink w:anchor="tab:short-validity-summary">
        <w:r>
          <w:rPr>
            <w:rStyle w:val="Hyperlink"/>
          </w:rPr>
          <w:t xml:space="preserve">6</w:t>
        </w:r>
      </w:hyperlink>
      <w:r>
        <w:rPr>
          <w:rFonts w:hint="eastAsia"/>
        </w:rPr>
        <w:t xml:space="preserve">。这些证据用于说明短期冲击模型是否能够支撑赛题结论，最终有效性由误差、机制解释和稳健性检验共同决定。</w:t>
      </w:r>
    </w:p>
    <w:bookmarkStart w:id="108" w:name="tab:short-validity-summary"/>
    <w:p>
      <w:pPr>
        <w:pStyle w:val="TableCaption"/>
      </w:pPr>
      <w:r>
        <w:rPr>
          <w:rFonts w:hint="eastAsia"/>
        </w:rPr>
        <w:t xml:space="preserve">短期冲击模型有效性证据汇总</w:t>
      </w:r>
    </w:p>
    <w:tbl>
      <w:tblPr>
        <w:tblStyle w:val="Table"/>
        <w:tblW w:type="pct" w:w="4400"/>
        <w:tblLayout w:type="fixed"/>
        <w:tblLook w:firstRow="1" w:lastRow="0" w:firstColumn="0" w:lastColumn="0" w:noHBand="0" w:noVBand="0" w:val="0020"/>
        <w:tblCaption w:val="短期冲击模型有效性证据汇总"/>
      </w:tblPr>
      <w:tblGrid>
        <w:gridCol w:w="1821"/>
        <w:gridCol w:w="2534"/>
        <w:gridCol w:w="2613"/>
      </w:tblGrid>
      <w:tr>
        <w:trPr>
          <w:tblHeader w:val="on"/>
        </w:trPr>
        <w:tc>
          <w:tcPr/>
          <w:p>
            <w:pPr>
              <w:pStyle w:val="Compact"/>
              <w:jc w:val="left"/>
            </w:pPr>
            <w:r>
              <w:rPr>
                <w:rFonts w:hint="eastAsia"/>
              </w:rPr>
              <w:t xml:space="preserve">检验问题</w:t>
            </w:r>
          </w:p>
        </w:tc>
        <w:tc>
          <w:tcPr/>
          <w:p>
            <w:pPr>
              <w:pStyle w:val="Compact"/>
              <w:jc w:val="left"/>
            </w:pPr>
            <w:r>
              <w:rPr>
                <w:rFonts w:hint="eastAsia"/>
              </w:rPr>
              <w:t xml:space="preserve">主要证据</w:t>
            </w:r>
          </w:p>
        </w:tc>
        <w:tc>
          <w:tcPr/>
          <w:p>
            <w:pPr>
              <w:pStyle w:val="Compact"/>
              <w:jc w:val="left"/>
            </w:pPr>
            <w:r>
              <w:rPr>
                <w:rFonts w:hint="eastAsia"/>
              </w:rPr>
              <w:t xml:space="preserve">论文中的作用</w:t>
            </w:r>
          </w:p>
        </w:tc>
      </w:tr>
      <w:tr>
        <w:tc>
          <w:tcPr/>
          <w:p>
            <w:pPr>
              <w:pStyle w:val="Compact"/>
              <w:jc w:val="left"/>
            </w:pPr>
            <w:r>
              <w:rPr>
                <w:rFonts w:hint="eastAsia"/>
              </w:rPr>
              <w:t xml:space="preserve">是否优于简单基准</w:t>
            </w:r>
          </w:p>
        </w:tc>
        <w:tc>
          <w:tcPr/>
          <w:p>
            <w:pPr>
              <w:pStyle w:val="Compact"/>
              <w:jc w:val="left"/>
            </w:pPr>
            <w:r>
              <w:t xml:space="preserve">RMSE、MAE </w:t>
            </w:r>
            <w:r>
              <w:rPr>
                <w:rFonts w:hint="eastAsia"/>
              </w:rPr>
              <w:t xml:space="preserve">和</w:t>
            </w:r>
            <w:r>
              <w:t xml:space="preserve"> MAPE </w:t>
            </w:r>
            <w:r>
              <w:rPr>
                <w:rFonts w:hint="eastAsia"/>
              </w:rPr>
              <w:t xml:space="preserve">均优于朴素上一日、三日均值、漂移随机游走和滚动</w:t>
            </w:r>
            <w:r>
              <w:t xml:space="preserve"> ARIMA</w:t>
            </w:r>
          </w:p>
        </w:tc>
        <w:tc>
          <w:tcPr/>
          <w:p>
            <w:pPr>
              <w:pStyle w:val="Compact"/>
              <w:jc w:val="left"/>
            </w:pPr>
            <w:r>
              <w:rPr>
                <w:rFonts w:hint="eastAsia"/>
              </w:rPr>
              <w:t xml:space="preserve">说明模型不是仅复制油价惯性</w:t>
            </w:r>
          </w:p>
        </w:tc>
      </w:tr>
      <w:tr>
        <w:tc>
          <w:tcPr/>
          <w:p>
            <w:pPr>
              <w:pStyle w:val="Compact"/>
              <w:jc w:val="left"/>
            </w:pPr>
            <w:r>
              <w:rPr>
                <w:rFonts w:hint="eastAsia"/>
              </w:rPr>
              <w:t xml:space="preserve">是否存在滞后复制</w:t>
            </w:r>
          </w:p>
        </w:tc>
        <w:tc>
          <w:tcPr/>
          <w:p>
            <w:pPr>
              <w:pStyle w:val="Compact"/>
              <w:jc w:val="left"/>
            </w:pPr>
            <w:r>
              <w:rPr>
                <w:rFonts w:hint="eastAsia"/>
              </w:rPr>
              <w:t xml:space="preserve">最优平移仍为</w:t>
            </w:r>
            <w:r>
              <w:t xml:space="preserve"> 0 </w:t>
            </w:r>
            <w:r>
              <w:rPr>
                <w:rFonts w:hint="eastAsia"/>
              </w:rPr>
              <w:t xml:space="preserve">日，拐点窗口中峰值与回落方向基本一致</w:t>
            </w:r>
          </w:p>
        </w:tc>
        <w:tc>
          <w:tcPr/>
          <w:p>
            <w:pPr>
              <w:pStyle w:val="Compact"/>
              <w:jc w:val="left"/>
            </w:pPr>
            <w:r>
              <w:rPr>
                <w:rFonts w:hint="eastAsia"/>
              </w:rPr>
              <w:t xml:space="preserve">回应</w:t>
            </w:r>
            <w:r>
              <w:rPr>
                <w:rFonts w:hint="eastAsia"/>
              </w:rPr>
              <w:t xml:space="preserve">“马后炮曲线”</w:t>
            </w:r>
            <w:r>
              <w:rPr>
                <w:rFonts w:hint="eastAsia"/>
              </w:rPr>
              <w:t xml:space="preserve">风险</w:t>
            </w:r>
          </w:p>
        </w:tc>
      </w:tr>
      <w:tr>
        <w:tc>
          <w:tcPr/>
          <w:p>
            <w:pPr>
              <w:pStyle w:val="Compact"/>
              <w:jc w:val="left"/>
            </w:pPr>
            <w:r>
              <w:rPr>
                <w:rFonts w:hint="eastAsia"/>
              </w:rPr>
              <w:t xml:space="preserve">机制项是否必要</w:t>
            </w:r>
          </w:p>
        </w:tc>
        <w:tc>
          <w:tcPr/>
          <w:p>
            <w:pPr>
              <w:pStyle w:val="Compact"/>
              <w:jc w:val="left"/>
            </w:pPr>
            <w:r>
              <w:rPr>
                <w:rFonts w:hint="eastAsia"/>
              </w:rPr>
              <w:t xml:space="preserve">机制消融显示关闭风险、缓冲和预期修复通道会明显改变误差结构</w:t>
            </w:r>
          </w:p>
        </w:tc>
        <w:tc>
          <w:tcPr/>
          <w:p>
            <w:pPr>
              <w:pStyle w:val="Compact"/>
              <w:jc w:val="left"/>
            </w:pPr>
            <w:r>
              <w:rPr>
                <w:rFonts w:hint="eastAsia"/>
              </w:rPr>
              <w:t xml:space="preserve">说明扩展项具有边际解释贡献</w:t>
            </w:r>
          </w:p>
        </w:tc>
      </w:tr>
      <w:tr>
        <w:tc>
          <w:tcPr/>
          <w:p>
            <w:pPr>
              <w:pStyle w:val="Compact"/>
              <w:jc w:val="left"/>
            </w:pPr>
            <w:r>
              <w:rPr>
                <w:rFonts w:hint="eastAsia"/>
              </w:rPr>
              <w:t xml:space="preserve">参数是否过度依赖单点</w:t>
            </w:r>
          </w:p>
        </w:tc>
        <w:tc>
          <w:tcPr/>
          <w:p>
            <w:pPr>
              <w:pStyle w:val="Compact"/>
              <w:jc w:val="left"/>
            </w:pPr>
            <w:r>
              <w:rPr>
                <w:rFonts w:hint="eastAsia"/>
              </w:rPr>
              <w:t xml:space="preserve">一维剖面连续，局部扰动样本形成窄价格带</w:t>
            </w:r>
          </w:p>
        </w:tc>
        <w:tc>
          <w:tcPr/>
          <w:p>
            <w:pPr>
              <w:pStyle w:val="Compact"/>
              <w:jc w:val="left"/>
            </w:pPr>
            <w:r>
              <w:rPr>
                <w:rFonts w:hint="eastAsia"/>
              </w:rPr>
              <w:t xml:space="preserve">支撑参数邻域稳定性</w:t>
            </w:r>
          </w:p>
        </w:tc>
      </w:tr>
      <w:tr>
        <w:tc>
          <w:tcPr/>
          <w:p>
            <w:pPr>
              <w:pStyle w:val="Compact"/>
              <w:jc w:val="left"/>
            </w:pPr>
            <w:r>
              <w:rPr>
                <w:rFonts w:hint="eastAsia"/>
              </w:rPr>
              <w:t xml:space="preserve">残差是否仍有边界</w:t>
            </w:r>
          </w:p>
        </w:tc>
        <w:tc>
          <w:tcPr/>
          <w:p>
            <w:pPr>
              <w:pStyle w:val="Compact"/>
              <w:jc w:val="left"/>
            </w:pPr>
            <w:r>
              <w:rPr>
                <w:rFonts w:hint="eastAsia"/>
              </w:rPr>
              <w:t xml:space="preserve">残差存在一定波动聚集，方向命中率仍有提升空间</w:t>
            </w:r>
          </w:p>
        </w:tc>
        <w:tc>
          <w:tcPr/>
          <w:p>
            <w:pPr>
              <w:pStyle w:val="Compact"/>
              <w:jc w:val="left"/>
            </w:pPr>
            <w:r>
              <w:rPr>
                <w:rFonts w:hint="eastAsia"/>
              </w:rPr>
              <w:t xml:space="preserve">明确模型是事件机制解释模型，不是通用交易预测器</w:t>
            </w:r>
          </w:p>
        </w:tc>
      </w:tr>
    </w:tbl>
    <w:bookmarkEnd w:id="108"/>
    <w:bookmarkEnd w:id="109"/>
    <w:bookmarkStart w:id="110" w:name="内生性反事实基准与结构边界"/>
    <w:p>
      <w:pPr>
        <w:pStyle w:val="Heading3"/>
      </w:pPr>
      <w:r>
        <w:rPr>
          <w:rFonts w:hint="eastAsia"/>
        </w:rPr>
        <w:t xml:space="preserve">内生性、反事实基准与结构边界</w:t>
      </w:r>
    </w:p>
    <w:p>
      <w:pPr>
        <w:pStyle w:val="FirstParagraph"/>
      </w:pPr>
      <w:r>
        <w:rPr>
          <w:rFonts w:hint="eastAsia"/>
        </w:rPr>
        <w:t xml:space="preserve">模型中的恐慌初始强度和恐慌衰减速度用于刻画冲突初期风险溢价衰减，并非由新闻文本统计得到的外生恐慌指数。若后续加入新闻情绪模块，应使用</w:t>
      </w:r>
      <w:r>
        <w:t xml:space="preserve"> </w:t>
      </w:r>
      <m:oMath>
        <m:r>
          <m:t>t</m:t>
        </m:r>
        <m:r>
          <m:rPr>
            <m:sty m:val="p"/>
          </m:rPr>
          <m:t>−</m:t>
        </m:r>
        <m:r>
          <m:t>1</m:t>
        </m:r>
      </m:oMath>
      <w:r>
        <w:t xml:space="preserve"> </w:t>
      </w:r>
      <w:r>
        <w:rPr>
          <w:rFonts w:hint="eastAsia"/>
        </w:rPr>
        <w:t xml:space="preserve">期或闭市前新闻解释</w:t>
      </w:r>
      <w:r>
        <w:t xml:space="preserve"> </w:t>
      </w:r>
      <m:oMath>
        <m:r>
          <m:t>t</m:t>
        </m:r>
      </m:oMath>
      <w:r>
        <w:t xml:space="preserve"> </w:t>
      </w:r>
      <w:r>
        <w:rPr>
          <w:rFonts w:hint="eastAsia"/>
        </w:rPr>
        <w:t xml:space="preserve">日价格，并进行格兰杰因果或滞后相关检验。</w:t>
      </w:r>
    </w:p>
    <w:p>
      <w:pPr>
        <w:pStyle w:val="BodyText"/>
      </w:pPr>
      <w:r>
        <w:rPr>
          <w:rFonts w:hint="eastAsia"/>
        </w:rPr>
        <w:t xml:space="preserve">关于</w:t>
      </w:r>
      <w:r>
        <w:t xml:space="preserve"> 200 </w:t>
      </w:r>
      <w:r>
        <w:rPr>
          <w:rFonts w:hint="eastAsia"/>
        </w:rPr>
        <w:t xml:space="preserve">美元以上反事实基准，传统供需模型的高价结果来自低短期弹性条件下的线性需求反事实基准，而不是现实预测；常弹性需求口径只作为机械上界参照。弹性敏感性检验显示，当需求价格弹性由</w:t>
      </w:r>
      <w:r>
        <w:t xml:space="preserve"> </w:t>
      </w:r>
      <m:oMath>
        <m:r>
          <m:rPr>
            <m:sty m:val="p"/>
          </m:rPr>
          <m:t>−</m:t>
        </m:r>
        <m:r>
          <m:t>0.05</m:t>
        </m:r>
      </m:oMath>
      <w:r>
        <w:t xml:space="preserve"> </w:t>
      </w:r>
      <w:r>
        <w:rPr>
          <w:rFonts w:hint="eastAsia"/>
        </w:rPr>
        <w:t xml:space="preserve">放宽至</w:t>
      </w:r>
      <w:r>
        <w:t xml:space="preserve"> </w:t>
      </w:r>
      <m:oMath>
        <m:r>
          <m:rPr>
            <m:sty m:val="p"/>
          </m:rPr>
          <m:t>−</m:t>
        </m:r>
        <m:r>
          <m:t>0.25</m:t>
        </m:r>
      </m:oMath>
      <w:r>
        <w:t xml:space="preserve"> </w:t>
      </w:r>
      <w:r>
        <w:rPr>
          <w:rFonts w:hint="eastAsia"/>
        </w:rPr>
        <w:t xml:space="preserve">或</w:t>
      </w:r>
      <w:r>
        <w:t xml:space="preserve"> </w:t>
      </w:r>
      <m:oMath>
        <m:r>
          <m:rPr>
            <m:sty m:val="p"/>
          </m:rPr>
          <m:t>−</m:t>
        </m:r>
        <m:r>
          <m:t>0.35</m:t>
        </m:r>
      </m:oMath>
      <w:r>
        <w:t xml:space="preserve"> </w:t>
      </w:r>
      <w:r>
        <w:rPr>
          <w:rFonts w:hint="eastAsia"/>
        </w:rPr>
        <w:t xml:space="preserve">时，线性需求反事实价格会明显下降，部分情景已经接近或低于</w:t>
      </w:r>
      <w:r>
        <w:t xml:space="preserve"> 120 </w:t>
      </w:r>
      <w:r>
        <w:rPr>
          <w:rFonts w:hint="eastAsia"/>
        </w:rPr>
        <w:t xml:space="preserve">美元/桶。因此，本文要论证的是：低短期弹性静态供需模型会显著高估现实价格，需要引入库存、SPR、绕道、需求收缩、价格传导折价和预期修复等动态机制解释现实平台。</w:t>
      </w:r>
    </w:p>
    <w:p>
      <w:pPr>
        <w:pStyle w:val="BodyText"/>
      </w:pPr>
      <w:r>
        <w:rPr>
          <w:rFonts w:hint="eastAsia"/>
        </w:rPr>
        <w:t xml:space="preserve">递推结构检查显示，短期冲击模型函数没有设置</w:t>
      </w:r>
      <w:r>
        <w:t xml:space="preserve"> </w:t>
      </w:r>
      <m:oMath>
        <m:sSub>
          <m:e>
            <m:r>
              <m:t>P</m:t>
            </m:r>
          </m:e>
          <m:sub>
            <m:r>
              <m:t>t</m:t>
            </m:r>
          </m:sub>
        </m:sSub>
        <m:r>
          <m:rPr>
            <m:sty m:val="p"/>
          </m:rPr>
          <m:t>&gt;</m:t>
        </m:r>
        <m:r>
          <m:t>120</m:t>
        </m:r>
      </m:oMath>
      <w:r>
        <w:t xml:space="preserve"> </w:t>
      </w:r>
      <w:r>
        <w:rPr>
          <w:rFonts w:hint="eastAsia"/>
        </w:rPr>
        <w:t xml:space="preserve">后强制压低价格的条件分支，也没有将</w:t>
      </w:r>
      <w:r>
        <w:t xml:space="preserve"> 120 </w:t>
      </w:r>
      <w:r>
        <w:rPr>
          <w:rFonts w:hint="eastAsia"/>
        </w:rPr>
        <w:t xml:space="preserve">美元设置为价格上限。模型中的数值安全裁剪上限为</w:t>
      </w:r>
      <w:r>
        <w:t xml:space="preserve"> 180 </w:t>
      </w:r>
      <w:r>
        <w:rPr>
          <w:rFonts w:hint="eastAsia"/>
        </w:rPr>
        <w:t xml:space="preserve">美元/桶，校准路径中从未触发；110–120</w:t>
      </w:r>
      <w:r>
        <w:t xml:space="preserve"> </w:t>
      </w:r>
      <w:r>
        <w:rPr>
          <w:rFonts w:hint="eastAsia"/>
        </w:rPr>
        <w:t xml:space="preserve">美元只作为题面观测参考区间出现在图表阴影和展示配置中，不参与价格递推计算。当前模型可解释</w:t>
      </w:r>
      <w:r>
        <w:t xml:space="preserve"> 120 </w:t>
      </w:r>
      <w:r>
        <w:rPr>
          <w:rFonts w:hint="eastAsia"/>
        </w:rPr>
        <w:t xml:space="preserve">美元附近平台的机制来源，但不将其表述为多智能体动态纳什均衡。</w:t>
      </w:r>
    </w:p>
    <w:bookmarkEnd w:id="110"/>
    <w:bookmarkStart w:id="112" w:name="鲁棒性与边界检验总览"/>
    <w:p>
      <w:pPr>
        <w:pStyle w:val="Heading3"/>
      </w:pPr>
      <w:r>
        <w:rPr>
          <w:rFonts w:hint="eastAsia"/>
        </w:rPr>
        <w:t xml:space="preserve">鲁棒性与边界检验总览</w:t>
      </w:r>
    </w:p>
    <w:p>
      <w:pPr>
        <w:pStyle w:val="FirstParagraph"/>
      </w:pPr>
      <w:r>
        <w:rPr>
          <w:rFonts w:hint="eastAsia"/>
        </w:rPr>
        <w:t xml:space="preserve">本文将关键不确定性来源转化为鲁棒性与边界检验。</w:t>
      </w:r>
      <w:hyperlink w:anchor="tab:adversarial-tests">
        <w:r>
          <w:rPr>
            <w:rStyle w:val="Hyperlink"/>
          </w:rPr>
          <w:t xml:space="preserve">7</w:t>
        </w:r>
      </w:hyperlink>
      <w:r>
        <w:t xml:space="preserve"> </w:t>
      </w:r>
      <w:r>
        <w:rPr>
          <w:rFonts w:hint="eastAsia"/>
        </w:rPr>
        <w:t xml:space="preserve">中的检验均不重新寻找最优参数，而是在同一模型框架下改变某个关键条件，观察主结论是否保持稳定。</w:t>
      </w:r>
    </w:p>
    <w:bookmarkStart w:id="111" w:name="tab:adversarial-tests"/>
    <w:p>
      <w:pPr>
        <w:pStyle w:val="TableCaption"/>
      </w:pPr>
      <w:r>
        <w:rPr>
          <w:rFonts w:hint="eastAsia"/>
        </w:rPr>
        <w:t xml:space="preserve">鲁棒性与边界检验总览</w:t>
      </w:r>
    </w:p>
    <w:tbl>
      <w:tblPr>
        <w:tblStyle w:val="Table"/>
        <w:tblW w:type="auto" w:w="0"/>
        <w:tblLook w:firstRow="1" w:lastRow="0" w:firstColumn="0" w:lastColumn="0" w:noHBand="0" w:noVBand="0" w:val="0020"/>
        <w:tblCaption w:val="鲁棒性与边界检验总览"/>
      </w:tblPr>
      <w:tblGrid>
        <w:gridCol w:w="1980"/>
        <w:gridCol w:w="1980"/>
        <w:gridCol w:w="1980"/>
        <w:gridCol w:w="1980"/>
      </w:tblGrid>
      <w:tr>
        <w:trPr>
          <w:tblHeader w:val="on"/>
        </w:trPr>
        <w:tc>
          <w:tcPr/>
          <w:p>
            <w:pPr>
              <w:pStyle w:val="Compact"/>
              <w:jc w:val="left"/>
            </w:pPr>
            <w:r>
              <w:rPr>
                <w:rFonts w:hint="eastAsia"/>
              </w:rPr>
              <w:t xml:space="preserve">检验假设</w:t>
            </w:r>
          </w:p>
        </w:tc>
        <w:tc>
          <w:tcPr/>
          <w:p>
            <w:pPr>
              <w:pStyle w:val="Compact"/>
              <w:jc w:val="left"/>
            </w:pPr>
            <w:r>
              <w:rPr>
                <w:rFonts w:hint="eastAsia"/>
              </w:rPr>
              <w:t xml:space="preserve">检验方式</w:t>
            </w:r>
          </w:p>
        </w:tc>
        <w:tc>
          <w:tcPr/>
          <w:p>
            <w:pPr>
              <w:pStyle w:val="Compact"/>
              <w:jc w:val="left"/>
            </w:pPr>
            <w:r>
              <w:rPr>
                <w:rFonts w:hint="eastAsia"/>
              </w:rPr>
              <w:t xml:space="preserve">关键结果</w:t>
            </w:r>
          </w:p>
        </w:tc>
        <w:tc>
          <w:tcPr/>
          <w:p>
            <w:pPr>
              <w:pStyle w:val="Compact"/>
              <w:jc w:val="left"/>
            </w:pPr>
            <w:r>
              <w:rPr>
                <w:rFonts w:hint="eastAsia"/>
              </w:rPr>
              <w:t xml:space="preserve">论文含义</w:t>
            </w:r>
          </w:p>
        </w:tc>
      </w:tr>
      <w:tr>
        <w:tc>
          <w:tcPr/>
          <w:p>
            <w:pPr>
              <w:pStyle w:val="Compact"/>
              <w:jc w:val="left"/>
            </w:pPr>
            <w:r>
              <w:rPr>
                <w:rFonts w:hint="eastAsia"/>
              </w:rPr>
              <w:t xml:space="preserve">相对朴素基准的有效性</w:t>
            </w:r>
          </w:p>
        </w:tc>
        <w:tc>
          <w:tcPr/>
          <w:p>
            <w:pPr>
              <w:pStyle w:val="Compact"/>
              <w:jc w:val="left"/>
            </w:pPr>
            <w:r>
              <w:rPr>
                <w:rFonts w:hint="eastAsia"/>
              </w:rPr>
              <w:t xml:space="preserve">与上一日价格、三日均值、漂移随机游走和滚动</w:t>
            </w:r>
            <w:r>
              <w:t xml:space="preserve"> ARIMA </w:t>
            </w:r>
            <w:r>
              <w:rPr>
                <w:rFonts w:hint="eastAsia"/>
              </w:rPr>
              <w:t xml:space="preserve">比较</w:t>
            </w:r>
          </w:p>
        </w:tc>
        <w:tc>
          <w:tcPr/>
          <w:p>
            <w:pPr>
              <w:pStyle w:val="Compact"/>
              <w:jc w:val="left"/>
            </w:pPr>
            <w:r>
              <w:rPr>
                <w:rFonts w:hint="eastAsia"/>
              </w:rPr>
              <w:t xml:space="preserve">可比样本</w:t>
            </w:r>
            <w:r>
              <w:t xml:space="preserve"> RMSE </w:t>
            </w:r>
            <w:r>
              <w:rPr>
                <w:rFonts w:hint="eastAsia"/>
              </w:rPr>
              <w:t xml:space="preserve">为</w:t>
            </w:r>
            <w:r>
              <w:t xml:space="preserve"> </w:t>
            </w:r>
            <w:r>
              <w:rPr>
                <w:rFonts w:hint="eastAsia"/>
              </w:rPr>
              <w:t xml:space="preserve">3.42，朴素基准为</w:t>
            </w:r>
            <w:r>
              <w:t xml:space="preserve"> </w:t>
            </w:r>
            <w:r>
              <w:rPr>
                <w:rFonts w:hint="eastAsia"/>
              </w:rPr>
              <w:t xml:space="preserve">4.52；DM</w:t>
            </w:r>
            <w:r>
              <w:t xml:space="preserve"> </w:t>
            </w:r>
            <w:r>
              <w:rPr>
                <w:rFonts w:hint="eastAsia"/>
              </w:rPr>
              <w:t xml:space="preserve">平方损失单侧</w:t>
            </w:r>
            <w:r>
              <w:t xml:space="preserve"> </w:t>
            </w:r>
            <m:oMath>
              <m:r>
                <m:t>p</m:t>
              </m:r>
              <m:r>
                <m:rPr>
                  <m:sty m:val="p"/>
                </m:rPr>
                <m:t>=</m:t>
              </m:r>
              <m:r>
                <m:t>0.020</m:t>
              </m:r>
            </m:oMath>
          </w:p>
        </w:tc>
        <w:tc>
          <w:tcPr/>
          <w:p>
            <w:pPr>
              <w:pStyle w:val="Compact"/>
              <w:jc w:val="left"/>
            </w:pPr>
            <w:r>
              <w:rPr>
                <w:rFonts w:hint="eastAsia"/>
              </w:rPr>
              <w:t xml:space="preserve">机制递推模型相对无变化预测具有误差优势</w:t>
            </w:r>
          </w:p>
        </w:tc>
      </w:tr>
      <w:tr>
        <w:tc>
          <w:tcPr/>
          <w:p>
            <w:pPr>
              <w:pStyle w:val="Compact"/>
              <w:jc w:val="left"/>
            </w:pPr>
            <w:r>
              <w:rPr>
                <w:rFonts w:hint="eastAsia"/>
              </w:rPr>
              <w:t xml:space="preserve">滞后复制风险</w:t>
            </w:r>
          </w:p>
        </w:tc>
        <w:tc>
          <w:tcPr/>
          <w:p>
            <w:pPr>
              <w:pStyle w:val="Compact"/>
              <w:jc w:val="left"/>
            </w:pPr>
            <w:r>
              <w:rPr>
                <w:rFonts w:hint="eastAsia"/>
              </w:rPr>
              <w:t xml:space="preserve">平移检验、拐点局部检验和残差自相关检验</w:t>
            </w:r>
          </w:p>
        </w:tc>
        <w:tc>
          <w:tcPr/>
          <w:p>
            <w:pPr>
              <w:pStyle w:val="Compact"/>
              <w:jc w:val="left"/>
            </w:pPr>
            <w:r>
              <w:t xml:space="preserve">Ljung–Box lag10</w:t>
            </w:r>
            <w:r>
              <w:t xml:space="preserve"> </w:t>
            </w:r>
            <m:oMath>
              <m:r>
                <m:t>p</m:t>
              </m:r>
              <m:r>
                <m:rPr>
                  <m:sty m:val="p"/>
                </m:rPr>
                <m:t>=</m:t>
              </m:r>
              <m:r>
                <m:t>0.364</m:t>
              </m:r>
            </m:oMath>
            <w:r>
              <w:rPr>
                <w:rFonts w:hint="eastAsia"/>
              </w:rPr>
              <w:t xml:space="preserve">，未发现显著线性残差自相关</w:t>
            </w:r>
          </w:p>
        </w:tc>
        <w:tc>
          <w:tcPr/>
          <w:p>
            <w:pPr>
              <w:pStyle w:val="Compact"/>
              <w:jc w:val="left"/>
            </w:pPr>
            <w:r>
              <w:rPr>
                <w:rFonts w:hint="eastAsia"/>
              </w:rPr>
              <w:t xml:space="preserve">拟合曲线没有明显依赖</w:t>
            </w:r>
            <w:r>
              <w:rPr>
                <w:rFonts w:hint="eastAsia"/>
              </w:rPr>
              <w:t xml:space="preserve">“昨天当今天”</w:t>
            </w:r>
            <w:r>
              <w:rPr>
                <w:rFonts w:hint="eastAsia"/>
              </w:rPr>
              <w:t xml:space="preserve">的滞后复制</w:t>
            </w:r>
          </w:p>
        </w:tc>
      </w:tr>
      <w:tr>
        <w:tc>
          <w:tcPr/>
          <w:p>
            <w:pPr>
              <w:pStyle w:val="Compact"/>
              <w:jc w:val="left"/>
            </w:pPr>
            <w:r>
              <w:rPr>
                <w:rFonts w:hint="eastAsia"/>
              </w:rPr>
              <w:t xml:space="preserve">题面弹性与价格传导的区分</w:t>
            </w:r>
          </w:p>
        </w:tc>
        <w:tc>
          <w:tcPr/>
          <w:p>
            <w:pPr>
              <w:pStyle w:val="Compact"/>
              <w:jc w:val="left"/>
            </w:pPr>
            <w:r>
              <w:rPr>
                <w:rFonts w:hint="eastAsia"/>
              </w:rPr>
              <w:t xml:space="preserve">将价格传导系数强制设为</w:t>
            </w:r>
            <w:r>
              <w:t xml:space="preserve"> </w:t>
            </w:r>
            <m:oMath>
              <m:r>
                <m:t>ϕ</m:t>
              </m:r>
              <m:r>
                <m:rPr>
                  <m:sty m:val="p"/>
                </m:rPr>
                <m:t>=</m:t>
              </m:r>
              <m:r>
                <m:t>1</m:t>
              </m:r>
            </m:oMath>
          </w:p>
        </w:tc>
        <w:tc>
          <w:tcPr/>
          <w:p>
            <w:pPr>
              <w:pStyle w:val="Compact"/>
              <w:jc w:val="left"/>
            </w:pPr>
            <w:r>
              <w:t xml:space="preserve">RMSE </w:t>
            </w:r>
            <w:r>
              <w:rPr>
                <w:rFonts w:hint="eastAsia"/>
              </w:rPr>
              <w:t xml:space="preserve">升至</w:t>
            </w:r>
            <w:r>
              <w:t xml:space="preserve"> </w:t>
            </w:r>
            <w:r>
              <w:rPr>
                <w:rFonts w:hint="eastAsia"/>
              </w:rPr>
              <w:t xml:space="preserve">26.55，模拟峰值升至</w:t>
            </w:r>
            <w:r>
              <w:t xml:space="preserve"> 166.84 </w:t>
            </w:r>
            <w:r>
              <w:rPr>
                <w:rFonts w:hint="eastAsia"/>
              </w:rPr>
              <w:t xml:space="preserve">美元/桶</w:t>
            </w:r>
          </w:p>
        </w:tc>
        <w:tc>
          <w:tcPr/>
          <w:p>
            <w:pPr>
              <w:pStyle w:val="Compact"/>
              <w:jc w:val="left"/>
            </w:pPr>
            <w:r>
              <w:rPr>
                <w:rFonts w:hint="eastAsia"/>
              </w:rPr>
              <w:t xml:space="preserve">题面低弹性用于反事实上界，</w:t>
            </w:r>
            <m:oMath>
              <m:r>
                <m:t>ϕ</m:t>
              </m:r>
            </m:oMath>
            <w:r>
              <w:t xml:space="preserve"> </w:t>
            </w:r>
            <w:r>
              <w:rPr>
                <w:rFonts w:hint="eastAsia"/>
              </w:rPr>
              <w:t xml:space="preserve">是期货市场折价传导参数</w:t>
            </w:r>
          </w:p>
        </w:tc>
      </w:tr>
      <w:tr>
        <w:tc>
          <w:tcPr/>
          <w:p>
            <w:pPr>
              <w:pStyle w:val="Compact"/>
              <w:jc w:val="left"/>
            </w:pPr>
            <w:r>
              <w:rPr>
                <w:rFonts w:hint="eastAsia"/>
              </w:rPr>
              <w:t xml:space="preserve">参数扰动稳定性</w:t>
            </w:r>
          </w:p>
        </w:tc>
        <w:tc>
          <w:tcPr/>
          <w:p>
            <w:pPr>
              <w:pStyle w:val="Compact"/>
              <w:jc w:val="left"/>
            </w:pPr>
            <w:r>
              <w:t xml:space="preserve">1000 </w:t>
            </w:r>
            <w:r>
              <w:rPr>
                <w:rFonts w:hint="eastAsia"/>
              </w:rPr>
              <w:t xml:space="preserve">组</w:t>
            </w:r>
            <w:r>
              <w:t xml:space="preserve"> </w:t>
            </w:r>
            <m:oMath>
              <m:r>
                <m:rPr>
                  <m:sty m:val="p"/>
                </m:rPr>
                <m:t>±</m:t>
              </m:r>
              <m:r>
                <m:t>15</m:t>
              </m:r>
              <m:r>
                <m:rPr>
                  <m:sty m:val="p"/>
                </m:rPr>
                <m:t>%</m:t>
              </m:r>
            </m:oMath>
            <w:r>
              <w:t xml:space="preserve"> </w:t>
            </w:r>
            <w:r>
              <w:rPr>
                <w:rFonts w:hint="eastAsia"/>
              </w:rPr>
              <w:t xml:space="preserve">扰动和</w:t>
            </w:r>
            <w:r>
              <w:t xml:space="preserve"> 800 </w:t>
            </w:r>
            <w:r>
              <w:rPr>
                <w:rFonts w:hint="eastAsia"/>
              </w:rPr>
              <w:t xml:space="preserve">组局部扰动</w:t>
            </w:r>
          </w:p>
        </w:tc>
        <w:tc>
          <w:tcPr/>
          <w:p>
            <w:pPr>
              <w:pStyle w:val="Compact"/>
              <w:jc w:val="left"/>
            </w:pPr>
            <w:r>
              <w:t xml:space="preserve">96.6% </w:t>
            </w:r>
            <w:r>
              <w:rPr>
                <w:rFonts w:hint="eastAsia"/>
              </w:rPr>
              <w:t xml:space="preserve">扰动样本峰值仍在</w:t>
            </w:r>
            <w:r>
              <w:t xml:space="preserve"> 105–125 </w:t>
            </w:r>
            <w:r>
              <w:rPr>
                <w:rFonts w:hint="eastAsia"/>
              </w:rPr>
              <w:t xml:space="preserve">美元/桶，局部通过率</w:t>
            </w:r>
            <w:r>
              <w:t xml:space="preserve"> 99.4%</w:t>
            </w:r>
          </w:p>
        </w:tc>
        <w:tc>
          <w:tcPr/>
          <w:p>
            <w:pPr>
              <w:pStyle w:val="Compact"/>
              <w:jc w:val="left"/>
            </w:pPr>
            <w:r>
              <w:rPr>
                <w:rFonts w:hint="eastAsia"/>
              </w:rPr>
              <w:t xml:space="preserve">价格平台不依赖唯一一组参数点</w:t>
            </w:r>
          </w:p>
        </w:tc>
      </w:tr>
      <w:tr>
        <w:tc>
          <w:tcPr/>
          <w:p>
            <w:pPr>
              <w:pStyle w:val="Compact"/>
              <w:jc w:val="left"/>
            </w:pPr>
            <w:r>
              <w:rPr>
                <w:rFonts w:hint="eastAsia"/>
              </w:rPr>
              <w:t xml:space="preserve">长期点预测边界</w:t>
            </w:r>
          </w:p>
        </w:tc>
        <w:tc>
          <w:tcPr/>
          <w:p>
            <w:pPr>
              <w:pStyle w:val="Compact"/>
              <w:jc w:val="left"/>
            </w:pPr>
            <w:r>
              <w:rPr>
                <w:rFonts w:hint="eastAsia"/>
              </w:rPr>
              <w:t xml:space="preserve">蒙特卡洛</w:t>
            </w:r>
            <w:r>
              <w:t xml:space="preserve"> 2000 </w:t>
            </w:r>
            <w:r>
              <w:rPr>
                <w:rFonts w:hint="eastAsia"/>
              </w:rPr>
              <w:t xml:space="preserve">条条件路径与三情景中心线对比</w:t>
            </w:r>
          </w:p>
        </w:tc>
        <w:tc>
          <w:tcPr/>
          <w:p>
            <w:pPr>
              <w:pStyle w:val="Compact"/>
              <w:jc w:val="left"/>
            </w:pPr>
            <w:r>
              <w:rPr>
                <w:rFonts w:hint="eastAsia"/>
              </w:rPr>
              <w:t xml:space="preserve">第</w:t>
            </w:r>
            <w:r>
              <w:t xml:space="preserve"> 180 </w:t>
            </w:r>
            <w:r>
              <w:rPr>
                <w:rFonts w:hint="eastAsia"/>
              </w:rPr>
              <w:t xml:space="preserve">天</w:t>
            </w:r>
            <w:r>
              <w:t xml:space="preserve"> P05–P95 </w:t>
            </w:r>
            <w:r>
              <w:rPr>
                <w:rFonts w:hint="eastAsia"/>
              </w:rPr>
              <w:t xml:space="preserve">为</w:t>
            </w:r>
            <w:r>
              <w:t xml:space="preserve"> 89.58–106.44 </w:t>
            </w:r>
            <w:r>
              <w:rPr>
                <w:rFonts w:hint="eastAsia"/>
              </w:rPr>
              <w:t xml:space="preserve">美元/桶，突破</w:t>
            </w:r>
            <w:r>
              <w:t xml:space="preserve"> 120 </w:t>
            </w:r>
            <w:r>
              <w:rPr>
                <w:rFonts w:hint="eastAsia"/>
              </w:rPr>
              <w:t xml:space="preserve">概率约</w:t>
            </w:r>
            <w:r>
              <w:t xml:space="preserve"> 16.3%</w:t>
            </w:r>
          </w:p>
        </w:tc>
        <w:tc>
          <w:tcPr/>
          <w:p>
            <w:pPr>
              <w:pStyle w:val="Compact"/>
              <w:jc w:val="left"/>
            </w:pPr>
            <w:r>
              <w:rPr>
                <w:rFonts w:hint="eastAsia"/>
              </w:rPr>
              <w:t xml:space="preserve">长期结论应读作条件区间和尾部风险，而非精确日度预测</w:t>
            </w:r>
          </w:p>
        </w:tc>
      </w:tr>
      <w:tr>
        <w:tc>
          <w:tcPr/>
          <w:p>
            <w:pPr>
              <w:pStyle w:val="Compact"/>
              <w:jc w:val="left"/>
            </w:pPr>
            <w:r>
              <w:rPr>
                <w:rFonts w:hint="eastAsia"/>
              </w:rPr>
              <w:t xml:space="preserve">长期制度风险边界</w:t>
            </w:r>
          </w:p>
        </w:tc>
        <w:tc>
          <w:tcPr/>
          <w:p>
            <w:pPr>
              <w:pStyle w:val="Compact"/>
              <w:jc w:val="left"/>
            </w:pPr>
            <w:r>
              <w:rPr>
                <w:rFonts w:hint="eastAsia"/>
              </w:rPr>
              <w:t xml:space="preserve">将不确定性溢价减半或随时间强制衰减</w:t>
            </w:r>
          </w:p>
        </w:tc>
        <w:tc>
          <w:tcPr/>
          <w:p>
            <w:pPr>
              <w:pStyle w:val="Compact"/>
              <w:jc w:val="left"/>
            </w:pPr>
            <w:r>
              <w:rPr>
                <w:rFonts w:hint="eastAsia"/>
              </w:rPr>
              <w:t xml:space="preserve">中性第</w:t>
            </w:r>
            <w:r>
              <w:t xml:space="preserve"> 180 </w:t>
            </w:r>
            <w:r>
              <w:rPr>
                <w:rFonts w:hint="eastAsia"/>
              </w:rPr>
              <w:t xml:space="preserve">天降至</w:t>
            </w:r>
            <w:r>
              <w:t xml:space="preserve"> 89.15 </w:t>
            </w:r>
            <w:r>
              <w:rPr>
                <w:rFonts w:hint="eastAsia"/>
              </w:rPr>
              <w:t xml:space="preserve">或</w:t>
            </w:r>
            <w:r>
              <w:t xml:space="preserve"> 87.82 </w:t>
            </w:r>
            <w:r>
              <w:rPr>
                <w:rFonts w:hint="eastAsia"/>
              </w:rPr>
              <w:t xml:space="preserve">美元/桶，悲观仍保留</w:t>
            </w:r>
            <w:r>
              <w:t xml:space="preserve"> 99.80–101.27 </w:t>
            </w:r>
            <w:r>
              <w:rPr>
                <w:rFonts w:hint="eastAsia"/>
              </w:rPr>
              <w:t xml:space="preserve">美元/桶压力</w:t>
            </w:r>
          </w:p>
        </w:tc>
        <w:tc>
          <w:tcPr/>
          <w:p>
            <w:pPr>
              <w:pStyle w:val="Compact"/>
              <w:jc w:val="left"/>
            </w:pPr>
            <w:r>
              <w:rPr>
                <w:rFonts w:hint="eastAsia"/>
              </w:rPr>
              <w:t xml:space="preserve">制度风险影响长期平衡点，但悲观尾部仍来自多因素组合</w:t>
            </w:r>
          </w:p>
        </w:tc>
      </w:tr>
    </w:tbl>
    <w:bookmarkEnd w:id="111"/>
    <w:bookmarkEnd w:id="112"/>
    <w:bookmarkEnd w:id="113"/>
    <w:bookmarkEnd w:id="114"/>
    <w:bookmarkStart w:id="137" w:name="中长期油价调节模型60180-天"/>
    <w:p>
      <w:pPr>
        <w:pStyle w:val="Heading1"/>
      </w:pPr>
      <w:r>
        <w:rPr>
          <w:rFonts w:hint="eastAsia"/>
        </w:rPr>
        <w:t xml:space="preserve">中长期油价调节模型（60–180</w:t>
      </w:r>
      <w:r>
        <w:t xml:space="preserve"> </w:t>
      </w:r>
      <w:r>
        <w:rPr>
          <w:rFonts w:hint="eastAsia"/>
        </w:rPr>
        <w:t xml:space="preserve">天）</w:t>
      </w:r>
    </w:p>
    <w:bookmarkStart w:id="115" w:name="情景设定"/>
    <w:p>
      <w:pPr>
        <w:pStyle w:val="Heading2"/>
      </w:pPr>
      <w:r>
        <w:rPr>
          <w:rFonts w:hint="eastAsia"/>
        </w:rPr>
        <w:t xml:space="preserve">情景设定</w:t>
      </w:r>
    </w:p>
    <w:p>
      <w:pPr>
        <w:pStyle w:val="FirstParagraph"/>
      </w:pPr>
      <w:r>
        <w:rPr>
          <w:rFonts w:hint="eastAsia"/>
        </w:rPr>
        <w:t xml:space="preserve">中长期油价调节模型对应赛题任务</w:t>
      </w:r>
      <w:r>
        <w:t xml:space="preserve"> </w:t>
      </w:r>
      <w:r>
        <w:rPr>
          <w:rFonts w:hint="eastAsia"/>
        </w:rPr>
        <w:t xml:space="preserve">2。本文在短期冲击模型的综合最优参数基础上构建乐观、中性和悲观三种情景。赛题附件只提供到</w:t>
      </w:r>
      <w:r>
        <w:t xml:space="preserve"> 2026 </w:t>
      </w:r>
      <w:r>
        <w:rPr>
          <w:rFonts w:hint="eastAsia"/>
        </w:rPr>
        <w:t xml:space="preserve">年</w:t>
      </w:r>
      <w:r>
        <w:t xml:space="preserve"> 5 </w:t>
      </w:r>
      <w:r>
        <w:rPr>
          <w:rFonts w:hint="eastAsia"/>
        </w:rPr>
        <w:t xml:space="preserve">月初的真实价格，60–180</w:t>
      </w:r>
      <w:r>
        <w:t xml:space="preserve"> </w:t>
      </w:r>
      <w:r>
        <w:rPr>
          <w:rFonts w:hint="eastAsia"/>
        </w:rPr>
        <w:t xml:space="preserve">天区间没有可用于事后对照的真实观测值。因此本文采用</w:t>
      </w:r>
      <w:r>
        <w:rPr>
          <w:rFonts w:hint="eastAsia"/>
        </w:rPr>
        <w:t xml:space="preserve">“情景预测”</w:t>
      </w:r>
      <w:r>
        <w:rPr>
          <w:rFonts w:hint="eastAsia"/>
        </w:rPr>
        <w:t xml:space="preserve">和</w:t>
      </w:r>
      <w:r>
        <w:rPr>
          <w:rFonts w:hint="eastAsia"/>
        </w:rPr>
        <w:t xml:space="preserve">“平衡点分析”</w:t>
      </w:r>
      <w:r>
        <w:rPr>
          <w:rFonts w:hint="eastAsia"/>
        </w:rPr>
        <w:t xml:space="preserve">的表述：三情景曲线表示条件中心路径，可信度由机制一致性、官方外生数据校验、敏感性分析、蒙特卡洛概率区间和状态转移扰动共同评价。</w:t>
      </w:r>
    </w:p>
    <w:p>
      <w:pPr>
        <w:pStyle w:val="BodyText"/>
      </w:pPr>
      <w:r>
        <w:rPr>
          <w:rFonts w:hint="eastAsia"/>
        </w:rPr>
        <w:t xml:space="preserve">短期冲击模型和中长期油价调节模型并非两套互不相干的模型。短期部分使用同一套物理缺口和市场价格形成递推式，回答封锁初期价格平台如何形成；中长期部分仍以该递推机制为中心，只是把未来不可观测的政策协调、绕道恢复、供给响应和二次升级风险从固定参数扩展为情景变量和状态变量。换言之，随着外推期限由</w:t>
      </w:r>
      <w:r>
        <w:t xml:space="preserve"> 0–60 </w:t>
      </w:r>
      <w:r>
        <w:rPr>
          <w:rFonts w:hint="eastAsia"/>
        </w:rPr>
        <w:t xml:space="preserve">天延长到</w:t>
      </w:r>
      <w:r>
        <w:t xml:space="preserve"> 60–180 </w:t>
      </w:r>
      <w:r>
        <w:rPr>
          <w:rFonts w:hint="eastAsia"/>
        </w:rPr>
        <w:t xml:space="preserve">天，不确定性的主要来源从</w:t>
      </w:r>
      <w:r>
        <w:rPr>
          <w:rFonts w:hint="eastAsia"/>
        </w:rPr>
        <w:t xml:space="preserve">“参数校准误差”</w:t>
      </w:r>
      <w:r>
        <w:rPr>
          <w:rFonts w:hint="eastAsia"/>
        </w:rPr>
        <w:t xml:space="preserve">逐步转向</w:t>
      </w:r>
      <w:r>
        <w:rPr>
          <w:rFonts w:hint="eastAsia"/>
        </w:rPr>
        <w:t xml:space="preserve">“事件状态不确定性”</w:t>
      </w:r>
      <w:r>
        <w:rPr>
          <w:rFonts w:hint="eastAsia"/>
        </w:rPr>
        <w:t xml:space="preserve">，因此需要用蒙特卡洛情景树和状态转移扰动描述条件区间。</w:t>
      </w:r>
    </w:p>
    <w:p>
      <w:pPr>
        <w:pStyle w:val="BodyText"/>
      </w:pPr>
      <w:r>
        <w:rPr>
          <w:rFonts w:hint="eastAsia"/>
        </w:rPr>
        <w:t xml:space="preserve">中长期油价调节模型从短期冲击模型延伸而来，但在四个方面做了时间尺度调整：</w:t>
      </w:r>
    </w:p>
    <w:p>
      <w:pPr>
        <w:numPr>
          <w:ilvl w:val="0"/>
          <w:numId w:val="1005"/>
        </w:numPr>
      </w:pPr>
      <w:r>
        <w:rPr>
          <w:rFonts w:hint="eastAsia"/>
        </w:rPr>
        <w:t xml:space="preserve">供应侧：保持封锁造成的基础缺口，同时允许非海湾产油国和</w:t>
      </w:r>
      <w:r>
        <w:t xml:space="preserve"> OPEC </w:t>
      </w:r>
      <w:r>
        <w:rPr>
          <w:rFonts w:hint="eastAsia"/>
        </w:rPr>
        <w:t xml:space="preserve">剩余产能缓慢响应。</w:t>
      </w:r>
    </w:p>
    <w:p>
      <w:pPr>
        <w:numPr>
          <w:ilvl w:val="0"/>
          <w:numId w:val="1005"/>
        </w:numPr>
      </w:pPr>
      <w:r>
        <w:rPr>
          <w:rFonts w:hint="eastAsia"/>
        </w:rPr>
        <w:t xml:space="preserve">缓冲侧：SPR、商业库存和绕道运输继续发挥作用，但其边际能力随时间下降或受运输瓶颈约束。</w:t>
      </w:r>
    </w:p>
    <w:p>
      <w:pPr>
        <w:numPr>
          <w:ilvl w:val="0"/>
          <w:numId w:val="1005"/>
        </w:numPr>
      </w:pPr>
      <w:r>
        <w:rPr>
          <w:rFonts w:hint="eastAsia"/>
        </w:rPr>
        <w:t xml:space="preserve">需求侧：长期需求价格弹性高于短期弹性，反映高油价持续后消费、生产和替代能源调整更充分。</w:t>
      </w:r>
    </w:p>
    <w:p>
      <w:pPr>
        <w:numPr>
          <w:ilvl w:val="0"/>
          <w:numId w:val="1005"/>
        </w:numPr>
      </w:pPr>
      <w:r>
        <w:rPr>
          <w:rFonts w:hint="eastAsia"/>
        </w:rPr>
        <w:t xml:space="preserve">风险侧：恐慌溢价逐步衰减，不确定性溢价拆分为前期冲击不确定性和持续封锁制度风险，使长期价格由物理恢复与制度风险共同决定。</w:t>
      </w:r>
    </w:p>
    <w:p>
      <w:pPr>
        <w:pStyle w:val="FirstParagraph"/>
      </w:pPr>
      <w:r>
        <w:rPr>
          <w:rFonts w:hint="eastAsia"/>
        </w:rPr>
        <w:t xml:space="preserve">为避免短期弹性与长期弹性之间出现突变，本文采用平滑过渡函数刻画需求调整过程。设题面短期弹性为</w:t>
      </w:r>
      <w:r>
        <w:t xml:space="preserve"> </w:t>
      </w:r>
      <m:oMath>
        <m:sSub>
          <m:e>
            <m:r>
              <m:t>ε</m:t>
            </m:r>
          </m:e>
          <m:sub>
            <m:r>
              <m:t>s</m:t>
            </m:r>
          </m:sub>
        </m:sSub>
        <m:r>
          <m:rPr>
            <m:sty m:val="p"/>
          </m:rPr>
          <m:t>=</m:t>
        </m:r>
        <m:r>
          <m:rPr>
            <m:sty m:val="p"/>
          </m:rPr>
          <m:t>−</m:t>
        </m:r>
        <m:r>
          <m:t>0.05</m:t>
        </m:r>
      </m:oMath>
      <w:r>
        <w:rPr>
          <w:rFonts w:hint="eastAsia"/>
        </w:rPr>
        <w:t xml:space="preserve">，长期情景目标弹性为</w:t>
      </w:r>
      <w:r>
        <w:t xml:space="preserve"> </w:t>
      </w:r>
      <m:oMath>
        <m:sSub>
          <m:e>
            <m:r>
              <m:t>ε</m:t>
            </m:r>
          </m:e>
          <m:sub>
            <m:r>
              <m:rPr>
                <m:sty m:val="p"/>
              </m:rPr>
              <m:t>∞</m:t>
            </m:r>
          </m:sub>
        </m:sSub>
      </m:oMath>
      <w:r>
        <w:rPr>
          <w:rFonts w:hint="eastAsia"/>
        </w:rPr>
        <w:t xml:space="preserve">，冲击后的第</w:t>
      </w:r>
      <w:r>
        <w:t xml:space="preserve"> </w:t>
      </w:r>
      <m:oMath>
        <m:sSub>
          <m:e>
            <m:r>
              <m:t>t</m:t>
            </m:r>
          </m:e>
          <m:sub>
            <m:r>
              <m:t>s</m:t>
            </m:r>
          </m:sub>
        </m:sSub>
        <m:r>
          <m:rPr>
            <m:sty m:val="p"/>
          </m:rPr>
          <m:t>=</m:t>
        </m:r>
        <m:r>
          <m:t>60</m:t>
        </m:r>
      </m:oMath>
      <w:r>
        <w:t xml:space="preserve"> </w:t>
      </w:r>
      <w:r>
        <w:rPr>
          <w:rFonts w:hint="eastAsia"/>
        </w:rPr>
        <w:t xml:space="preserve">天作为长期外推起点，则</w:t>
      </w:r>
    </w:p>
    <w:p>
      <w:pPr>
        <w:pStyle w:val="BodyText"/>
      </w:pPr>
      <m:oMathPara>
        <m:oMathParaPr>
          <m:jc m:val="center"/>
        </m:oMathParaPr>
        <m:oMath>
          <m:sSub>
            <m:e>
              <m:r>
                <m:t>ε</m:t>
              </m:r>
            </m:e>
            <m:sub>
              <m:r>
                <m:t>t</m:t>
              </m:r>
            </m:sub>
          </m:sSub>
          <m:r>
            <m:rPr>
              <m:sty m:val="p"/>
            </m:rPr>
            <m:t>=</m:t>
          </m:r>
          <m:sSub>
            <m:e>
              <m:r>
                <m:t>ε</m:t>
              </m:r>
            </m:e>
            <m:sub>
              <m:r>
                <m:t>s</m:t>
              </m:r>
            </m:sub>
          </m:sSub>
          <m:r>
            <m:rPr>
              <m:sty m:val="p"/>
            </m:rPr>
            <m:t>+</m:t>
          </m:r>
          <m:d>
            <m:dPr>
              <m:begChr m:val="("/>
              <m:sepChr m:val=""/>
              <m:endChr m:val=")"/>
              <m:grow/>
            </m:dPr>
            <m:e>
              <m:sSub>
                <m:e>
                  <m:r>
                    <m:t>ε</m:t>
                  </m:r>
                </m:e>
                <m:sub>
                  <m:r>
                    <m:rPr>
                      <m:sty m:val="p"/>
                    </m:rPr>
                    <m:t>∞</m:t>
                  </m:r>
                </m:sub>
              </m:sSub>
              <m:r>
                <m:rPr>
                  <m:sty m:val="p"/>
                </m:rPr>
                <m:t>−</m:t>
              </m:r>
              <m:sSub>
                <m:e>
                  <m:r>
                    <m:t>ε</m:t>
                  </m:r>
                </m:e>
                <m:sub>
                  <m:r>
                    <m:t>s</m:t>
                  </m:r>
                </m:sub>
              </m:sSub>
            </m:e>
          </m:d>
          <m:d>
            <m:dPr>
              <m:begChr m:val="["/>
              <m:sepChr m:val=""/>
              <m:endChr m:val="]"/>
              <m:grow/>
            </m:dPr>
            <m:e>
              <m:r>
                <m:t>1</m:t>
              </m:r>
              <m:r>
                <m:rPr>
                  <m:sty m:val="p"/>
                </m:rPr>
                <m:t>−</m:t>
              </m:r>
              <m:r>
                <m:rPr>
                  <m:sty m:val="p"/>
                </m:rPr>
                <m:t>exp</m:t>
              </m:r>
              <m:d>
                <m:dPr>
                  <m:begChr m:val="("/>
                  <m:sepChr m:val=""/>
                  <m:endChr m:val=")"/>
                  <m:grow/>
                </m:dPr>
                <m:e>
                  <m:r>
                    <m:rPr>
                      <m:sty m:val="p"/>
                    </m:rPr>
                    <m:t>−</m:t>
                  </m:r>
                  <m:sSub>
                    <m:e>
                      <m:r>
                        <m:t>α</m:t>
                      </m:r>
                    </m:e>
                    <m:sub>
                      <m:r>
                        <m:t>ε</m:t>
                      </m:r>
                    </m:sub>
                  </m:sSub>
                  <m:r>
                    <m:rPr>
                      <m:sty m:val="p"/>
                    </m:rPr>
                    <m:t>max</m:t>
                  </m:r>
                  <m:r>
                    <m:rPr>
                      <m:sty m:val="p"/>
                    </m:rPr>
                    <m:t>(</m:t>
                  </m:r>
                  <m:r>
                    <m:t>t</m:t>
                  </m:r>
                  <m:r>
                    <m:rPr>
                      <m:sty m:val="p"/>
                    </m:rPr>
                    <m:t>−</m:t>
                  </m:r>
                  <m:sSub>
                    <m:e>
                      <m:r>
                        <m:t>t</m:t>
                      </m:r>
                    </m:e>
                    <m:sub>
                      <m:r>
                        <m:t>s</m:t>
                      </m:r>
                    </m:sub>
                  </m:sSub>
                  <m:r>
                    <m:rPr>
                      <m:sty m:val="p"/>
                    </m:rPr>
                    <m:t>,</m:t>
                  </m:r>
                  <m:r>
                    <m:t>0</m:t>
                  </m:r>
                  <m:r>
                    <m:rPr>
                      <m:sty m:val="p"/>
                    </m:rPr>
                    <m:t>)</m:t>
                  </m:r>
                </m:e>
              </m:d>
            </m:e>
          </m:d>
          <m:r>
            <m:rPr>
              <m:sty m:val="p"/>
            </m:rPr>
            <m:t>,</m:t>
          </m:r>
          <m:r>
            <m:t> </m:t>
          </m:r>
          <m:r>
            <m:t>t</m:t>
          </m:r>
          <m:r>
            <m:rPr>
              <m:sty m:val="p"/>
            </m:rPr>
            <m:t>≥</m:t>
          </m:r>
          <m:r>
            <m:t>0</m:t>
          </m:r>
          <m:r>
            <m:rPr>
              <m:sty m:val="p"/>
            </m:rPr>
            <m:t>.</m:t>
          </m:r>
        </m:oMath>
      </m:oMathPara>
    </w:p>
    <w:p>
      <w:pPr>
        <w:pStyle w:val="FirstParagraph"/>
      </w:pPr>
      <w:r>
        <w:rPr>
          <w:rFonts w:hint="eastAsia"/>
        </w:rPr>
        <w:t xml:space="preserve">其中</w:t>
      </w:r>
      <w:r>
        <w:t xml:space="preserve"> </w:t>
      </w:r>
      <m:oMath>
        <m:sSub>
          <m:e>
            <m:r>
              <m:t>α</m:t>
            </m:r>
          </m:e>
          <m:sub>
            <m:r>
              <m:t>ε</m:t>
            </m:r>
          </m:sub>
        </m:sSub>
      </m:oMath>
      <w:r>
        <w:t xml:space="preserve"> </w:t>
      </w:r>
      <w:r>
        <w:rPr>
          <w:rFonts w:hint="eastAsia"/>
        </w:rPr>
        <w:t xml:space="preserve">为需求调整速度。该式表示：封锁初期消费与生产难以及时替代，弹性接近题面低弹性；高油价持续后，炼厂采购、交通消费、工业用能和替代运输逐渐调整，弹性绝对值向长期情景值平滑靠近。因此，表中长期弹性不是在第</w:t>
      </w:r>
      <w:r>
        <w:t xml:space="preserve"> 60 </w:t>
      </w:r>
      <w:r>
        <w:rPr>
          <w:rFonts w:hint="eastAsia"/>
        </w:rPr>
        <w:t xml:space="preserve">天突然替换短期弹性，而是作为</w:t>
      </w:r>
      <w:r>
        <w:t xml:space="preserve"> </w:t>
      </w:r>
      <m:oMath>
        <m:sSub>
          <m:e>
            <m:r>
              <m:t>ε</m:t>
            </m:r>
          </m:e>
          <m:sub>
            <m:r>
              <m:t>t</m:t>
            </m:r>
          </m:sub>
        </m:sSub>
      </m:oMath>
      <w:r>
        <w:t xml:space="preserve"> </w:t>
      </w:r>
      <w:r>
        <w:rPr>
          <w:rFonts w:hint="eastAsia"/>
        </w:rPr>
        <w:t xml:space="preserve">的渐近目标进入递推。</w:t>
      </w:r>
    </w:p>
    <w:p>
      <w:pPr>
        <w:pStyle w:val="BodyText"/>
      </w:pPr>
      <w:r>
        <w:rPr>
          <w:rFonts w:hint="eastAsia"/>
        </w:rPr>
        <w:t xml:space="preserve">记中长期外推期第</w:t>
      </w:r>
      <w:r>
        <w:t xml:space="preserve"> </w:t>
      </w:r>
      <m:oMath>
        <m:r>
          <m:t>t</m:t>
        </m:r>
      </m:oMath>
      <w:r>
        <w:t xml:space="preserve"> </w:t>
      </w:r>
      <w:r>
        <w:rPr>
          <w:rFonts w:hint="eastAsia"/>
        </w:rPr>
        <w:t xml:space="preserve">日有效供应为</w:t>
      </w:r>
      <w:r>
        <w:t xml:space="preserve"> </w:t>
      </w:r>
      <m:oMath>
        <m:sSubSup>
          <m:e>
            <m:r>
              <m:t>S</m:t>
            </m:r>
          </m:e>
          <m:sub>
            <m:r>
              <m:t>t</m:t>
            </m:r>
          </m:sub>
          <m:sup>
            <m:r>
              <m:rPr>
                <m:sty m:val="p"/>
              </m:rPr>
              <m:t>(</m:t>
            </m:r>
            <m:r>
              <m:t>L</m:t>
            </m:r>
            <m:r>
              <m:rPr>
                <m:sty m:val="p"/>
              </m:rPr>
              <m:t>)</m:t>
            </m:r>
          </m:sup>
        </m:sSubSup>
      </m:oMath>
      <w:r>
        <w:rPr>
          <w:rFonts w:hint="eastAsia"/>
        </w:rPr>
        <w:t xml:space="preserve">，有效需求为</w:t>
      </w:r>
      <w:r>
        <w:t xml:space="preserve"> </w:t>
      </w:r>
      <m:oMath>
        <m:sSubSup>
          <m:e>
            <m:r>
              <m:t>D</m:t>
            </m:r>
          </m:e>
          <m:sub>
            <m:r>
              <m:t>t</m:t>
            </m:r>
          </m:sub>
          <m:sup>
            <m:r>
              <m:rPr>
                <m:sty m:val="p"/>
              </m:rPr>
              <m:t>(</m:t>
            </m:r>
            <m:r>
              <m:t>L</m:t>
            </m:r>
            <m:r>
              <m:rPr>
                <m:sty m:val="p"/>
              </m:rPr>
              <m:t>)</m:t>
            </m:r>
          </m:sup>
        </m:sSubSup>
      </m:oMath>
      <w:r>
        <w:rPr>
          <w:rFonts w:hint="eastAsia"/>
        </w:rPr>
        <w:t xml:space="preserve">。在短期冲击模型的基础上，中长期供需缺口可写为</w:t>
      </w:r>
    </w:p>
    <w:p>
      <w:pPr>
        <w:pStyle w:val="BodyText"/>
      </w:pPr>
      <m:oMathPara>
        <m:oMathParaPr>
          <m:jc m:val="center"/>
        </m:oMathParaPr>
        <m:oMath>
          <m:sSubSup>
            <m:e>
              <m:r>
                <m:t>G</m:t>
              </m:r>
            </m:e>
            <m:sub>
              <m:r>
                <m:t>t</m:t>
              </m:r>
            </m:sub>
            <m:sup>
              <m:r>
                <m:rPr>
                  <m:sty m:val="p"/>
                </m:rPr>
                <m:t>(</m:t>
              </m:r>
              <m:r>
                <m:t>L</m:t>
              </m:r>
              <m:r>
                <m:rPr>
                  <m:sty m:val="p"/>
                </m:rPr>
                <m:t>)</m:t>
              </m:r>
            </m:sup>
          </m:sSubSup>
          <m:r>
            <m:rPr>
              <m:sty m:val="p"/>
            </m:rPr>
            <m:t>=</m:t>
          </m:r>
          <m:sSubSup>
            <m:e>
              <m:r>
                <m:t>D</m:t>
              </m:r>
            </m:e>
            <m:sub>
              <m:r>
                <m:t>t</m:t>
              </m:r>
            </m:sub>
            <m:sup>
              <m:r>
                <m:rPr>
                  <m:sty m:val="p"/>
                </m:rPr>
                <m:t>(</m:t>
              </m:r>
              <m:r>
                <m:t>L</m:t>
              </m:r>
              <m:r>
                <m:rPr>
                  <m:sty m:val="p"/>
                </m:rPr>
                <m:t>)</m:t>
              </m:r>
            </m:sup>
          </m:sSubSup>
          <m:r>
            <m:rPr>
              <m:sty m:val="p"/>
            </m:rPr>
            <m:t>−</m:t>
          </m:r>
          <m:d>
            <m:dPr>
              <m:begChr m:val="["/>
              <m:sepChr m:val=""/>
              <m:endChr m:val="]"/>
              <m:grow/>
            </m:dPr>
            <m:e>
              <m:sSub>
                <m:e>
                  <m:r>
                    <m:t>S</m:t>
                  </m:r>
                </m:e>
                <m:sub>
                  <m:r>
                    <m:t>0</m:t>
                  </m:r>
                </m:sub>
              </m:sSub>
              <m:r>
                <m:rPr>
                  <m:sty m:val="p"/>
                </m:rPr>
                <m:t>−</m:t>
              </m:r>
              <m:r>
                <m:t>I</m:t>
              </m:r>
              <m:r>
                <m:rPr>
                  <m:sty m:val="p"/>
                </m:rPr>
                <m:t>+</m:t>
              </m:r>
              <m:sSub>
                <m:e>
                  <m:r>
                    <m:t>R</m:t>
                  </m:r>
                </m:e>
                <m:sub>
                  <m:r>
                    <m:t>t</m:t>
                  </m:r>
                </m:sub>
              </m:sSub>
              <m:r>
                <m:rPr>
                  <m:sty m:val="p"/>
                </m:rPr>
                <m:t>+</m:t>
              </m:r>
              <m:sSub>
                <m:e>
                  <m:r>
                    <m:t>Q</m:t>
                  </m:r>
                </m:e>
                <m:sub>
                  <m:r>
                    <m:t>t</m:t>
                  </m:r>
                </m:sub>
              </m:sSub>
              <m:r>
                <m:rPr>
                  <m:sty m:val="p"/>
                </m:rPr>
                <m:t>+</m:t>
              </m:r>
              <m:sSub>
                <m:e>
                  <m:r>
                    <m:t>B</m:t>
                  </m:r>
                </m:e>
                <m:sub>
                  <m:r>
                    <m:t>t</m:t>
                  </m:r>
                </m:sub>
              </m:sSub>
              <m:r>
                <m:rPr>
                  <m:sty m:val="p"/>
                </m:rPr>
                <m:t>+</m:t>
              </m:r>
              <m:sSub>
                <m:e>
                  <m:r>
                    <m:t>A</m:t>
                  </m:r>
                </m:e>
                <m:sub>
                  <m:r>
                    <m:t>t</m:t>
                  </m:r>
                </m:sub>
              </m:sSub>
            </m:e>
          </m:d>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为供应中断量，</w:t>
      </w:r>
      <m:oMath>
        <m:sSub>
          <m:e>
            <m:r>
              <m:t>R</m:t>
            </m:r>
          </m:e>
          <m:sub>
            <m:r>
              <m:t>t</m:t>
            </m:r>
          </m:sub>
        </m:sSub>
      </m:oMath>
      <w:r>
        <w:t xml:space="preserve"> </w:t>
      </w:r>
      <w:r>
        <w:rPr>
          <w:rFonts w:hint="eastAsia"/>
        </w:rPr>
        <w:t xml:space="preserve">为实际</w:t>
      </w:r>
      <w:r>
        <w:t xml:space="preserve"> SPR </w:t>
      </w:r>
      <w:r>
        <w:rPr>
          <w:rFonts w:hint="eastAsia"/>
        </w:rPr>
        <w:t xml:space="preserve">释放量，</w:t>
      </w:r>
      <m:oMath>
        <m:sSub>
          <m:e>
            <m:r>
              <m:t>Q</m:t>
            </m:r>
          </m:e>
          <m:sub>
            <m:r>
              <m:t>t</m:t>
            </m:r>
          </m:sub>
        </m:sSub>
      </m:oMath>
      <w:r>
        <w:t xml:space="preserve"> </w:t>
      </w:r>
      <w:r>
        <w:rPr>
          <w:rFonts w:hint="eastAsia"/>
        </w:rPr>
        <w:t xml:space="preserve">为绕道运输恢复量，</w:t>
      </w:r>
      <m:oMath>
        <m:sSub>
          <m:e>
            <m:r>
              <m:t>B</m:t>
            </m:r>
          </m:e>
          <m:sub>
            <m:r>
              <m:t>t</m:t>
            </m:r>
          </m:sub>
        </m:sSub>
      </m:oMath>
      <w:r>
        <w:t xml:space="preserve"> </w:t>
      </w:r>
      <w:r>
        <w:rPr>
          <w:rFonts w:hint="eastAsia"/>
        </w:rPr>
        <w:t xml:space="preserve">为商业库存缓冲量，</w:t>
      </w:r>
      <m:oMath>
        <m:sSub>
          <m:e>
            <m:r>
              <m:t>A</m:t>
            </m:r>
          </m:e>
          <m:sub>
            <m:r>
              <m:t>t</m:t>
            </m:r>
          </m:sub>
        </m:sSub>
      </m:oMath>
      <w:r>
        <w:t xml:space="preserve"> </w:t>
      </w:r>
      <w:r>
        <w:rPr>
          <w:rFonts w:hint="eastAsia"/>
        </w:rPr>
        <w:t xml:space="preserve">为其他产油国增产或替代供应增量。考虑到现实中的政策反馈机制，本文设置</w:t>
      </w:r>
      <w:r>
        <w:t xml:space="preserve"> SPR </w:t>
      </w:r>
      <w:r>
        <w:rPr>
          <w:rFonts w:hint="eastAsia"/>
        </w:rPr>
        <w:t xml:space="preserve">的实际释放量为缺口与价格压力的自适应函数：</w:t>
      </w:r>
    </w:p>
    <w:p>
      <w:pPr>
        <w:pStyle w:val="BodyText"/>
      </w:pPr>
      <m:oMathPara>
        <m:oMathParaPr>
          <m:jc m:val="center"/>
        </m:oMathParaPr>
        <m:oMath>
          <m:sSub>
            <m:e>
              <m:r>
                <m:t>R</m:t>
              </m:r>
            </m:e>
            <m:sub>
              <m:r>
                <m:t>t</m:t>
              </m:r>
            </m:sub>
          </m:sSub>
          <m:r>
            <m:rPr>
              <m:sty m:val="p"/>
            </m:rPr>
            <m:t>=</m:t>
          </m:r>
          <m:r>
            <m:rPr>
              <m:sty m:val="p"/>
            </m:rPr>
            <m:t>min</m:t>
          </m:r>
          <m:d>
            <m:dPr>
              <m:begChr m:val="{"/>
              <m:sepChr m:val=""/>
              <m:endChr m:val="}"/>
              <m:grow/>
            </m:dPr>
            <m:e>
              <m:sSub>
                <m:e>
                  <m:acc>
                    <m:accPr>
                      <m:chr m:val="‾"/>
                    </m:accPr>
                    <m:e>
                      <m:r>
                        <m:t>R</m:t>
                      </m:r>
                    </m:e>
                  </m:acc>
                </m:e>
                <m:sub>
                  <m:r>
                    <m:t>t</m:t>
                  </m:r>
                </m:sub>
              </m:sSub>
              <m:r>
                <m:rPr>
                  <m:sty m:val="p"/>
                </m:rPr>
                <m:t>,</m:t>
              </m:r>
              <m:r>
                <m:t> </m:t>
              </m:r>
              <m:r>
                <m:rPr>
                  <m:sty m:val="p"/>
                </m:rPr>
                <m:t>max</m:t>
              </m:r>
              <m:d>
                <m:dPr>
                  <m:begChr m:val="("/>
                  <m:sepChr m:val=""/>
                  <m:endChr m:val=")"/>
                  <m:grow/>
                </m:dPr>
                <m:e>
                  <m:sSub>
                    <m:e>
                      <m:r>
                        <m:t>G</m:t>
                      </m:r>
                    </m:e>
                    <m:sub>
                      <m:r>
                        <m:t>t</m:t>
                      </m:r>
                      <m:r>
                        <m:rPr>
                          <m:sty m:val="p"/>
                        </m:rPr>
                        <m:t>,</m:t>
                      </m:r>
                      <m:r>
                        <m:rPr>
                          <m:sty m:val="p"/>
                        </m:rPr>
                        <m:t>p</m:t>
                      </m:r>
                      <m:r>
                        <m:rPr>
                          <m:sty m:val="p"/>
                        </m:rPr>
                        <m:t>r</m:t>
                      </m:r>
                      <m:r>
                        <m:rPr>
                          <m:sty m:val="p"/>
                        </m:rPr>
                        <m:t>e</m:t>
                      </m:r>
                    </m:sub>
                  </m:sSub>
                  <m:r>
                    <m:rPr>
                      <m:sty m:val="p"/>
                    </m:rPr>
                    <m:t>+</m:t>
                  </m:r>
                  <m:r>
                    <m:t>ρ</m:t>
                  </m:r>
                  <m:sSub>
                    <m:e>
                      <m:r>
                        <m:t>D</m:t>
                      </m:r>
                    </m:e>
                    <m:sub>
                      <m:r>
                        <m:t>0</m:t>
                      </m:r>
                    </m:sub>
                  </m:sSub>
                  <m:r>
                    <m:rPr>
                      <m:sty m:val="p"/>
                    </m:rPr>
                    <m:t>,</m:t>
                  </m:r>
                  <m:r>
                    <m:t> </m:t>
                  </m:r>
                  <m:sSub>
                    <m:e>
                      <m:acc>
                        <m:accPr>
                          <m:chr m:val="‾"/>
                        </m:accPr>
                        <m:e>
                          <m:r>
                            <m:t>R</m:t>
                          </m:r>
                        </m:e>
                      </m:acc>
                    </m:e>
                    <m:sub>
                      <m:r>
                        <m:t>t</m:t>
                      </m:r>
                    </m:sub>
                  </m:sSub>
                  <m:sSub>
                    <m:e>
                      <m:r>
                        <m:t>λ</m:t>
                      </m:r>
                    </m:e>
                    <m:sub>
                      <m:r>
                        <m:t>t</m:t>
                      </m:r>
                    </m:sub>
                  </m:sSub>
                  <m:sSub>
                    <m:e>
                      <m:r>
                        <m:t>τ</m:t>
                      </m:r>
                    </m:e>
                    <m:sub>
                      <m:r>
                        <m:t>t</m:t>
                      </m:r>
                    </m:sub>
                  </m:sSub>
                </m:e>
              </m:d>
            </m:e>
          </m:d>
          <m:r>
            <m:rPr>
              <m:sty m:val="p"/>
            </m:rPr>
            <m:t>,</m:t>
          </m:r>
        </m:oMath>
      </m:oMathPara>
    </w:p>
    <w:p>
      <w:pPr>
        <w:pStyle w:val="FirstParagraph"/>
      </w:pPr>
      <w:r>
        <w:rPr>
          <w:rFonts w:hint="eastAsia"/>
        </w:rPr>
        <w:t xml:space="preserve">其中</w:t>
      </w:r>
      <w:r>
        <w:t xml:space="preserve"> </w:t>
      </w:r>
      <m:oMath>
        <m:sSub>
          <m:e>
            <m:acc>
              <m:accPr>
                <m:chr m:val="‾"/>
              </m:accPr>
              <m:e>
                <m:r>
                  <m:t>R</m:t>
                </m:r>
              </m:e>
            </m:acc>
          </m:e>
          <m:sub>
            <m:r>
              <m:t>t</m:t>
            </m:r>
          </m:sub>
        </m:sSub>
      </m:oMath>
      <w:r>
        <w:t xml:space="preserve"> </w:t>
      </w:r>
      <w:r>
        <w:rPr>
          <w:rFonts w:hint="eastAsia"/>
        </w:rPr>
        <w:t xml:space="preserve">为计划释放能力，</w:t>
      </w:r>
      <m:oMath>
        <m:sSub>
          <m:e>
            <m:r>
              <m:t>G</m:t>
            </m:r>
          </m:e>
          <m:sub>
            <m:r>
              <m:t>t</m:t>
            </m:r>
            <m:r>
              <m:rPr>
                <m:sty m:val="p"/>
              </m:rPr>
              <m:t>,</m:t>
            </m:r>
            <m:r>
              <m:rPr>
                <m:sty m:val="p"/>
              </m:rPr>
              <m:t>p</m:t>
            </m:r>
            <m:r>
              <m:rPr>
                <m:sty m:val="p"/>
              </m:rPr>
              <m:t>r</m:t>
            </m:r>
            <m:r>
              <m:rPr>
                <m:sty m:val="p"/>
              </m:rPr>
              <m:t>e</m:t>
            </m:r>
          </m:sub>
        </m:sSub>
      </m:oMath>
      <w:r>
        <w:t xml:space="preserve"> </w:t>
      </w:r>
      <w:r>
        <w:rPr>
          <w:rFonts w:hint="eastAsia"/>
        </w:rPr>
        <w:t xml:space="preserve">为不含</w:t>
      </w:r>
      <w:r>
        <w:t xml:space="preserve"> SPR </w:t>
      </w:r>
      <w:r>
        <w:rPr>
          <w:rFonts w:hint="eastAsia"/>
        </w:rPr>
        <w:t xml:space="preserve">时的预释放缺口，</w:t>
      </w:r>
      <m:oMath>
        <m:r>
          <m:t>ρ</m:t>
        </m:r>
        <m:sSub>
          <m:e>
            <m:r>
              <m:t>D</m:t>
            </m:r>
          </m:e>
          <m:sub>
            <m:r>
              <m:t>0</m:t>
            </m:r>
          </m:sub>
        </m:sSub>
      </m:oMath>
      <w:r>
        <w:t xml:space="preserve"> </w:t>
      </w:r>
      <w:r>
        <w:rPr>
          <w:rFonts w:hint="eastAsia"/>
        </w:rPr>
        <w:t xml:space="preserve">为安全余量，</w:t>
      </w:r>
      <m:oMath>
        <m:sSub>
          <m:e>
            <m:r>
              <m:t>λ</m:t>
            </m:r>
          </m:e>
          <m:sub>
            <m:r>
              <m:t>t</m:t>
            </m:r>
          </m:sub>
        </m:sSub>
      </m:oMath>
      <w:r>
        <w:t xml:space="preserve"> </w:t>
      </w:r>
      <w:r>
        <w:rPr>
          <w:rFonts w:hint="eastAsia"/>
        </w:rPr>
        <w:t xml:space="preserve">表示由物理缺口和价格压力共同决定的释放强度，</w:t>
      </w:r>
      <m:oMath>
        <m:sSub>
          <m:e>
            <m:r>
              <m:t>τ</m:t>
            </m:r>
          </m:e>
          <m:sub>
            <m:r>
              <m:t>t</m:t>
            </m:r>
          </m:sub>
        </m:sSub>
      </m:oMath>
      <w:r>
        <w:t xml:space="preserve"> </w:t>
      </w:r>
      <w:r>
        <w:rPr>
          <w:rFonts w:hint="eastAsia"/>
        </w:rPr>
        <w:t xml:space="preserve">为长期持续后的政策收缩系数。二者定义为</w:t>
      </w:r>
    </w:p>
    <w:p>
      <w:pPr>
        <w:pStyle w:val="BodyText"/>
      </w:pPr>
      <m:oMathPara>
        <m:oMathParaPr>
          <m:jc m:val="center"/>
        </m:oMathParaPr>
        <m:oMath>
          <m:sSub>
            <m:e>
              <m:r>
                <m:t>λ</m:t>
              </m:r>
            </m:e>
            <m:sub>
              <m:r>
                <m:t>t</m:t>
              </m:r>
            </m:sub>
          </m:sSub>
          <m:r>
            <m:rPr>
              <m:sty m:val="p"/>
            </m:rPr>
            <m:t>=</m:t>
          </m:r>
          <m:r>
            <m:rPr>
              <m:sty m:val="p"/>
            </m:rPr>
            <m:t>c</m:t>
          </m:r>
          <m:r>
            <m:rPr>
              <m:sty m:val="p"/>
            </m:rPr>
            <m:t>l</m:t>
          </m:r>
          <m:r>
            <m:rPr>
              <m:sty m:val="p"/>
            </m:rPr>
            <m:t>i</m:t>
          </m:r>
          <m:r>
            <m:rPr>
              <m:sty m:val="p"/>
            </m:rPr>
            <m:t>p</m:t>
          </m:r>
          <m:d>
            <m:dPr>
              <m:begChr m:val="["/>
              <m:sepChr m:val=""/>
              <m:endChr m:val="]"/>
              <m:grow/>
            </m:dPr>
            <m:e>
              <m:sSub>
                <m:e>
                  <m:r>
                    <m:t>λ</m:t>
                  </m:r>
                </m:e>
                <m:sub>
                  <m:r>
                    <m:t>0</m:t>
                  </m:r>
                </m:sub>
              </m:sSub>
              <m:r>
                <m:rPr>
                  <m:sty m:val="p"/>
                </m:rPr>
                <m:t>+</m:t>
              </m:r>
              <m:sSub>
                <m:e>
                  <m:r>
                    <m:t>λ</m:t>
                  </m:r>
                </m:e>
                <m:sub>
                  <m:r>
                    <m:t>G</m:t>
                  </m:r>
                </m:sub>
              </m:sSub>
              <m:f>
                <m:fPr>
                  <m:type m:val="bar"/>
                </m:fPr>
                <m:num>
                  <m:r>
                    <m:rPr>
                      <m:sty m:val="p"/>
                    </m:rPr>
                    <m:t>max</m:t>
                  </m:r>
                  <m:r>
                    <m:rPr>
                      <m:sty m:val="p"/>
                    </m:rPr>
                    <m:t>(</m:t>
                  </m:r>
                  <m:sSub>
                    <m:e>
                      <m:r>
                        <m:t>G</m:t>
                      </m:r>
                    </m:e>
                    <m:sub>
                      <m:r>
                        <m:t>t</m:t>
                      </m:r>
                      <m:r>
                        <m:rPr>
                          <m:sty m:val="p"/>
                        </m:rPr>
                        <m:t>,</m:t>
                      </m:r>
                      <m:r>
                        <m:rPr>
                          <m:sty m:val="p"/>
                        </m:rPr>
                        <m:t>p</m:t>
                      </m:r>
                      <m:r>
                        <m:rPr>
                          <m:sty m:val="p"/>
                        </m:rPr>
                        <m:t>r</m:t>
                      </m:r>
                      <m:r>
                        <m:rPr>
                          <m:sty m:val="p"/>
                        </m:rPr>
                        <m:t>e</m:t>
                      </m:r>
                    </m:sub>
                  </m:sSub>
                  <m:r>
                    <m:rPr>
                      <m:sty m:val="p"/>
                    </m:rPr>
                    <m:t>,</m:t>
                  </m:r>
                  <m:r>
                    <m:t>0</m:t>
                  </m:r>
                  <m:r>
                    <m:rPr>
                      <m:sty m:val="p"/>
                    </m:rPr>
                    <m:t>)</m:t>
                  </m:r>
                </m:num>
                <m:den>
                  <m:sSub>
                    <m:e>
                      <m:r>
                        <m:t>D</m:t>
                      </m:r>
                    </m:e>
                    <m:sub>
                      <m:r>
                        <m:t>0</m:t>
                      </m:r>
                    </m:sub>
                  </m:sSub>
                </m:den>
              </m:f>
              <m:r>
                <m:rPr>
                  <m:sty m:val="p"/>
                </m:rPr>
                <m:t>+</m:t>
              </m:r>
              <m:sSub>
                <m:e>
                  <m:r>
                    <m:t>λ</m:t>
                  </m:r>
                </m:e>
                <m:sub>
                  <m:r>
                    <m:t>P</m:t>
                  </m:r>
                </m:sub>
              </m:sSub>
              <m:r>
                <m:rPr>
                  <m:sty m:val="p"/>
                </m:rPr>
                <m:t>max</m:t>
              </m:r>
              <m:d>
                <m:dPr>
                  <m:begChr m:val="("/>
                  <m:sepChr m:val=""/>
                  <m:endChr m:val=")"/>
                  <m:grow/>
                </m:dPr>
                <m:e>
                  <m:f>
                    <m:fPr>
                      <m:type m:val="bar"/>
                    </m:fPr>
                    <m:num>
                      <m:sSub>
                        <m:e>
                          <m:acc>
                            <m:accPr>
                              <m:chr m:val="̂"/>
                            </m:accPr>
                            <m:e>
                              <m:r>
                                <m:t>P</m:t>
                              </m:r>
                            </m:e>
                          </m:acc>
                        </m:e>
                        <m:sub>
                          <m:r>
                            <m:t>t</m:t>
                          </m:r>
                        </m:sub>
                      </m:sSub>
                      <m:r>
                        <m:rPr>
                          <m:sty m:val="p"/>
                        </m:rPr>
                        <m:t>−</m:t>
                      </m:r>
                      <m:sSub>
                        <m:e>
                          <m:r>
                            <m:t>P</m:t>
                          </m:r>
                        </m:e>
                        <m:sub>
                          <m:r>
                            <m:t>0</m:t>
                          </m:r>
                        </m:sub>
                      </m:sSub>
                    </m:num>
                    <m:den>
                      <m:sSub>
                        <m:e>
                          <m:r>
                            <m:t>P</m:t>
                          </m:r>
                        </m:e>
                        <m:sub>
                          <m:r>
                            <m:t>0</m:t>
                          </m:r>
                        </m:sub>
                      </m:sSub>
                    </m:den>
                  </m:f>
                  <m:r>
                    <m:rPr>
                      <m:sty m:val="p"/>
                    </m:rPr>
                    <m:t>,</m:t>
                  </m:r>
                  <m:r>
                    <m:t>0</m:t>
                  </m:r>
                </m:e>
              </m:d>
              <m:r>
                <m:rPr>
                  <m:sty m:val="p"/>
                </m:rPr>
                <m:t>,</m:t>
              </m:r>
              <m:sSub>
                <m:e>
                  <m:r>
                    <m:t>λ</m:t>
                  </m:r>
                </m:e>
                <m:sub>
                  <m:r>
                    <m:rPr>
                      <m:sty m:val="p"/>
                    </m:rPr>
                    <m:t>min</m:t>
                  </m:r>
                </m:sub>
              </m:sSub>
              <m:r>
                <m:rPr>
                  <m:sty m:val="p"/>
                </m:rPr>
                <m:t>,</m:t>
              </m:r>
              <m:r>
                <m:t>1</m:t>
              </m:r>
            </m:e>
          </m:d>
          <m:r>
            <m:rPr>
              <m:sty m:val="p"/>
            </m:rPr>
            <m:t>,</m:t>
          </m:r>
        </m:oMath>
      </m:oMathPara>
    </w:p>
    <w:p>
      <w:pPr>
        <w:pStyle w:val="FirstParagraph"/>
      </w:pPr>
      <m:oMathPara>
        <m:oMathParaPr>
          <m:jc m:val="center"/>
        </m:oMathParaPr>
        <m:oMath>
          <m:sSub>
            <m:e>
              <m:r>
                <m:t>τ</m:t>
              </m:r>
            </m:e>
            <m:sub>
              <m:r>
                <m:t>t</m:t>
              </m:r>
            </m:sub>
          </m:sSub>
          <m:r>
            <m:rPr>
              <m:sty m:val="p"/>
            </m:rPr>
            <m:t>=</m:t>
          </m:r>
          <m:sSub>
            <m:e>
              <m:r>
                <m:t>τ</m:t>
              </m:r>
            </m:e>
            <m:sub>
              <m:r>
                <m:rPr>
                  <m:sty m:val="p"/>
                </m:rPr>
                <m:t>min</m:t>
              </m:r>
            </m:sub>
          </m:sSub>
          <m:r>
            <m:rPr>
              <m:sty m:val="p"/>
            </m:rPr>
            <m:t>+</m:t>
          </m:r>
          <m:f>
            <m:fPr>
              <m:type m:val="bar"/>
            </m:fPr>
            <m:num>
              <m:r>
                <m:t>1</m:t>
              </m:r>
              <m:r>
                <m:rPr>
                  <m:sty m:val="p"/>
                </m:rPr>
                <m:t>−</m:t>
              </m:r>
              <m:sSub>
                <m:e>
                  <m:r>
                    <m:t>τ</m:t>
                  </m:r>
                </m:e>
                <m:sub>
                  <m:r>
                    <m:rPr>
                      <m:sty m:val="p"/>
                    </m:rPr>
                    <m:t>min</m:t>
                  </m:r>
                </m:sub>
              </m:sSub>
            </m:num>
            <m:den>
              <m:r>
                <m:t>1</m:t>
              </m:r>
              <m:r>
                <m:rPr>
                  <m:sty m:val="p"/>
                </m:rPr>
                <m:t>+</m:t>
              </m:r>
              <m:r>
                <m:rPr>
                  <m:sty m:val="p"/>
                </m:rPr>
                <m:t>exp</m:t>
              </m:r>
              <m:d>
                <m:dPr>
                  <m:begChr m:val="["/>
                  <m:sepChr m:val=""/>
                  <m:endChr m:val="]"/>
                  <m:grow/>
                </m:dPr>
                <m:e>
                  <m:sSub>
                    <m:e>
                      <m:r>
                        <m:t>κ</m:t>
                      </m:r>
                    </m:e>
                    <m:sub>
                      <m:r>
                        <m:t>τ</m:t>
                      </m:r>
                    </m:sub>
                  </m:sSub>
                  <m:r>
                    <m:rPr>
                      <m:sty m:val="p"/>
                    </m:rPr>
                    <m:t>(</m:t>
                  </m:r>
                  <m:r>
                    <m:t>t</m:t>
                  </m:r>
                  <m:r>
                    <m:rPr>
                      <m:sty m:val="p"/>
                    </m:rPr>
                    <m:t>−</m:t>
                  </m:r>
                  <m:sSub>
                    <m:e>
                      <m:r>
                        <m:t>t</m:t>
                      </m:r>
                    </m:e>
                    <m:sub>
                      <m:r>
                        <m:rPr>
                          <m:sty m:val="p"/>
                        </m:rPr>
                        <m:t>s</m:t>
                      </m:r>
                      <m:r>
                        <m:rPr>
                          <m:sty m:val="p"/>
                        </m:rPr>
                        <m:t>h</m:t>
                      </m:r>
                      <m:r>
                        <m:rPr>
                          <m:sty m:val="p"/>
                        </m:rPr>
                        <m:t>r</m:t>
                      </m:r>
                      <m:r>
                        <m:rPr>
                          <m:sty m:val="p"/>
                        </m:rPr>
                        <m:t>i</m:t>
                      </m:r>
                      <m:r>
                        <m:rPr>
                          <m:sty m:val="p"/>
                        </m:rPr>
                        <m:t>n</m:t>
                      </m:r>
                      <m:r>
                        <m:rPr>
                          <m:sty m:val="p"/>
                        </m:rPr>
                        <m:t>k</m:t>
                      </m:r>
                    </m:sub>
                  </m:sSub>
                  <m:r>
                    <m:rPr>
                      <m:sty m:val="p"/>
                    </m:rPr>
                    <m:t>)</m:t>
                  </m:r>
                </m:e>
              </m:d>
            </m:den>
          </m:f>
          <m:r>
            <m:rPr>
              <m:sty m:val="p"/>
            </m:rPr>
            <m:t>.</m:t>
          </m:r>
        </m:oMath>
      </m:oMathPara>
    </w:p>
    <w:p>
      <w:pPr>
        <w:pStyle w:val="FirstParagraph"/>
      </w:pPr>
      <w:r>
        <w:rPr>
          <w:rFonts w:hint="eastAsia"/>
        </w:rPr>
        <w:t xml:space="preserve">其中</w:t>
      </w:r>
      <w:r>
        <w:t xml:space="preserve"> </w:t>
      </w:r>
      <m:oMath>
        <m:r>
          <m:rPr>
            <m:sty m:val="p"/>
          </m:rPr>
          <m:t>c</m:t>
        </m:r>
        <m:r>
          <m:rPr>
            <m:sty m:val="p"/>
          </m:rPr>
          <m:t>l</m:t>
        </m:r>
        <m:r>
          <m:rPr>
            <m:sty m:val="p"/>
          </m:rPr>
          <m:t>i</m:t>
        </m:r>
        <m:r>
          <m:rPr>
            <m:sty m:val="p"/>
          </m:rPr>
          <m:t>p</m:t>
        </m:r>
        <m:r>
          <m:rPr>
            <m:sty m:val="p"/>
          </m:rPr>
          <m:t>(</m:t>
        </m:r>
        <m:r>
          <m:t>x</m:t>
        </m:r>
        <m:r>
          <m:rPr>
            <m:sty m:val="p"/>
          </m:rPr>
          <m:t>,</m:t>
        </m:r>
        <m:r>
          <m:t>a</m:t>
        </m:r>
        <m:r>
          <m:rPr>
            <m:sty m:val="p"/>
          </m:rPr>
          <m:t>,</m:t>
        </m:r>
        <m:r>
          <m:t>b</m:t>
        </m:r>
        <m:r>
          <m:rPr>
            <m:sty m:val="p"/>
          </m:rPr>
          <m:t>)</m:t>
        </m:r>
        <m:r>
          <m:rPr>
            <m:sty m:val="p"/>
          </m:rPr>
          <m:t>=</m:t>
        </m:r>
        <m:r>
          <m:rPr>
            <m:sty m:val="p"/>
          </m:rPr>
          <m:t>min</m:t>
        </m:r>
        <m:r>
          <m:rPr>
            <m:sty m:val="p"/>
          </m:rPr>
          <m:t>{</m:t>
        </m:r>
        <m:r>
          <m:rPr>
            <m:sty m:val="p"/>
          </m:rPr>
          <m:t>max</m:t>
        </m:r>
        <m:r>
          <m:rPr>
            <m:sty m:val="p"/>
          </m:rPr>
          <m:t>(</m:t>
        </m:r>
        <m:r>
          <m:t>x</m:t>
        </m:r>
        <m:r>
          <m:rPr>
            <m:sty m:val="p"/>
          </m:rPr>
          <m:t>,</m:t>
        </m:r>
        <m:r>
          <m:t>a</m:t>
        </m:r>
        <m:r>
          <m:rPr>
            <m:sty m:val="p"/>
          </m:rPr>
          <m:t>)</m:t>
        </m:r>
        <m:r>
          <m:rPr>
            <m:sty m:val="p"/>
          </m:rPr>
          <m:t>,</m:t>
        </m:r>
        <m:r>
          <m:t>b</m:t>
        </m:r>
        <m:r>
          <m:rPr>
            <m:sty m:val="p"/>
          </m:rPr>
          <m:t>}</m:t>
        </m:r>
      </m:oMath>
      <w:r>
        <w:rPr>
          <w:rFonts w:hint="eastAsia"/>
        </w:rPr>
        <w:t xml:space="preserve">，</w:t>
      </w:r>
      <m:oMath>
        <m:sSub>
          <m:e>
            <m:r>
              <m:t>t</m:t>
            </m:r>
          </m:e>
          <m:sub>
            <m:r>
              <m:rPr>
                <m:sty m:val="p"/>
              </m:rPr>
              <m:t>s</m:t>
            </m:r>
            <m:r>
              <m:rPr>
                <m:sty m:val="p"/>
              </m:rPr>
              <m:t>h</m:t>
            </m:r>
            <m:r>
              <m:rPr>
                <m:sty m:val="p"/>
              </m:rPr>
              <m:t>r</m:t>
            </m:r>
            <m:r>
              <m:rPr>
                <m:sty m:val="p"/>
              </m:rPr>
              <m:t>i</m:t>
            </m:r>
            <m:r>
              <m:rPr>
                <m:sty m:val="p"/>
              </m:rPr>
              <m:t>n</m:t>
            </m:r>
            <m:r>
              <m:rPr>
                <m:sty m:val="p"/>
              </m:rPr>
              <m:t>k</m:t>
            </m:r>
          </m:sub>
        </m:sSub>
      </m:oMath>
      <w:r>
        <w:t xml:space="preserve"> </w:t>
      </w:r>
      <w:r>
        <w:rPr>
          <w:rFonts w:hint="eastAsia"/>
        </w:rPr>
        <w:t xml:space="preserve">对应表中</w:t>
      </w:r>
      <w:r>
        <w:t xml:space="preserve"> SPR </w:t>
      </w:r>
      <w:r>
        <w:rPr>
          <w:rFonts w:hint="eastAsia"/>
        </w:rPr>
        <w:t xml:space="preserve">收缩起点。上述定义使</w:t>
      </w:r>
      <w:r>
        <w:t xml:space="preserve"> SPR </w:t>
      </w:r>
      <w:r>
        <w:rPr>
          <w:rFonts w:hint="eastAsia"/>
        </w:rPr>
        <w:t xml:space="preserve">在缺口较大、价格压力较高时保持较强释放；当长期封锁进入政策收缩期且缺口逐步闭合时，</w:t>
      </w:r>
      <m:oMath>
        <m:sSub>
          <m:e>
            <m:r>
              <m:t>τ</m:t>
            </m:r>
          </m:e>
          <m:sub>
            <m:r>
              <m:t>t</m:t>
            </m:r>
          </m:sub>
        </m:sSub>
      </m:oMath>
      <w:r>
        <w:t xml:space="preserve"> </w:t>
      </w:r>
      <w:r>
        <w:rPr>
          <w:rFonts w:hint="eastAsia"/>
        </w:rPr>
        <w:t xml:space="preserve">平滑下降，实际释放量转向缺口驱动。因此，当缺口已基本闭合时，SPR</w:t>
      </w:r>
      <w:r>
        <w:t xml:space="preserve"> </w:t>
      </w:r>
      <w:r>
        <w:rPr>
          <w:rFonts w:hint="eastAsia"/>
        </w:rPr>
        <w:t xml:space="preserve">不会继续按上限满额释放。</w:t>
      </w:r>
    </w:p>
    <w:p>
      <w:pPr>
        <w:pStyle w:val="BodyText"/>
      </w:pPr>
      <w:r>
        <w:rPr>
          <w:rFonts w:hint="eastAsia"/>
        </w:rPr>
        <w:t xml:space="preserve">中长期价格递推采用</w:t>
      </w:r>
    </w:p>
    <w:p>
      <w:pPr>
        <w:pStyle w:val="BodyText"/>
      </w:pPr>
      <m:oMathPara>
        <m:oMathParaPr>
          <m:jc m:val="center"/>
        </m:oMathParaPr>
        <m:oMath>
          <m:sSub>
            <m:e>
              <m:acc>
                <m:accPr>
                  <m:chr m:val="̂"/>
                </m:accPr>
                <m:e>
                  <m:r>
                    <m:t>P</m:t>
                  </m:r>
                </m:e>
              </m:acc>
            </m:e>
            <m:sub>
              <m:r>
                <m:t>t</m:t>
              </m:r>
              <m:r>
                <m:rPr>
                  <m:sty m:val="p"/>
                </m:rPr>
                <m:t>+</m:t>
              </m:r>
              <m:r>
                <m:t>1</m:t>
              </m:r>
            </m:sub>
          </m:sSub>
          <m:r>
            <m:rPr>
              <m:sty m:val="p"/>
            </m:rPr>
            <m:t>=</m:t>
          </m:r>
          <m:r>
            <m:rPr>
              <m:sty m:val="p"/>
            </m:rPr>
            <m:t>(</m:t>
          </m:r>
          <m:r>
            <m:t>1</m:t>
          </m:r>
          <m:r>
            <m:rPr>
              <m:sty m:val="p"/>
            </m:rPr>
            <m:t>−</m:t>
          </m:r>
          <m:sSub>
            <m:e>
              <m:r>
                <m:t>v</m:t>
              </m:r>
            </m:e>
            <m:sub>
              <m:r>
                <m:t>L</m:t>
              </m:r>
            </m:sub>
          </m:sSub>
          <m:r>
            <m:rPr>
              <m:sty m:val="p"/>
            </m:rPr>
            <m:t>)</m:t>
          </m:r>
          <m:sSub>
            <m:e>
              <m:acc>
                <m:accPr>
                  <m:chr m:val="̂"/>
                </m:accPr>
                <m:e>
                  <m:r>
                    <m:t>P</m:t>
                  </m:r>
                </m:e>
              </m:acc>
            </m:e>
            <m:sub>
              <m:r>
                <m:t>t</m:t>
              </m:r>
            </m:sub>
          </m:sSub>
          <m:r>
            <m:rPr>
              <m:sty m:val="p"/>
            </m:rPr>
            <m:t>+</m:t>
          </m:r>
          <m:sSub>
            <m:e>
              <m:r>
                <m:t>v</m:t>
              </m:r>
            </m:e>
            <m:sub>
              <m:r>
                <m:t>L</m:t>
              </m:r>
            </m:sub>
          </m:sSub>
          <m:d>
            <m:dPr>
              <m:begChr m:val="["/>
              <m:sepChr m:val=""/>
              <m:endChr m:val="]"/>
              <m:grow/>
            </m:dPr>
            <m:e>
              <m:sSub>
                <m:e>
                  <m:r>
                    <m:t>P</m:t>
                  </m:r>
                </m:e>
                <m:sub>
                  <m:r>
                    <m:t>0</m:t>
                  </m:r>
                </m:sub>
              </m:sSub>
              <m:r>
                <m:rPr>
                  <m:sty m:val="p"/>
                </m:rPr>
                <m:t>+</m:t>
              </m:r>
              <m:r>
                <m:rPr>
                  <m:sty m:val="p"/>
                </m:rPr>
                <m:t>Π</m:t>
              </m:r>
              <m:r>
                <m:rPr>
                  <m:sty m:val="p"/>
                </m:rPr>
                <m:t>(</m:t>
              </m:r>
              <m:sSubSup>
                <m:e>
                  <m:r>
                    <m:t>G</m:t>
                  </m:r>
                </m:e>
                <m:sub>
                  <m:r>
                    <m:t>t</m:t>
                  </m:r>
                </m:sub>
                <m:sup>
                  <m:r>
                    <m:rPr>
                      <m:sty m:val="p"/>
                    </m:rPr>
                    <m:t>(</m:t>
                  </m:r>
                  <m:r>
                    <m:t>L</m:t>
                  </m:r>
                  <m:r>
                    <m:rPr>
                      <m:sty m:val="p"/>
                    </m:rPr>
                    <m:t>)</m:t>
                  </m:r>
                </m:sup>
              </m:sSubSup>
              <m:r>
                <m:rPr>
                  <m:sty m:val="p"/>
                </m:rPr>
                <m:t>,</m:t>
              </m:r>
              <m:sSub>
                <m:e>
                  <m:r>
                    <m:t>ε</m:t>
                  </m:r>
                </m:e>
                <m:sub>
                  <m:r>
                    <m:t>L</m:t>
                  </m:r>
                </m:sub>
              </m:sSub>
              <m:r>
                <m:rPr>
                  <m:sty m:val="p"/>
                </m:rPr>
                <m:t>)</m:t>
              </m:r>
            </m:e>
          </m:d>
          <m:r>
            <m:rPr>
              <m:sty m:val="p"/>
            </m:rPr>
            <m:t>+</m:t>
          </m:r>
          <m:sSub>
            <m:e>
              <m:r>
                <m:rPr>
                  <m:sty m:val="p"/>
                </m:rPr>
                <m:t>Φ</m:t>
              </m:r>
            </m:e>
            <m:sub>
              <m:r>
                <m:t>t</m:t>
              </m:r>
            </m:sub>
          </m:sSub>
          <m:r>
            <m:rPr>
              <m:sty m:val="p"/>
            </m:rPr>
            <m:t>−</m:t>
          </m:r>
          <m:sSub>
            <m:e>
              <m:r>
                <m:rPr>
                  <m:sty m:val="p"/>
                </m:rPr>
                <m:t>Ω</m:t>
              </m:r>
            </m:e>
            <m:sub>
              <m:r>
                <m:t>t</m:t>
              </m:r>
            </m:sub>
          </m:sSub>
          <m:r>
            <m:rPr>
              <m:sty m:val="p"/>
            </m:rPr>
            <m:t>+</m:t>
          </m:r>
          <m:sSub>
            <m:e>
              <m:r>
                <m:t>J</m:t>
              </m:r>
            </m:e>
            <m:sub>
              <m:r>
                <m:t>t</m:t>
              </m:r>
            </m:sub>
          </m:sSub>
          <m:r>
            <m:rPr>
              <m:sty m:val="p"/>
            </m:rPr>
            <m:t>,</m:t>
          </m:r>
        </m:oMath>
      </m:oMathPara>
    </w:p>
    <w:p>
      <w:pPr>
        <w:pStyle w:val="FirstParagraph"/>
      </w:pPr>
      <w:r>
        <w:rPr>
          <w:rFonts w:hint="eastAsia"/>
        </w:rPr>
        <w:t xml:space="preserve">其中</w:t>
      </w:r>
      <w:r>
        <w:t xml:space="preserve"> </w:t>
      </w:r>
      <m:oMath>
        <m:r>
          <m:rPr>
            <m:sty m:val="p"/>
          </m:rPr>
          <m:t>Π</m:t>
        </m:r>
        <m:r>
          <m:rPr>
            <m:sty m:val="p"/>
          </m:rPr>
          <m:t>(</m:t>
        </m:r>
        <m:r>
          <m:rPr>
            <m:sty m:val="p"/>
          </m:rPr>
          <m:t>⋅</m:t>
        </m:r>
        <m:r>
          <m:rPr>
            <m:sty m:val="p"/>
          </m:rPr>
          <m:t>)</m:t>
        </m:r>
      </m:oMath>
      <w:r>
        <w:t xml:space="preserve"> </w:t>
      </w:r>
      <w:r>
        <w:rPr>
          <w:rFonts w:hint="eastAsia"/>
        </w:rPr>
        <w:t xml:space="preserve">表示由剩余供需缺口和长期需求弹性</w:t>
      </w:r>
      <w:r>
        <w:t xml:space="preserve"> </w:t>
      </w:r>
      <m:oMath>
        <m:sSub>
          <m:e>
            <m:r>
              <m:t>ε</m:t>
            </m:r>
          </m:e>
          <m:sub>
            <m:r>
              <m:t>L</m:t>
            </m:r>
          </m:sub>
        </m:sSub>
      </m:oMath>
      <w:r>
        <w:t xml:space="preserve"> </w:t>
      </w:r>
      <w:r>
        <w:rPr>
          <w:rFonts w:hint="eastAsia"/>
        </w:rPr>
        <w:t xml:space="preserve">共同决定的供需压力；当</w:t>
      </w:r>
      <w:r>
        <w:t xml:space="preserve"> </w:t>
      </w:r>
      <m:oMath>
        <m:sSubSup>
          <m:e>
            <m:r>
              <m:t>G</m:t>
            </m:r>
          </m:e>
          <m:sub>
            <m:r>
              <m:t>t</m:t>
            </m:r>
          </m:sub>
          <m:sup>
            <m:r>
              <m:rPr>
                <m:sty m:val="p"/>
              </m:rPr>
              <m:t>(</m:t>
            </m:r>
            <m:r>
              <m:t>L</m:t>
            </m:r>
            <m:r>
              <m:rPr>
                <m:sty m:val="p"/>
              </m:rPr>
              <m:t>)</m:t>
            </m:r>
          </m:sup>
        </m:sSubSup>
        <m:r>
          <m:rPr>
            <m:sty m:val="p"/>
          </m:rPr>
          <m:t>&lt;</m:t>
        </m:r>
        <m:r>
          <m:t>0</m:t>
        </m:r>
      </m:oMath>
      <w:r>
        <w:t xml:space="preserve"> </w:t>
      </w:r>
      <w:r>
        <w:rPr>
          <w:rFonts w:hint="eastAsia"/>
        </w:rPr>
        <w:t xml:space="preserve">时，过剩供给通过折价项向下拉动目标价格。</w:t>
      </w:r>
      <m:oMath>
        <m:sSub>
          <m:e>
            <m:r>
              <m:rPr>
                <m:sty m:val="p"/>
              </m:rPr>
              <m:t>Φ</m:t>
            </m:r>
          </m:e>
          <m:sub>
            <m:r>
              <m:t>t</m:t>
            </m:r>
          </m:sub>
        </m:sSub>
      </m:oMath>
      <w:r>
        <w:t xml:space="preserve"> </w:t>
      </w:r>
      <w:r>
        <w:rPr>
          <w:rFonts w:hint="eastAsia"/>
        </w:rPr>
        <w:t xml:space="preserve">由地缘风险溢价、前期冲击不确定性和持续封锁制度风险三部分构成，其中制度风险随未解决供应压力和时间信心恢复共同衰减。</w:t>
      </w:r>
      <m:oMath>
        <m:sSub>
          <m:e>
            <m:r>
              <m:rPr>
                <m:sty m:val="p"/>
              </m:rPr>
              <m:t>Ω</m:t>
            </m:r>
          </m:e>
          <m:sub>
            <m:r>
              <m:t>t</m:t>
            </m:r>
          </m:sub>
        </m:sSub>
      </m:oMath>
      <w:r>
        <w:t xml:space="preserve"> </w:t>
      </w:r>
      <w:r>
        <w:rPr>
          <w:rFonts w:hint="eastAsia"/>
        </w:rPr>
        <w:t xml:space="preserve">为政策缓冲确认和预期修复带来的折价，</w:t>
      </w:r>
      <m:oMath>
        <m:sSub>
          <m:e>
            <m:r>
              <m:t>J</m:t>
            </m:r>
          </m:e>
          <m:sub>
            <m:r>
              <m:t>t</m:t>
            </m:r>
          </m:sub>
        </m:sSub>
      </m:oMath>
      <w:r>
        <w:t xml:space="preserve"> </w:t>
      </w:r>
      <w:r>
        <w:rPr>
          <w:rFonts w:hint="eastAsia"/>
        </w:rPr>
        <w:t xml:space="preserve">为库存接近耗尽时的跳变风险项。该形式对应赛题要求中的增产、长期弹性变化、运输瓶颈和库存耗尽风险。</w:t>
      </w:r>
    </w:p>
    <w:p>
      <w:pPr>
        <w:pStyle w:val="BodyText"/>
      </w:pPr>
      <w:r>
        <w:rPr>
          <w:rFonts w:hint="eastAsia"/>
        </w:rPr>
        <w:t xml:space="preserve">短期和中长期风险项的方向不同，并不是前后矛盾。短期窗口内，市场需要完成突发封锁的信息吸收，风险溢价表现为建立和再定价；中长期窗口内，市场已经观察到</w:t>
      </w:r>
      <w:r>
        <w:t xml:space="preserve"> </w:t>
      </w:r>
      <w:r>
        <w:rPr>
          <w:rFonts w:hint="eastAsia"/>
        </w:rPr>
        <w:t xml:space="preserve">SPR、库存、绕道和供需调整是否有效，因此风险项应随未解决缺口和信心恢复而逐步衰减。换言之，短期冲击模型回答</w:t>
      </w:r>
      <w:r>
        <w:rPr>
          <w:rFonts w:hint="eastAsia"/>
        </w:rPr>
        <w:t xml:space="preserve">“冲击如何形成价格平台”</w:t>
      </w:r>
      <w:r>
        <w:rPr>
          <w:rFonts w:hint="eastAsia"/>
        </w:rPr>
        <w:t xml:space="preserve">，中长期油价调节模型回答</w:t>
      </w:r>
      <w:r>
        <w:rPr>
          <w:rFonts w:hint="eastAsia"/>
        </w:rPr>
        <w:t xml:space="preserve">“平台在政策缓冲和需求调整后如何回归，尾部风险在哪里重新抬升”</w:t>
      </w:r>
      <w:r>
        <w:t xml:space="preserve">。</w:t>
      </w:r>
    </w:p>
    <w:p>
      <w:pPr>
        <w:pStyle w:val="TableCaption"/>
      </w:pPr>
      <w:r>
        <w:rPr>
          <w:rFonts w:hint="eastAsia"/>
        </w:rPr>
        <w:t xml:space="preserve">长期机制强度参数及检验边界</w:t>
      </w:r>
    </w:p>
    <w:tbl>
      <w:tblPr>
        <w:tblStyle w:val="Table"/>
        <w:tblW w:type="auto" w:w="0"/>
        <w:tblLook w:firstRow="1" w:lastRow="0" w:firstColumn="0" w:lastColumn="0" w:noHBand="0" w:noVBand="0" w:val="0020"/>
        <w:tblCaption w:val="长期机制强度参数及检验边界"/>
      </w:tblPr>
      <w:tblGrid>
        <w:gridCol w:w="1980"/>
        <w:gridCol w:w="1980"/>
        <w:gridCol w:w="1980"/>
        <w:gridCol w:w="1980"/>
      </w:tblGrid>
      <w:tr>
        <w:trPr>
          <w:tblHeader w:val="on"/>
        </w:trPr>
        <w:tc>
          <w:tcPr/>
          <w:p>
            <w:pPr>
              <w:pStyle w:val="Compact"/>
              <w:jc w:val="left"/>
            </w:pPr>
            <w:r>
              <w:rPr>
                <w:rFonts w:hint="eastAsia"/>
              </w:rPr>
              <w:t xml:space="preserve">机制参数</w:t>
            </w:r>
          </w:p>
        </w:tc>
        <w:tc>
          <w:tcPr/>
          <w:p>
            <w:pPr>
              <w:pStyle w:val="Compact"/>
              <w:jc w:val="right"/>
            </w:pPr>
            <w:r>
              <w:rPr>
                <w:rFonts w:hint="eastAsia"/>
              </w:rPr>
              <w:t xml:space="preserve">基准值</w:t>
            </w:r>
          </w:p>
        </w:tc>
        <w:tc>
          <w:tcPr/>
          <w:p>
            <w:pPr>
              <w:pStyle w:val="Compact"/>
              <w:jc w:val="right"/>
            </w:pPr>
            <w:r>
              <w:rPr>
                <w:rFonts w:hint="eastAsia"/>
              </w:rPr>
              <w:t xml:space="preserve">扰动范围</w:t>
            </w:r>
          </w:p>
        </w:tc>
        <w:tc>
          <w:tcPr/>
          <w:p>
            <w:pPr>
              <w:pStyle w:val="Compact"/>
              <w:jc w:val="left"/>
            </w:pPr>
            <w:r>
              <w:rPr>
                <w:rFonts w:hint="eastAsia"/>
              </w:rPr>
              <w:t xml:space="preserve">含义与边界</w:t>
            </w:r>
          </w:p>
        </w:tc>
      </w:tr>
      <w:tr>
        <w:tc>
          <w:tcPr/>
          <w:p>
            <w:pPr>
              <w:pStyle w:val="Compact"/>
              <w:jc w:val="left"/>
            </w:pPr>
            <w:r>
              <w:t xml:space="preserve">SPR </w:t>
            </w:r>
            <w:r>
              <w:rPr>
                <w:rFonts w:hint="eastAsia"/>
              </w:rPr>
              <w:t xml:space="preserve">收缩起点</w:t>
            </w:r>
          </w:p>
        </w:tc>
        <w:tc>
          <w:tcPr/>
          <w:p>
            <w:pPr>
              <w:pStyle w:val="Compact"/>
              <w:jc w:val="right"/>
            </w:pPr>
            <w:r>
              <w:t xml:space="preserve">75</w:t>
            </w:r>
          </w:p>
        </w:tc>
        <w:tc>
          <w:tcPr/>
          <w:p>
            <w:pPr>
              <w:pStyle w:val="Compact"/>
              <w:jc w:val="right"/>
            </w:pPr>
            <w:r>
              <w:t xml:space="preserve">60–105</w:t>
            </w:r>
          </w:p>
        </w:tc>
        <w:tc>
          <w:tcPr/>
          <w:p>
            <w:pPr>
              <w:pStyle w:val="Compact"/>
              <w:jc w:val="left"/>
            </w:pPr>
            <w:r>
              <w:t xml:space="preserve">SPR </w:t>
            </w:r>
            <w:r>
              <w:rPr>
                <w:rFonts w:hint="eastAsia"/>
              </w:rPr>
              <w:t xml:space="preserve">从应急计划释放转向缺口驱动收缩的开始时间</w:t>
            </w:r>
          </w:p>
        </w:tc>
      </w:tr>
      <w:tr>
        <w:tc>
          <w:tcPr/>
          <w:p>
            <w:pPr>
              <w:pStyle w:val="Compact"/>
              <w:jc w:val="left"/>
            </w:pPr>
            <w:r>
              <w:rPr>
                <w:rFonts w:hint="eastAsia"/>
              </w:rPr>
              <w:t xml:space="preserve">冲击不确定性占比</w:t>
            </w:r>
          </w:p>
        </w:tc>
        <w:tc>
          <w:tcPr/>
          <w:p>
            <w:pPr>
              <w:pStyle w:val="Compact"/>
              <w:jc w:val="right"/>
            </w:pPr>
            <w:r>
              <w:t xml:space="preserve">0.45</w:t>
            </w:r>
          </w:p>
        </w:tc>
        <w:tc>
          <w:tcPr/>
          <w:p>
            <w:pPr>
              <w:pStyle w:val="Compact"/>
              <w:jc w:val="right"/>
            </w:pPr>
            <w:r>
              <w:t xml:space="preserve">0.25–0.65</w:t>
            </w:r>
          </w:p>
        </w:tc>
        <w:tc>
          <w:tcPr/>
          <w:p>
            <w:pPr>
              <w:pStyle w:val="Compact"/>
              <w:jc w:val="left"/>
            </w:pPr>
            <w:r>
              <w:rPr>
                <w:rFonts w:hint="eastAsia"/>
              </w:rPr>
              <w:t xml:space="preserve">前期冲击再定价在长期不确定性中的贡献，不作为外部官方统计量</w:t>
            </w:r>
          </w:p>
        </w:tc>
      </w:tr>
      <w:tr>
        <w:tc>
          <w:tcPr/>
          <w:p>
            <w:pPr>
              <w:pStyle w:val="Compact"/>
              <w:jc w:val="left"/>
            </w:pPr>
            <w:r>
              <w:rPr>
                <w:rFonts w:hint="eastAsia"/>
              </w:rPr>
              <w:t xml:space="preserve">制度风险占比</w:t>
            </w:r>
          </w:p>
        </w:tc>
        <w:tc>
          <w:tcPr/>
          <w:p>
            <w:pPr>
              <w:pStyle w:val="Compact"/>
              <w:jc w:val="right"/>
            </w:pPr>
            <w:r>
              <w:t xml:space="preserve">0.90</w:t>
            </w:r>
          </w:p>
        </w:tc>
        <w:tc>
          <w:tcPr/>
          <w:p>
            <w:pPr>
              <w:pStyle w:val="Compact"/>
              <w:jc w:val="right"/>
            </w:pPr>
            <w:r>
              <w:t xml:space="preserve">0.50–1.30</w:t>
            </w:r>
          </w:p>
        </w:tc>
        <w:tc>
          <w:tcPr/>
          <w:p>
            <w:pPr>
              <w:pStyle w:val="Compact"/>
              <w:jc w:val="left"/>
            </w:pPr>
            <w:r>
              <w:rPr>
                <w:rFonts w:hint="eastAsia"/>
              </w:rPr>
              <w:t xml:space="preserve">持续封锁状态对长期风险溢价的贡献强度</w:t>
            </w:r>
          </w:p>
        </w:tc>
      </w:tr>
      <w:tr>
        <w:tc>
          <w:tcPr/>
          <w:p>
            <w:pPr>
              <w:pStyle w:val="Compact"/>
              <w:jc w:val="left"/>
            </w:pPr>
            <w:r>
              <w:rPr>
                <w:rFonts w:hint="eastAsia"/>
              </w:rPr>
              <w:t xml:space="preserve">信心恢复后风险底座</w:t>
            </w:r>
          </w:p>
        </w:tc>
        <w:tc>
          <w:tcPr/>
          <w:p>
            <w:pPr>
              <w:pStyle w:val="Compact"/>
              <w:jc w:val="right"/>
            </w:pPr>
            <w:r>
              <w:t xml:space="preserve">0.40</w:t>
            </w:r>
          </w:p>
        </w:tc>
        <w:tc>
          <w:tcPr/>
          <w:p>
            <w:pPr>
              <w:pStyle w:val="Compact"/>
              <w:jc w:val="right"/>
            </w:pPr>
            <w:r>
              <w:t xml:space="preserve">0.20–0.60</w:t>
            </w:r>
          </w:p>
        </w:tc>
        <w:tc>
          <w:tcPr/>
          <w:p>
            <w:pPr>
              <w:pStyle w:val="Compact"/>
              <w:jc w:val="left"/>
            </w:pPr>
            <w:r>
              <w:rPr>
                <w:rFonts w:hint="eastAsia"/>
              </w:rPr>
              <w:t xml:space="preserve">缓冲机制被市场确认后仍保留的制度风险比例</w:t>
            </w:r>
          </w:p>
        </w:tc>
      </w:tr>
      <w:tr>
        <w:tc>
          <w:tcPr/>
          <w:p>
            <w:pPr>
              <w:pStyle w:val="Compact"/>
              <w:jc w:val="left"/>
            </w:pPr>
            <w:r>
              <w:rPr>
                <w:rFonts w:hint="eastAsia"/>
              </w:rPr>
              <w:t xml:space="preserve">过剩供给回归强度</w:t>
            </w:r>
          </w:p>
        </w:tc>
        <w:tc>
          <w:tcPr/>
          <w:p>
            <w:pPr>
              <w:pStyle w:val="Compact"/>
              <w:jc w:val="right"/>
            </w:pPr>
            <w:r>
              <w:t xml:space="preserve">1.35</w:t>
            </w:r>
          </w:p>
        </w:tc>
        <w:tc>
          <w:tcPr/>
          <w:p>
            <w:pPr>
              <w:pStyle w:val="Compact"/>
              <w:jc w:val="right"/>
            </w:pPr>
            <w:r>
              <w:t xml:space="preserve">0.80–2.20</w:t>
            </w:r>
          </w:p>
        </w:tc>
        <w:tc>
          <w:tcPr/>
          <w:p>
            <w:pPr>
              <w:pStyle w:val="Compact"/>
              <w:jc w:val="left"/>
            </w:pPr>
            <w:r>
              <w:rPr>
                <w:rFonts w:hint="eastAsia"/>
              </w:rPr>
              <w:t xml:space="preserve">供给超过需求时向下修正目标价格的机制强度</w:t>
            </w:r>
          </w:p>
        </w:tc>
      </w:tr>
      <w:tr>
        <w:tc>
          <w:tcPr/>
          <w:p>
            <w:pPr>
              <w:pStyle w:val="Compact"/>
              <w:jc w:val="left"/>
            </w:pPr>
            <w:r>
              <w:rPr>
                <w:rFonts w:hint="eastAsia"/>
              </w:rPr>
              <w:t xml:space="preserve">封锁风险衰减速度</w:t>
            </w:r>
          </w:p>
        </w:tc>
        <w:tc>
          <w:tcPr/>
          <w:p>
            <w:pPr>
              <w:pStyle w:val="Compact"/>
              <w:jc w:val="right"/>
            </w:pPr>
            <w:r>
              <w:t xml:space="preserve">0.004</w:t>
            </w:r>
          </w:p>
        </w:tc>
        <w:tc>
          <w:tcPr/>
          <w:p>
            <w:pPr>
              <w:pStyle w:val="Compact"/>
              <w:jc w:val="right"/>
            </w:pPr>
            <w:r>
              <w:t xml:space="preserve">0.002–0.008</w:t>
            </w:r>
          </w:p>
        </w:tc>
        <w:tc>
          <w:tcPr/>
          <w:p>
            <w:pPr>
              <w:pStyle w:val="Compact"/>
              <w:jc w:val="left"/>
            </w:pPr>
            <w:r>
              <w:rPr>
                <w:rFonts w:hint="eastAsia"/>
              </w:rPr>
              <w:t xml:space="preserve">封锁风险溢价随时间被市场吸收的日度速度</w:t>
            </w:r>
          </w:p>
        </w:tc>
      </w:tr>
    </w:tbl>
    <w:bookmarkEnd w:id="115"/>
    <w:bookmarkStart w:id="118" w:name="中长期参数来源与校验边界"/>
    <w:p>
      <w:pPr>
        <w:pStyle w:val="Heading2"/>
      </w:pPr>
      <w:r>
        <w:rPr>
          <w:rFonts w:hint="eastAsia"/>
        </w:rPr>
        <w:t xml:space="preserve">中长期参数来源与校验边界</w:t>
      </w:r>
    </w:p>
    <w:p>
      <w:pPr>
        <w:pStyle w:val="FirstParagraph"/>
      </w:pPr>
      <w:r>
        <w:rPr>
          <w:rFonts w:hint="eastAsia"/>
        </w:rPr>
        <w:t xml:space="preserve">中长期油价调节模型中的部分参数用于描述恢复速度、政策收缩和制度风险衰减。本文对中长期参数采用三条约束：方向来自赛题机制或能源市场逻辑；数值作为基准情景假设进入；关键参数进入扰动区间、敏感性排序或蒙特卡洛检验。中长期参数来源与校验方式见</w:t>
      </w:r>
      <w:hyperlink w:anchor="tab:long-parameter-audit">
        <w:r>
          <w:rPr>
            <w:rStyle w:val="Hyperlink"/>
          </w:rPr>
          <w:t xml:space="preserve">8</w:t>
        </w:r>
      </w:hyperlink>
      <w:r>
        <w:t xml:space="preserve">。</w:t>
      </w:r>
    </w:p>
    <w:bookmarkStart w:id="116" w:name="tab:long-parameter-audit"/>
    <w:p>
      <w:pPr>
        <w:pStyle w:val="TableCaption"/>
      </w:pPr>
      <w:r>
        <w:rPr>
          <w:rFonts w:hint="eastAsia"/>
        </w:rPr>
        <w:t xml:space="preserve">中长期关键参数来源与校验方式</w:t>
      </w:r>
    </w:p>
    <w:tbl>
      <w:tblPr>
        <w:tblStyle w:val="Table"/>
        <w:tblW w:type="auto" w:w="0"/>
        <w:tblLook w:firstRow="1" w:lastRow="0" w:firstColumn="0" w:lastColumn="0" w:noHBand="0" w:noVBand="0" w:val="0020"/>
        <w:tblCaption w:val="中长期关键参数来源与校验方式"/>
      </w:tblPr>
      <w:tblGrid>
        <w:gridCol w:w="2640"/>
        <w:gridCol w:w="2640"/>
        <w:gridCol w:w="2640"/>
      </w:tblGrid>
      <w:tr>
        <w:trPr>
          <w:tblHeader w:val="on"/>
        </w:trPr>
        <w:tc>
          <w:tcPr/>
          <w:p>
            <w:pPr>
              <w:pStyle w:val="Compact"/>
              <w:jc w:val="left"/>
            </w:pPr>
            <w:r>
              <w:rPr>
                <w:rFonts w:hint="eastAsia"/>
              </w:rPr>
              <w:t xml:space="preserve">参数组</w:t>
            </w:r>
          </w:p>
        </w:tc>
        <w:tc>
          <w:tcPr/>
          <w:p>
            <w:pPr>
              <w:pStyle w:val="Compact"/>
              <w:jc w:val="left"/>
            </w:pPr>
            <w:r>
              <w:rPr>
                <w:rFonts w:hint="eastAsia"/>
              </w:rPr>
              <w:t xml:space="preserve">来源逻辑</w:t>
            </w:r>
          </w:p>
        </w:tc>
        <w:tc>
          <w:tcPr/>
          <w:p>
            <w:pPr>
              <w:pStyle w:val="Compact"/>
              <w:jc w:val="left"/>
            </w:pPr>
            <w:r>
              <w:rPr>
                <w:rFonts w:hint="eastAsia"/>
              </w:rPr>
              <w:t xml:space="preserve">校验方式</w:t>
            </w:r>
          </w:p>
        </w:tc>
      </w:tr>
      <w:tr>
        <w:tc>
          <w:tcPr/>
          <w:p>
            <w:pPr>
              <w:pStyle w:val="Compact"/>
              <w:jc w:val="left"/>
            </w:pPr>
            <w:r>
              <w:t xml:space="preserve">SPR </w:t>
            </w:r>
            <w:r>
              <w:rPr>
                <w:rFonts w:hint="eastAsia"/>
              </w:rPr>
              <w:t xml:space="preserve">收缩起点与释放强度</w:t>
            </w:r>
          </w:p>
        </w:tc>
        <w:tc>
          <w:tcPr/>
          <w:p>
            <w:pPr>
              <w:pStyle w:val="Compact"/>
              <w:jc w:val="left"/>
            </w:pPr>
            <w:r>
              <w:rPr>
                <w:rFonts w:hint="eastAsia"/>
              </w:rPr>
              <w:t xml:space="preserve">来自赛题给出的</w:t>
            </w:r>
            <w:r>
              <w:t xml:space="preserve"> SPR </w:t>
            </w:r>
            <w:r>
              <w:rPr>
                <w:rFonts w:hint="eastAsia"/>
              </w:rPr>
              <w:t xml:space="preserve">缓冲机制，并结合</w:t>
            </w:r>
            <w:r>
              <w:rPr>
                <w:rFonts w:hint="eastAsia"/>
              </w:rPr>
              <w:t xml:space="preserve">“长期封锁下不能无限满额释放”</w:t>
            </w:r>
            <w:r>
              <w:rPr>
                <w:rFonts w:hint="eastAsia"/>
              </w:rPr>
              <w:t xml:space="preserve">的政策约束。</w:t>
            </w:r>
          </w:p>
        </w:tc>
        <w:tc>
          <w:tcPr/>
          <w:p>
            <w:pPr>
              <w:pStyle w:val="Compact"/>
              <w:jc w:val="left"/>
            </w:pPr>
            <w:r>
              <w:rPr>
                <w:rFonts w:hint="eastAsia"/>
              </w:rPr>
              <w:t xml:space="preserve">在</w:t>
            </w:r>
            <w:r>
              <w:t xml:space="preserve"> 60–105 </w:t>
            </w:r>
            <w:r>
              <w:rPr>
                <w:rFonts w:hint="eastAsia"/>
              </w:rPr>
              <w:t xml:space="preserve">天范围内扰动，检验其对第</w:t>
            </w:r>
            <w:r>
              <w:t xml:space="preserve"> 180 </w:t>
            </w:r>
            <w:r>
              <w:rPr>
                <w:rFonts w:hint="eastAsia"/>
              </w:rPr>
              <w:t xml:space="preserve">天价格和尾部峰值的影响。</w:t>
            </w:r>
          </w:p>
        </w:tc>
      </w:tr>
      <w:tr>
        <w:tc>
          <w:tcPr/>
          <w:p>
            <w:pPr>
              <w:pStyle w:val="Compact"/>
              <w:jc w:val="left"/>
            </w:pPr>
            <w:r>
              <w:rPr>
                <w:rFonts w:hint="eastAsia"/>
              </w:rPr>
              <w:t xml:space="preserve">冲击不确定性与制度风险</w:t>
            </w:r>
          </w:p>
        </w:tc>
        <w:tc>
          <w:tcPr/>
          <w:p>
            <w:pPr>
              <w:pStyle w:val="Compact"/>
              <w:jc w:val="left"/>
            </w:pPr>
            <w:r>
              <w:rPr>
                <w:rFonts w:hint="eastAsia"/>
              </w:rPr>
              <w:t xml:space="preserve">来自封锁未解除时保险、航运、二次升级和政策协调失败的持续风险。</w:t>
            </w:r>
          </w:p>
        </w:tc>
        <w:tc>
          <w:tcPr/>
          <w:p>
            <w:pPr>
              <w:pStyle w:val="Compact"/>
              <w:jc w:val="left"/>
            </w:pPr>
            <w:r>
              <w:rPr>
                <w:rFonts w:hint="eastAsia"/>
              </w:rPr>
              <w:t xml:space="preserve">与</w:t>
            </w:r>
            <w:r>
              <w:t xml:space="preserve"> GPR </w:t>
            </w:r>
            <w:r>
              <w:rPr>
                <w:rFonts w:hint="eastAsia"/>
              </w:rPr>
              <w:t xml:space="preserve">滞后检验、蒙特卡洛情景树和状态转移情景树合读，不作为同步价格拟合因子。</w:t>
            </w:r>
          </w:p>
        </w:tc>
      </w:tr>
      <w:tr>
        <w:tc>
          <w:tcPr/>
          <w:p>
            <w:pPr>
              <w:pStyle w:val="Compact"/>
              <w:jc w:val="left"/>
            </w:pPr>
            <w:r>
              <w:rPr>
                <w:rFonts w:hint="eastAsia"/>
              </w:rPr>
              <w:t xml:space="preserve">封锁风险衰减速度</w:t>
            </w:r>
          </w:p>
        </w:tc>
        <w:tc>
          <w:tcPr/>
          <w:p>
            <w:pPr>
              <w:pStyle w:val="Compact"/>
              <w:jc w:val="left"/>
            </w:pPr>
            <w:r>
              <w:rPr>
                <w:rFonts w:hint="eastAsia"/>
              </w:rPr>
              <w:t xml:space="preserve">表示市场对封锁信息逐步吸收和政策缓冲被确认后的风险消化速度。</w:t>
            </w:r>
          </w:p>
        </w:tc>
        <w:tc>
          <w:tcPr/>
          <w:p>
            <w:pPr>
              <w:pStyle w:val="Compact"/>
              <w:jc w:val="left"/>
            </w:pPr>
            <w:r>
              <w:rPr>
                <w:rFonts w:hint="eastAsia"/>
              </w:rPr>
              <w:t xml:space="preserve">设置</w:t>
            </w:r>
            <w:r>
              <w:t xml:space="preserve"> 0.002–0.008 </w:t>
            </w:r>
            <w:r>
              <w:rPr>
                <w:rFonts w:hint="eastAsia"/>
              </w:rPr>
              <w:t xml:space="preserve">日衰减率区间，并在敏感性分析中单独排序，避免隐藏常数。</w:t>
            </w:r>
          </w:p>
        </w:tc>
      </w:tr>
      <w:tr>
        <w:tc>
          <w:tcPr/>
          <w:p>
            <w:pPr>
              <w:pStyle w:val="Compact"/>
              <w:jc w:val="left"/>
            </w:pPr>
            <w:r>
              <w:rPr>
                <w:rFonts w:hint="eastAsia"/>
              </w:rPr>
              <w:t xml:space="preserve">过剩供给回归强度</w:t>
            </w:r>
          </w:p>
        </w:tc>
        <w:tc>
          <w:tcPr/>
          <w:p>
            <w:pPr>
              <w:pStyle w:val="Compact"/>
              <w:jc w:val="left"/>
            </w:pPr>
            <w:r>
              <w:rPr>
                <w:rFonts w:hint="eastAsia"/>
              </w:rPr>
              <w:t xml:space="preserve">表示当缓冲、增产和需求调整使供给压力缓解后，目标价格向下修正的速度。</w:t>
            </w:r>
          </w:p>
        </w:tc>
        <w:tc>
          <w:tcPr/>
          <w:p>
            <w:pPr>
              <w:pStyle w:val="Compact"/>
              <w:jc w:val="left"/>
            </w:pPr>
            <w:r>
              <w:rPr>
                <w:rFonts w:hint="eastAsia"/>
              </w:rPr>
              <w:t xml:space="preserve">通过扰动区间和情景曲线检验，防止中性路径被人为拉成固定直线。</w:t>
            </w:r>
          </w:p>
        </w:tc>
      </w:tr>
      <w:tr>
        <w:tc>
          <w:tcPr/>
          <w:p>
            <w:pPr>
              <w:pStyle w:val="Compact"/>
              <w:jc w:val="left"/>
            </w:pPr>
            <w:r>
              <w:rPr>
                <w:rFonts w:hint="eastAsia"/>
              </w:rPr>
              <w:t xml:space="preserve">其他产油国增产与绕道恢复</w:t>
            </w:r>
          </w:p>
        </w:tc>
        <w:tc>
          <w:tcPr/>
          <w:p>
            <w:pPr>
              <w:pStyle w:val="Compact"/>
              <w:jc w:val="left"/>
            </w:pPr>
            <w:r>
              <w:rPr>
                <w:rFonts w:hint="eastAsia"/>
              </w:rPr>
              <w:t xml:space="preserve">来自赛题要求的增产、运输瓶颈和绕道能力设定，并用</w:t>
            </w:r>
            <w:r>
              <w:t xml:space="preserve"> JODI </w:t>
            </w:r>
            <w:r>
              <w:rPr>
                <w:rFonts w:hint="eastAsia"/>
              </w:rPr>
              <w:t xml:space="preserve">多国月度产量、进出口和炼厂产出作数量级校验。</w:t>
            </w:r>
          </w:p>
        </w:tc>
        <w:tc>
          <w:tcPr/>
          <w:p>
            <w:pPr>
              <w:pStyle w:val="Compact"/>
              <w:jc w:val="left"/>
            </w:pPr>
            <w:r>
              <w:rPr>
                <w:rFonts w:hint="eastAsia"/>
              </w:rPr>
              <w:t xml:space="preserve">用于长期条件外推；JODI</w:t>
            </w:r>
            <w:r>
              <w:t xml:space="preserve"> </w:t>
            </w:r>
            <w:r>
              <w:rPr>
                <w:rFonts w:hint="eastAsia"/>
              </w:rPr>
              <w:t xml:space="preserve">按多国上报口径解释，不等同完整全球总量。</w:t>
            </w:r>
          </w:p>
        </w:tc>
      </w:tr>
    </w:tbl>
    <w:bookmarkEnd w:id="116"/>
    <w:p>
      <w:pPr>
        <w:pStyle w:val="BodyText"/>
      </w:pPr>
      <w:r>
        <w:rPr>
          <w:rFonts w:hint="eastAsia"/>
          <w:b/>
          <w:bCs/>
        </w:rPr>
        <w:t xml:space="preserve">结论</w:t>
      </w:r>
      <w:r>
        <w:rPr>
          <w:rFonts w:hint="eastAsia"/>
        </w:rPr>
        <w:t xml:space="preserve">中长期参数用于描述机制强弱和恢复速度。本文把这些参数显式列出、放入扰动区间，并用敏感性和蒙特卡洛结果报告其不确定性。</w:t>
      </w:r>
    </w:p>
    <w:p>
      <w:pPr>
        <w:pStyle w:val="TableCaption"/>
      </w:pPr>
      <w:r>
        <w:rPr>
          <w:rFonts w:hint="eastAsia"/>
        </w:rPr>
        <w:t xml:space="preserve">三情景关键参数</w:t>
      </w:r>
    </w:p>
    <w:tbl>
      <w:tblPr>
        <w:tblStyle w:val="Table"/>
        <w:tblW w:type="auto" w:w="0"/>
        <w:tblLook w:firstRow="1" w:lastRow="0" w:firstColumn="0" w:lastColumn="0" w:noHBand="0" w:noVBand="0" w:val="0020"/>
        <w:tblCaption w:val="三情景关键参数"/>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供应中断</w:t>
            </w:r>
          </w:p>
        </w:tc>
        <w:tc>
          <w:tcPr/>
          <w:p>
            <w:pPr>
              <w:pStyle w:val="Compact"/>
              <w:jc w:val="right"/>
            </w:pPr>
            <w:r>
              <w:t xml:space="preserve">SPR </w:t>
            </w:r>
            <w:r>
              <w:rPr>
                <w:rFonts w:hint="eastAsia"/>
              </w:rPr>
              <w:t xml:space="preserve">上限</w:t>
            </w:r>
          </w:p>
        </w:tc>
        <w:tc>
          <w:tcPr/>
          <w:p>
            <w:pPr>
              <w:pStyle w:val="Compact"/>
              <w:jc w:val="right"/>
            </w:pPr>
            <w:r>
              <w:rPr>
                <w:rFonts w:hint="eastAsia"/>
              </w:rPr>
              <w:t xml:space="preserve">绕道能力</w:t>
            </w:r>
          </w:p>
        </w:tc>
        <w:tc>
          <w:tcPr/>
          <w:p>
            <w:pPr>
              <w:pStyle w:val="Compact"/>
              <w:jc w:val="right"/>
            </w:pPr>
            <w:r>
              <w:rPr>
                <w:rFonts w:hint="eastAsia"/>
              </w:rPr>
              <w:t xml:space="preserve">长期弹性</w:t>
            </w:r>
          </w:p>
        </w:tc>
        <w:tc>
          <w:tcPr/>
          <w:p>
            <w:pPr>
              <w:pStyle w:val="Compact"/>
              <w:jc w:val="right"/>
            </w:pPr>
            <w:r>
              <w:rPr>
                <w:rFonts w:hint="eastAsia"/>
              </w:rPr>
              <w:t xml:space="preserve">恐慌衰减</w:t>
            </w:r>
          </w:p>
        </w:tc>
        <w:tc>
          <w:tcPr/>
          <w:p>
            <w:pPr>
              <w:pStyle w:val="Compact"/>
              <w:jc w:val="right"/>
            </w:pPr>
            <w:r>
              <w:rPr>
                <w:rFonts w:hint="eastAsia"/>
              </w:rPr>
              <w:t xml:space="preserve">风险权重</w:t>
            </w:r>
          </w:p>
        </w:tc>
      </w:tr>
      <w:tr>
        <w:tc>
          <w:tcPr/>
          <w:p>
            <w:pPr>
              <w:pStyle w:val="Compact"/>
              <w:jc w:val="left"/>
            </w:pPr>
            <w:r>
              <w:rPr>
                <w:rFonts w:hint="eastAsia"/>
              </w:rPr>
              <w:t xml:space="preserve">乐观</w:t>
            </w:r>
          </w:p>
        </w:tc>
        <w:tc>
          <w:tcPr/>
          <w:p>
            <w:pPr>
              <w:pStyle w:val="Compact"/>
              <w:jc w:val="right"/>
            </w:pPr>
            <w:r>
              <w:t xml:space="preserve">1400</w:t>
            </w:r>
          </w:p>
        </w:tc>
        <w:tc>
          <w:tcPr/>
          <w:p>
            <w:pPr>
              <w:pStyle w:val="Compact"/>
              <w:jc w:val="right"/>
            </w:pPr>
            <w:r>
              <w:t xml:space="preserve">700</w:t>
            </w:r>
          </w:p>
        </w:tc>
        <w:tc>
          <w:tcPr/>
          <w:p>
            <w:pPr>
              <w:pStyle w:val="Compact"/>
              <w:jc w:val="right"/>
            </w:pPr>
            <w:r>
              <w:t xml:space="preserve">300</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2.02</w:t>
            </w:r>
          </w:p>
        </w:tc>
      </w:tr>
      <w:tr>
        <w:tc>
          <w:tcPr/>
          <w:p>
            <w:pPr>
              <w:pStyle w:val="Compact"/>
              <w:jc w:val="left"/>
            </w:pPr>
            <w:r>
              <w:rPr>
                <w:rFonts w:hint="eastAsia"/>
              </w:rPr>
              <w:t xml:space="preserve">中性</w:t>
            </w:r>
          </w:p>
        </w:tc>
        <w:tc>
          <w:tcPr/>
          <w:p>
            <w:pPr>
              <w:pStyle w:val="Compact"/>
              <w:jc w:val="right"/>
            </w:pPr>
            <w:r>
              <w:t xml:space="preserve">1493</w:t>
            </w:r>
          </w:p>
        </w:tc>
        <w:tc>
          <w:tcPr/>
          <w:p>
            <w:pPr>
              <w:pStyle w:val="Compact"/>
              <w:jc w:val="right"/>
            </w:pPr>
            <w:r>
              <w:t xml:space="preserve">670</w:t>
            </w:r>
          </w:p>
        </w:tc>
        <w:tc>
          <w:tcPr/>
          <w:p>
            <w:pPr>
              <w:pStyle w:val="Compact"/>
              <w:jc w:val="right"/>
            </w:pPr>
            <w:r>
              <w:t xml:space="preserve">237</w:t>
            </w:r>
          </w:p>
        </w:tc>
        <w:tc>
          <w:tcPr/>
          <w:p>
            <w:pPr>
              <w:pStyle w:val="Compact"/>
              <w:jc w:val="right"/>
            </w:pPr>
            <w:r>
              <w:t xml:space="preserve">-0.25</w:t>
            </w:r>
          </w:p>
        </w:tc>
        <w:tc>
          <w:tcPr/>
          <w:p>
            <w:pPr>
              <w:pStyle w:val="Compact"/>
              <w:jc w:val="right"/>
            </w:pPr>
            <w:r>
              <w:t xml:space="preserve">0.11</w:t>
            </w:r>
          </w:p>
        </w:tc>
        <w:tc>
          <w:tcPr/>
          <w:p>
            <w:pPr>
              <w:pStyle w:val="Compact"/>
              <w:jc w:val="right"/>
            </w:pPr>
            <w:r>
              <w:t xml:space="preserve">2.46</w:t>
            </w:r>
          </w:p>
        </w:tc>
      </w:tr>
      <w:tr>
        <w:tc>
          <w:tcPr/>
          <w:p>
            <w:pPr>
              <w:pStyle w:val="Compact"/>
              <w:jc w:val="left"/>
            </w:pPr>
            <w:r>
              <w:rPr>
                <w:rFonts w:hint="eastAsia"/>
              </w:rPr>
              <w:t xml:space="preserve">悲观</w:t>
            </w:r>
          </w:p>
        </w:tc>
        <w:tc>
          <w:tcPr/>
          <w:p>
            <w:pPr>
              <w:pStyle w:val="Compact"/>
              <w:jc w:val="right"/>
            </w:pPr>
            <w:r>
              <w:t xml:space="preserve">1800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3.32</w:t>
            </w:r>
          </w:p>
        </w:tc>
      </w:tr>
    </w:tbl>
    <w:p>
      <w:pPr>
        <w:pStyle w:val="BodyText"/>
      </w:pPr>
      <w:r>
        <w:rPr>
          <w:rFonts w:hint="eastAsia"/>
        </w:rPr>
        <w:t xml:space="preserve">三情景参数并非三组孤立猜测。乐观情景代表高</w:t>
      </w:r>
      <w:r>
        <w:t xml:space="preserve"> SPR </w:t>
      </w:r>
      <w:r>
        <w:rPr>
          <w:rFonts w:hint="eastAsia"/>
        </w:rPr>
        <w:t xml:space="preserve">可用量、绕道恢复较充分、长期需求调整较快；悲观情景代表供应中断接近上界、SPR</w:t>
      </w:r>
      <w:r>
        <w:t xml:space="preserve"> </w:t>
      </w:r>
      <w:r>
        <w:rPr>
          <w:rFonts w:hint="eastAsia"/>
        </w:rPr>
        <w:t xml:space="preserve">释放受限、绕道能力偏低且制度风险溢价持续；中性情景则采用综合最优参数附近的中心设定。后续敏感性分析和蒙特卡洛抽样用于检验：当这些假设联合变化时，价格中心路径和尾部风险是否仍保持一致。</w:t>
      </w:r>
    </w:p>
    <w:p>
      <w:pPr>
        <w:pStyle w:val="BodyText"/>
      </w:pPr>
      <w:r>
        <w:rPr>
          <w:rFonts w:hint="eastAsia"/>
        </w:rPr>
        <w:t xml:space="preserve">在补充官方外生数据后，本文将</w:t>
      </w:r>
      <w:r>
        <w:t xml:space="preserve"> EIA、JODI </w:t>
      </w:r>
      <w:r>
        <w:rPr>
          <w:rFonts w:hint="eastAsia"/>
        </w:rPr>
        <w:t xml:space="preserve">与</w:t>
      </w:r>
      <w:r>
        <w:t xml:space="preserve"> OPEC </w:t>
      </w:r>
      <w:r>
        <w:rPr>
          <w:rFonts w:hint="eastAsia"/>
        </w:rPr>
        <w:t xml:space="preserve">从</w:t>
      </w:r>
      <w:r>
        <w:rPr>
          <w:rFonts w:hint="eastAsia"/>
        </w:rPr>
        <w:t xml:space="preserve">“论文证据层”</w:t>
      </w:r>
      <w:r>
        <w:rPr>
          <w:rFonts w:hint="eastAsia"/>
        </w:rPr>
        <w:t xml:space="preserve">推进到</w:t>
      </w:r>
      <w:r>
        <w:rPr>
          <w:rFonts w:hint="eastAsia"/>
        </w:rPr>
        <w:t xml:space="preserve">“中长期参数约束层”</w:t>
      </w:r>
      <w:r>
        <w:rPr>
          <w:rFonts w:hint="eastAsia"/>
        </w:rPr>
        <w:t xml:space="preserve">。具体做法是由</w:t>
      </w:r>
      <w:r>
        <w:t xml:space="preserve"> JODI </w:t>
      </w:r>
      <w:r>
        <w:rPr>
          <w:rFonts w:hint="eastAsia"/>
        </w:rPr>
        <w:t xml:space="preserve">多国同口径产量、库存、进出口、需求、炼厂产出、EIA</w:t>
      </w:r>
      <w:r>
        <w:t xml:space="preserve"> </w:t>
      </w:r>
      <w:r>
        <w:rPr>
          <w:rFonts w:hint="eastAsia"/>
        </w:rPr>
        <w:t xml:space="preserve">美国</w:t>
      </w:r>
      <w:r>
        <w:t xml:space="preserve"> SPR </w:t>
      </w:r>
      <w:r>
        <w:rPr>
          <w:rFonts w:hint="eastAsia"/>
        </w:rPr>
        <w:t xml:space="preserve">和商业库存变化，以及</w:t>
      </w:r>
      <w:r>
        <w:t xml:space="preserve"> OPEC </w:t>
      </w:r>
      <w:r>
        <w:rPr>
          <w:rFonts w:hint="eastAsia"/>
        </w:rPr>
        <w:t xml:space="preserve">全球供需平衡表中的需求增量、非</w:t>
      </w:r>
      <w:r>
        <w:t xml:space="preserve"> DoC </w:t>
      </w:r>
      <w:r>
        <w:rPr>
          <w:rFonts w:hint="eastAsia"/>
        </w:rPr>
        <w:t xml:space="preserve">供给增量和</w:t>
      </w:r>
      <w:r>
        <w:t xml:space="preserve"> DoC </w:t>
      </w:r>
      <w:r>
        <w:rPr>
          <w:rFonts w:hint="eastAsia"/>
        </w:rPr>
        <w:t xml:space="preserve">原油需求差额生成温和乘数，对绕道能力、库存缓冲、需求收缩、长期弹性、SPR</w:t>
      </w:r>
      <w:r>
        <w:t xml:space="preserve"> </w:t>
      </w:r>
      <w:r>
        <w:rPr>
          <w:rFonts w:hint="eastAsia"/>
        </w:rPr>
        <w:t xml:space="preserve">上限可信度和风险权重进行约束。得到的乘数见</w:t>
      </w:r>
      <w:hyperlink w:anchor="tab:official-factor-multipliers">
        <w:r>
          <w:rPr>
            <w:rStyle w:val="Hyperlink"/>
          </w:rPr>
          <w:t xml:space="preserve">9</w:t>
        </w:r>
      </w:hyperlink>
      <w:r>
        <w:t xml:space="preserve">。</w:t>
      </w:r>
    </w:p>
    <w:bookmarkStart w:id="117" w:name="tab:official-factor-multipliers"/>
    <w:p>
      <w:pPr>
        <w:pStyle w:val="TableCaption"/>
      </w:pPr>
      <w:r>
        <w:rPr>
          <w:rFonts w:hint="eastAsia"/>
        </w:rPr>
        <w:t xml:space="preserve">官方外生数据生成的中长期参数约束因子</w:t>
      </w:r>
    </w:p>
    <w:tbl>
      <w:tblPr>
        <w:tblStyle w:val="Table"/>
        <w:tblW w:type="auto" w:w="0"/>
        <w:tblLook w:firstRow="1" w:lastRow="0" w:firstColumn="0" w:lastColumn="0" w:noHBand="0" w:noVBand="0" w:val="0020"/>
        <w:tblCaption w:val="官方外生数据生成的中长期参数约束因子"/>
      </w:tblPr>
      <w:tblGrid>
        <w:gridCol w:w="2640"/>
        <w:gridCol w:w="2640"/>
        <w:gridCol w:w="2640"/>
      </w:tblGrid>
      <w:tr>
        <w:trPr>
          <w:tblHeader w:val="on"/>
        </w:trPr>
        <w:tc>
          <w:tcPr/>
          <w:p>
            <w:pPr>
              <w:pStyle w:val="Compact"/>
              <w:jc w:val="left"/>
            </w:pPr>
            <w:r>
              <w:rPr>
                <w:rFonts w:hint="eastAsia"/>
              </w:rPr>
              <w:t xml:space="preserve">约束因子</w:t>
            </w:r>
          </w:p>
        </w:tc>
        <w:tc>
          <w:tcPr/>
          <w:p>
            <w:pPr>
              <w:pStyle w:val="Compact"/>
              <w:jc w:val="right"/>
            </w:pPr>
            <w:r>
              <w:rPr>
                <w:rFonts w:hint="eastAsia"/>
              </w:rPr>
              <w:t xml:space="preserve">乘数</w:t>
            </w:r>
          </w:p>
        </w:tc>
        <w:tc>
          <w:tcPr/>
          <w:p>
            <w:pPr>
              <w:pStyle w:val="Compact"/>
              <w:jc w:val="left"/>
            </w:pPr>
            <w:r>
              <w:rPr>
                <w:rFonts w:hint="eastAsia"/>
              </w:rPr>
              <w:t xml:space="preserve">解释</w:t>
            </w:r>
          </w:p>
        </w:tc>
      </w:tr>
      <w:tr>
        <w:tc>
          <w:tcPr/>
          <w:p>
            <w:pPr>
              <w:pStyle w:val="Compact"/>
              <w:jc w:val="left"/>
            </w:pPr>
            <w:r>
              <w:rPr>
                <w:rFonts w:hint="eastAsia"/>
              </w:rPr>
              <w:t xml:space="preserve">绕道和替代贸易恢复能力</w:t>
            </w:r>
          </w:p>
        </w:tc>
        <w:tc>
          <w:tcPr/>
          <w:p>
            <w:pPr>
              <w:pStyle w:val="Compact"/>
              <w:jc w:val="right"/>
            </w:pPr>
            <w:r>
              <w:t xml:space="preserve">0.9725</w:t>
            </w:r>
          </w:p>
        </w:tc>
        <w:tc>
          <w:tcPr/>
          <w:p>
            <w:pPr>
              <w:pStyle w:val="Compact"/>
              <w:jc w:val="left"/>
            </w:pPr>
            <w:r>
              <w:t xml:space="preserve">JODI </w:t>
            </w:r>
            <w:r>
              <w:rPr>
                <w:rFonts w:hint="eastAsia"/>
              </w:rPr>
              <w:t xml:space="preserve">进出口同口径收缩，说明替代贸易恢复不宜过度乐观</w:t>
            </w:r>
          </w:p>
        </w:tc>
      </w:tr>
      <w:tr>
        <w:tc>
          <w:tcPr/>
          <w:p>
            <w:pPr>
              <w:pStyle w:val="Compact"/>
              <w:jc w:val="left"/>
            </w:pPr>
            <w:r>
              <w:rPr>
                <w:rFonts w:hint="eastAsia"/>
              </w:rPr>
              <w:t xml:space="preserve">商业库存日缓冲上限</w:t>
            </w:r>
          </w:p>
        </w:tc>
        <w:tc>
          <w:tcPr/>
          <w:p>
            <w:pPr>
              <w:pStyle w:val="Compact"/>
              <w:jc w:val="right"/>
            </w:pPr>
            <w:r>
              <w:t xml:space="preserve">1.0739</w:t>
            </w:r>
          </w:p>
        </w:tc>
        <w:tc>
          <w:tcPr/>
          <w:p>
            <w:pPr>
              <w:pStyle w:val="Compact"/>
              <w:jc w:val="left"/>
            </w:pPr>
            <w:r>
              <w:t xml:space="preserve">JODI </w:t>
            </w:r>
            <w:r>
              <w:rPr>
                <w:rFonts w:hint="eastAsia"/>
              </w:rPr>
              <w:t xml:space="preserve">原油/成品油库存和</w:t>
            </w:r>
            <w:r>
              <w:t xml:space="preserve"> EIA </w:t>
            </w:r>
            <w:r>
              <w:rPr>
                <w:rFonts w:hint="eastAsia"/>
              </w:rPr>
              <w:t xml:space="preserve">商业库存均提供缓冲数量级支撑</w:t>
            </w:r>
          </w:p>
        </w:tc>
      </w:tr>
      <w:tr>
        <w:tc>
          <w:tcPr/>
          <w:p>
            <w:pPr>
              <w:pStyle w:val="Compact"/>
              <w:jc w:val="left"/>
            </w:pPr>
            <w:r>
              <w:rPr>
                <w:rFonts w:hint="eastAsia"/>
              </w:rPr>
              <w:t xml:space="preserve">长期需求收缩幅度</w:t>
            </w:r>
          </w:p>
        </w:tc>
        <w:tc>
          <w:tcPr/>
          <w:p>
            <w:pPr>
              <w:pStyle w:val="Compact"/>
              <w:jc w:val="right"/>
            </w:pPr>
            <w:r>
              <w:t xml:space="preserve">0.9560</w:t>
            </w:r>
          </w:p>
        </w:tc>
        <w:tc>
          <w:tcPr/>
          <w:p>
            <w:pPr>
              <w:pStyle w:val="Compact"/>
              <w:jc w:val="left"/>
            </w:pPr>
            <w:r>
              <w:t xml:space="preserve">JODI </w:t>
            </w:r>
            <w:r>
              <w:rPr>
                <w:rFonts w:hint="eastAsia"/>
              </w:rPr>
              <w:t xml:space="preserve">与</w:t>
            </w:r>
            <w:r>
              <w:t xml:space="preserve"> OPEC </w:t>
            </w:r>
            <w:r>
              <w:rPr>
                <w:rFonts w:hint="eastAsia"/>
              </w:rPr>
              <w:t xml:space="preserve">均显示需求韧性，需求破坏不宜设得过强</w:t>
            </w:r>
          </w:p>
        </w:tc>
      </w:tr>
      <w:tr>
        <w:tc>
          <w:tcPr/>
          <w:p>
            <w:pPr>
              <w:pStyle w:val="Compact"/>
              <w:jc w:val="left"/>
            </w:pPr>
            <w:r>
              <w:rPr>
                <w:rFonts w:hint="eastAsia"/>
              </w:rPr>
              <w:t xml:space="preserve">长期需求弹性绝对值</w:t>
            </w:r>
          </w:p>
        </w:tc>
        <w:tc>
          <w:tcPr/>
          <w:p>
            <w:pPr>
              <w:pStyle w:val="Compact"/>
              <w:jc w:val="right"/>
            </w:pPr>
            <w:r>
              <w:t xml:space="preserve">0.9750</w:t>
            </w:r>
          </w:p>
        </w:tc>
        <w:tc>
          <w:tcPr/>
          <w:p>
            <w:pPr>
              <w:pStyle w:val="Compact"/>
              <w:jc w:val="left"/>
            </w:pPr>
            <w:r>
              <w:rPr>
                <w:rFonts w:hint="eastAsia"/>
              </w:rPr>
              <w:t xml:space="preserve">高价下需求会调整，但</w:t>
            </w:r>
            <w:r>
              <w:t xml:space="preserve"> OPEC </w:t>
            </w:r>
            <w:r>
              <w:rPr>
                <w:rFonts w:hint="eastAsia"/>
              </w:rPr>
              <w:t xml:space="preserve">正常需求增长使长期弹性略收敛</w:t>
            </w:r>
          </w:p>
        </w:tc>
      </w:tr>
      <w:tr>
        <w:tc>
          <w:tcPr/>
          <w:p>
            <w:pPr>
              <w:pStyle w:val="Compact"/>
              <w:jc w:val="left"/>
            </w:pPr>
            <w:r>
              <w:t xml:space="preserve">SPR </w:t>
            </w:r>
            <w:r>
              <w:rPr>
                <w:rFonts w:hint="eastAsia"/>
              </w:rPr>
              <w:t xml:space="preserve">释放上限可信度</w:t>
            </w:r>
          </w:p>
        </w:tc>
        <w:tc>
          <w:tcPr/>
          <w:p>
            <w:pPr>
              <w:pStyle w:val="Compact"/>
              <w:jc w:val="right"/>
            </w:pPr>
            <w:r>
              <w:t xml:space="preserve">0.9672</w:t>
            </w:r>
          </w:p>
        </w:tc>
        <w:tc>
          <w:tcPr/>
          <w:p>
            <w:pPr>
              <w:pStyle w:val="Compact"/>
              <w:jc w:val="left"/>
            </w:pPr>
            <w:r>
              <w:t xml:space="preserve">EIA </w:t>
            </w:r>
            <w:r>
              <w:rPr>
                <w:rFonts w:hint="eastAsia"/>
              </w:rPr>
              <w:t xml:space="preserve">美国</w:t>
            </w:r>
            <w:r>
              <w:t xml:space="preserve"> SPR </w:t>
            </w:r>
            <w:r>
              <w:rPr>
                <w:rFonts w:hint="eastAsia"/>
              </w:rPr>
              <w:t xml:space="preserve">实际释放较温和，因此全球协调释放上限作小幅折扣</w:t>
            </w:r>
          </w:p>
        </w:tc>
      </w:tr>
      <w:tr>
        <w:tc>
          <w:tcPr/>
          <w:p>
            <w:pPr>
              <w:pStyle w:val="Compact"/>
              <w:jc w:val="left"/>
            </w:pPr>
            <w:r>
              <w:rPr>
                <w:rFonts w:hint="eastAsia"/>
              </w:rPr>
              <w:t xml:space="preserve">贸易收缩风险权重</w:t>
            </w:r>
          </w:p>
        </w:tc>
        <w:tc>
          <w:tcPr/>
          <w:p>
            <w:pPr>
              <w:pStyle w:val="Compact"/>
              <w:jc w:val="right"/>
            </w:pPr>
            <w:r>
              <w:t xml:space="preserve">1.0543</w:t>
            </w:r>
          </w:p>
        </w:tc>
        <w:tc>
          <w:tcPr/>
          <w:p>
            <w:pPr>
              <w:pStyle w:val="Compact"/>
              <w:jc w:val="left"/>
            </w:pPr>
            <w:r>
              <w:t xml:space="preserve">JODI </w:t>
            </w:r>
            <w:r>
              <w:rPr>
                <w:rFonts w:hint="eastAsia"/>
              </w:rPr>
              <w:t xml:space="preserve">进出口收缩叠加</w:t>
            </w:r>
            <w:r>
              <w:t xml:space="preserve"> OPEC DoC </w:t>
            </w:r>
            <w:r>
              <w:rPr>
                <w:rFonts w:hint="eastAsia"/>
              </w:rPr>
              <w:t xml:space="preserve">需求差额上升，抬升尾部风险</w:t>
            </w:r>
          </w:p>
        </w:tc>
      </w:tr>
      <w:tr>
        <w:tc>
          <w:tcPr/>
          <w:p>
            <w:pPr>
              <w:pStyle w:val="Compact"/>
              <w:jc w:val="left"/>
            </w:pPr>
            <w:r>
              <w:rPr>
                <w:rFonts w:hint="eastAsia"/>
              </w:rPr>
              <w:t xml:space="preserve">长期不确定性强度</w:t>
            </w:r>
          </w:p>
        </w:tc>
        <w:tc>
          <w:tcPr/>
          <w:p>
            <w:pPr>
              <w:pStyle w:val="Compact"/>
              <w:jc w:val="right"/>
            </w:pPr>
            <w:r>
              <w:t xml:space="preserve">1.0303</w:t>
            </w:r>
          </w:p>
        </w:tc>
        <w:tc>
          <w:tcPr/>
          <w:p>
            <w:pPr>
              <w:pStyle w:val="Compact"/>
              <w:jc w:val="left"/>
            </w:pPr>
            <w:r>
              <w:rPr>
                <w:rFonts w:hint="eastAsia"/>
              </w:rPr>
              <w:t xml:space="preserve">贸易收缩和下半年需求差额峰值使制度风险略上调</w:t>
            </w:r>
          </w:p>
        </w:tc>
      </w:tr>
    </w:tbl>
    <w:bookmarkEnd w:id="117"/>
    <w:bookmarkEnd w:id="118"/>
    <w:bookmarkStart w:id="136" w:name="预测结果"/>
    <w:p>
      <w:pPr>
        <w:pStyle w:val="Heading2"/>
      </w:pPr>
      <w:r>
        <w:rPr>
          <w:rFonts w:hint="eastAsia"/>
        </w:rPr>
        <w:t xml:space="preserve">预测结果</w:t>
      </w:r>
    </w:p>
    <w:p>
      <w:pPr>
        <w:pStyle w:val="TableCaption"/>
      </w:pPr>
      <w:r>
        <w:rPr>
          <w:rFonts w:hint="eastAsia"/>
        </w:rPr>
        <w:t xml:space="preserve">中长期油价调节模型的</w:t>
      </w:r>
      <w:r>
        <w:t xml:space="preserve"> 60–180 </w:t>
      </w:r>
      <w:r>
        <w:rPr>
          <w:rFonts w:hint="eastAsia"/>
        </w:rPr>
        <w:t xml:space="preserve">天三情景预测结果</w:t>
      </w:r>
    </w:p>
    <w:tbl>
      <w:tblPr>
        <w:tblStyle w:val="Table"/>
        <w:tblW w:type="auto" w:w="0"/>
        <w:tblLook w:firstRow="1" w:lastRow="0" w:firstColumn="0" w:lastColumn="0" w:noHBand="0" w:noVBand="0" w:val="0020"/>
        <w:tblCaption w:val="中长期油价调节模型的 60–180 天三情景预测结果"/>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第60天</w:t>
            </w:r>
          </w:p>
        </w:tc>
        <w:tc>
          <w:tcPr/>
          <w:p>
            <w:pPr>
              <w:pStyle w:val="Compact"/>
              <w:jc w:val="right"/>
            </w:pPr>
            <w:r>
              <w:rPr>
                <w:rFonts w:hint="eastAsia"/>
              </w:rPr>
              <w:t xml:space="preserve">第90天</w:t>
            </w:r>
          </w:p>
        </w:tc>
        <w:tc>
          <w:tcPr/>
          <w:p>
            <w:pPr>
              <w:pStyle w:val="Compact"/>
              <w:jc w:val="right"/>
            </w:pPr>
            <w:r>
              <w:rPr>
                <w:rFonts w:hint="eastAsia"/>
              </w:rPr>
              <w:t xml:space="preserve">第120天</w:t>
            </w:r>
          </w:p>
        </w:tc>
        <w:tc>
          <w:tcPr/>
          <w:p>
            <w:pPr>
              <w:pStyle w:val="Compact"/>
              <w:jc w:val="right"/>
            </w:pPr>
            <w:r>
              <w:rPr>
                <w:rFonts w:hint="eastAsia"/>
              </w:rPr>
              <w:t xml:space="preserve">第180天</w:t>
            </w:r>
          </w:p>
        </w:tc>
        <w:tc>
          <w:tcPr/>
          <w:p>
            <w:pPr>
              <w:pStyle w:val="Compact"/>
              <w:jc w:val="right"/>
            </w:pPr>
            <w:r>
              <w:rPr>
                <w:rFonts w:hint="eastAsia"/>
              </w:rPr>
              <w:t xml:space="preserve">外推期最高价</w:t>
            </w:r>
          </w:p>
        </w:tc>
        <w:tc>
          <w:tcPr/>
          <w:p>
            <w:pPr>
              <w:pStyle w:val="Compact"/>
              <w:jc w:val="right"/>
            </w:pPr>
            <w:r>
              <w:rPr>
                <w:rFonts w:hint="eastAsia"/>
              </w:rPr>
              <w:t xml:space="preserve">外推期均价</w:t>
            </w:r>
          </w:p>
        </w:tc>
        <w:tc>
          <w:tcPr/>
          <w:p>
            <w:pPr>
              <w:pStyle w:val="Compact"/>
              <w:jc w:val="right"/>
            </w:pPr>
            <w:r>
              <w:rPr>
                <w:rFonts w:hint="eastAsia"/>
              </w:rPr>
              <w:t xml:space="preserve">风险</w:t>
            </w:r>
          </w:p>
        </w:tc>
      </w:tr>
      <w:tr>
        <w:tc>
          <w:tcPr/>
          <w:p>
            <w:pPr>
              <w:pStyle w:val="Compact"/>
              <w:jc w:val="left"/>
            </w:pPr>
            <w:r>
              <w:rPr>
                <w:rFonts w:hint="eastAsia"/>
              </w:rPr>
              <w:t xml:space="preserve">乐观</w:t>
            </w:r>
          </w:p>
        </w:tc>
        <w:tc>
          <w:tcPr/>
          <w:p>
            <w:pPr>
              <w:pStyle w:val="Compact"/>
              <w:jc w:val="right"/>
            </w:pPr>
            <w:r>
              <w:t xml:space="preserve">109.77</w:t>
            </w:r>
          </w:p>
        </w:tc>
        <w:tc>
          <w:tcPr/>
          <w:p>
            <w:pPr>
              <w:pStyle w:val="Compact"/>
              <w:jc w:val="right"/>
            </w:pPr>
            <w:r>
              <w:t xml:space="preserve">94.36</w:t>
            </w:r>
          </w:p>
        </w:tc>
        <w:tc>
          <w:tcPr/>
          <w:p>
            <w:pPr>
              <w:pStyle w:val="Compact"/>
              <w:jc w:val="right"/>
            </w:pPr>
            <w:r>
              <w:t xml:space="preserve">92.79</w:t>
            </w:r>
          </w:p>
        </w:tc>
        <w:tc>
          <w:tcPr/>
          <w:p>
            <w:pPr>
              <w:pStyle w:val="Compact"/>
              <w:jc w:val="right"/>
            </w:pPr>
            <w:r>
              <w:t xml:space="preserve">87.78</w:t>
            </w:r>
          </w:p>
        </w:tc>
        <w:tc>
          <w:tcPr/>
          <w:p>
            <w:pPr>
              <w:pStyle w:val="Compact"/>
              <w:jc w:val="right"/>
            </w:pPr>
            <w:r>
              <w:t xml:space="preserve">103.79</w:t>
            </w:r>
          </w:p>
        </w:tc>
        <w:tc>
          <w:tcPr/>
          <w:p>
            <w:pPr>
              <w:pStyle w:val="Compact"/>
              <w:jc w:val="right"/>
            </w:pPr>
            <w:r>
              <w:t xml:space="preserve">92.16</w:t>
            </w:r>
          </w:p>
        </w:tc>
        <w:tc>
          <w:tcPr/>
          <w:p>
            <w:pPr>
              <w:pStyle w:val="Compact"/>
              <w:jc w:val="right"/>
            </w:pPr>
            <w:r>
              <w:rPr>
                <w:rFonts w:hint="eastAsia"/>
              </w:rPr>
              <w:t xml:space="preserve">低</w:t>
            </w:r>
          </w:p>
        </w:tc>
      </w:tr>
      <w:tr>
        <w:tc>
          <w:tcPr/>
          <w:p>
            <w:pPr>
              <w:pStyle w:val="Compact"/>
              <w:jc w:val="left"/>
            </w:pPr>
            <w:r>
              <w:rPr>
                <w:rFonts w:hint="eastAsia"/>
              </w:rPr>
              <w:t xml:space="preserve">中性</w:t>
            </w:r>
          </w:p>
        </w:tc>
        <w:tc>
          <w:tcPr/>
          <w:p>
            <w:pPr>
              <w:pStyle w:val="Compact"/>
              <w:jc w:val="right"/>
            </w:pPr>
            <w:r>
              <w:t xml:space="preserve">109.77</w:t>
            </w:r>
          </w:p>
        </w:tc>
        <w:tc>
          <w:tcPr/>
          <w:p>
            <w:pPr>
              <w:pStyle w:val="Compact"/>
              <w:jc w:val="right"/>
            </w:pPr>
            <w:r>
              <w:t xml:space="preserve">107.12</w:t>
            </w:r>
          </w:p>
        </w:tc>
        <w:tc>
          <w:tcPr/>
          <w:p>
            <w:pPr>
              <w:pStyle w:val="Compact"/>
              <w:jc w:val="right"/>
            </w:pPr>
            <w:r>
              <w:t xml:space="preserve">102.43</w:t>
            </w:r>
          </w:p>
        </w:tc>
        <w:tc>
          <w:tcPr/>
          <w:p>
            <w:pPr>
              <w:pStyle w:val="Compact"/>
              <w:jc w:val="right"/>
            </w:pPr>
            <w:r>
              <w:t xml:space="preserve">94.15</w:t>
            </w:r>
          </w:p>
        </w:tc>
        <w:tc>
          <w:tcPr/>
          <w:p>
            <w:pPr>
              <w:pStyle w:val="Compact"/>
              <w:jc w:val="right"/>
            </w:pPr>
            <w:r>
              <w:t xml:space="preserve">110.68</w:t>
            </w:r>
          </w:p>
        </w:tc>
        <w:tc>
          <w:tcPr/>
          <w:p>
            <w:pPr>
              <w:pStyle w:val="Compact"/>
              <w:jc w:val="right"/>
            </w:pPr>
            <w:r>
              <w:t xml:space="preserve">102.17</w:t>
            </w:r>
          </w:p>
        </w:tc>
        <w:tc>
          <w:tcPr/>
          <w:p>
            <w:pPr>
              <w:pStyle w:val="Compact"/>
              <w:jc w:val="right"/>
            </w:pPr>
            <w:r>
              <w:rPr>
                <w:rFonts w:hint="eastAsia"/>
              </w:rPr>
              <w:t xml:space="preserve">低</w:t>
            </w:r>
          </w:p>
        </w:tc>
      </w:tr>
      <w:tr>
        <w:tc>
          <w:tcPr/>
          <w:p>
            <w:pPr>
              <w:pStyle w:val="Compact"/>
              <w:jc w:val="left"/>
            </w:pPr>
            <w:r>
              <w:rPr>
                <w:rFonts w:hint="eastAsia"/>
              </w:rPr>
              <w:t xml:space="preserve">悲观</w:t>
            </w:r>
          </w:p>
        </w:tc>
        <w:tc>
          <w:tcPr/>
          <w:p>
            <w:pPr>
              <w:pStyle w:val="Compact"/>
              <w:jc w:val="right"/>
            </w:pPr>
            <w:r>
              <w:t xml:space="preserve">109.77</w:t>
            </w:r>
          </w:p>
        </w:tc>
        <w:tc>
          <w:tcPr/>
          <w:p>
            <w:pPr>
              <w:pStyle w:val="Compact"/>
              <w:jc w:val="right"/>
            </w:pPr>
            <w:r>
              <w:t xml:space="preserve">127.81</w:t>
            </w:r>
          </w:p>
        </w:tc>
        <w:tc>
          <w:tcPr/>
          <w:p>
            <w:pPr>
              <w:pStyle w:val="Compact"/>
              <w:jc w:val="right"/>
            </w:pPr>
            <w:r>
              <w:t xml:space="preserve">118.64</w:t>
            </w:r>
          </w:p>
        </w:tc>
        <w:tc>
          <w:tcPr/>
          <w:p>
            <w:pPr>
              <w:pStyle w:val="Compact"/>
              <w:jc w:val="right"/>
            </w:pPr>
            <w:r>
              <w:t xml:space="preserve">110.16</w:t>
            </w:r>
          </w:p>
        </w:tc>
        <w:tc>
          <w:tcPr/>
          <w:p>
            <w:pPr>
              <w:pStyle w:val="Compact"/>
              <w:jc w:val="right"/>
            </w:pPr>
            <w:r>
              <w:t xml:space="preserve">133.91</w:t>
            </w:r>
          </w:p>
        </w:tc>
        <w:tc>
          <w:tcPr/>
          <w:p>
            <w:pPr>
              <w:pStyle w:val="Compact"/>
              <w:jc w:val="right"/>
            </w:pPr>
            <w:r>
              <w:t xml:space="preserve">120.01</w:t>
            </w:r>
          </w:p>
        </w:tc>
        <w:tc>
          <w:tcPr/>
          <w:p>
            <w:pPr>
              <w:pStyle w:val="Compact"/>
              <w:jc w:val="right"/>
            </w:pPr>
            <w:r>
              <w:rPr>
                <w:rFonts w:hint="eastAsia"/>
              </w:rPr>
              <w:t xml:space="preserve">高</w:t>
            </w:r>
          </w:p>
        </w:tc>
      </w:tr>
    </w:tbl>
    <w:bookmarkStart w:id="122" w:name="fig:long-term-fan"/>
    <w:p>
      <w:pPr>
        <w:pStyle w:val="CaptionedFigure"/>
      </w:pPr>
      <w:r>
        <w:drawing>
          <wp:inline>
            <wp:extent cx="5227320" cy="2777013"/>
            <wp:effectExtent b="0" l="0" r="0" t="0"/>
            <wp:docPr descr="" title="" id="120" name="Picture"/>
            <a:graphic>
              <a:graphicData uri="http://schemas.openxmlformats.org/drawingml/2006/picture">
                <pic:pic>
                  <pic:nvPicPr>
                    <pic:cNvPr descr="蒙特卡洛情景树高级组合图.png" id="121" name="Picture"/>
                    <pic:cNvPicPr>
                      <a:picLocks noChangeArrowheads="1" noChangeAspect="1"/>
                    </pic:cNvPicPr>
                  </pic:nvPicPr>
                  <pic:blipFill>
                    <a:blip r:embed="rId119"/>
                    <a:stretch>
                      <a:fillRect/>
                    </a:stretch>
                  </pic:blipFill>
                  <pic:spPr bwMode="auto">
                    <a:xfrm>
                      <a:off x="0" y="0"/>
                      <a:ext cx="5227320" cy="2777013"/>
                    </a:xfrm>
                    <a:prstGeom prst="rect">
                      <a:avLst/>
                    </a:prstGeom>
                    <a:noFill/>
                    <a:ln w="9525">
                      <a:noFill/>
                      <a:headEnd/>
                      <a:tailEnd/>
                    </a:ln>
                  </pic:spPr>
                </pic:pic>
              </a:graphicData>
            </a:graphic>
          </wp:inline>
        </w:drawing>
      </w:r>
    </w:p>
    <w:p>
      <w:pPr>
        <w:pStyle w:val="ImageCaption"/>
      </w:pPr>
      <w:r>
        <w:rPr>
          <w:rFonts w:hint="eastAsia"/>
        </w:rPr>
        <w:t xml:space="preserve">中长期油价调节模型蒙特卡洛情景树</w:t>
      </w:r>
    </w:p>
    <w:bookmarkEnd w:id="122"/>
    <w:p>
      <w:pPr>
        <w:pStyle w:val="CaptionedFigure"/>
      </w:pPr>
      <w:r>
        <w:drawing>
          <wp:inline>
            <wp:extent cx="5013960" cy="2757678"/>
            <wp:effectExtent b="0" l="0" r="0" t="0"/>
            <wp:docPr descr="" title="" id="124" name="Picture"/>
            <a:graphic>
              <a:graphicData uri="http://schemas.openxmlformats.org/drawingml/2006/picture">
                <pic:pic>
                  <pic:nvPicPr>
                    <pic:cNvPr descr="短期拟合与长期预测总览.png" id="125" name="Picture"/>
                    <pic:cNvPicPr>
                      <a:picLocks noChangeArrowheads="1" noChangeAspect="1"/>
                    </pic:cNvPicPr>
                  </pic:nvPicPr>
                  <pic:blipFill>
                    <a:blip r:embed="rId123"/>
                    <a:stretch>
                      <a:fillRect/>
                    </a:stretch>
                  </pic:blipFill>
                  <pic:spPr bwMode="auto">
                    <a:xfrm>
                      <a:off x="0" y="0"/>
                      <a:ext cx="5013960" cy="2757678"/>
                    </a:xfrm>
                    <a:prstGeom prst="rect">
                      <a:avLst/>
                    </a:prstGeom>
                    <a:noFill/>
                    <a:ln w="9525">
                      <a:noFill/>
                      <a:headEnd/>
                      <a:tailEnd/>
                    </a:ln>
                  </pic:spPr>
                </pic:pic>
              </a:graphicData>
            </a:graphic>
          </wp:inline>
        </w:drawing>
      </w:r>
    </w:p>
    <w:p>
      <w:pPr>
        <w:pStyle w:val="ImageCaption"/>
      </w:pPr>
      <w:r>
        <w:rPr>
          <w:rFonts w:hint="eastAsia"/>
        </w:rPr>
        <w:t xml:space="preserve">短期冲击模型与中长期油价调节模型总览</w:t>
      </w:r>
    </w:p>
    <w:p>
      <w:pPr>
        <w:pStyle w:val="BodyText"/>
      </w:pPr>
      <w:hyperlink w:anchor="fig:long-term-fan">
        <w:r>
          <w:rPr>
            <w:rStyle w:val="Hyperlink"/>
          </w:rPr>
          <w:t xml:space="preserve">7</w:t>
        </w:r>
      </w:hyperlink>
      <w:r>
        <w:t xml:space="preserve"> </w:t>
      </w:r>
      <w:r>
        <w:rPr>
          <w:rFonts w:hint="eastAsia"/>
        </w:rPr>
        <w:t xml:space="preserve">给出中长期油价调节模型的主图。为刻画中心路径之外的事件状态不确定性，本文额外建立状态转移扰动层。该层不改变三情景物理中心路径，而是让未来状态在缓和、维持和升级之间随机切换：缓和状态向乐观中心靠近，维持状态围绕中性中心，升级状态向悲观中心和跳涨方向移动；扰动强度由附件历史价格波动估计后进行保守折扣。进一步地，本文用</w:t>
      </w:r>
      <w:r>
        <w:t xml:space="preserve"> GPR </w:t>
      </w:r>
      <w:r>
        <w:rPr>
          <w:rFonts w:hint="eastAsia"/>
        </w:rPr>
        <w:t xml:space="preserve">事件月历史分位数、OVX</w:t>
      </w:r>
      <w:r>
        <w:t xml:space="preserve"> </w:t>
      </w:r>
      <w:r>
        <w:rPr>
          <w:rFonts w:hint="eastAsia"/>
        </w:rPr>
        <w:t xml:space="preserve">冲突窗口历史分位数以及滞后</w:t>
      </w:r>
      <w:r>
        <w:t xml:space="preserve"> OVX </w:t>
      </w:r>
      <w:r>
        <w:rPr>
          <w:rFonts w:hint="eastAsia"/>
        </w:rPr>
        <w:t xml:space="preserve">与实现波动率相关性生成综合状态转移压力，用于温和提高早中期升级概率。这样得到的中长期图由中心路径、状态概率和尾部区间共同构成。</w:t>
      </w:r>
    </w:p>
    <w:p>
      <w:pPr>
        <w:pStyle w:val="BodyText"/>
      </w:pPr>
      <w:r>
        <w:rPr>
          <w:rFonts w:hint="eastAsia"/>
        </w:rPr>
        <w:t xml:space="preserve">三状态马尔可夫链的基础转移矩阵设为</w:t>
      </w:r>
    </w:p>
    <w:p>
      <w:pPr>
        <w:pStyle w:val="BodyText"/>
      </w:pPr>
      <m:oMathPara>
        <m:oMathParaPr>
          <m:jc m:val="center"/>
        </m:oMathParaPr>
        <m:oMath>
          <m:sSub>
            <m:e>
              <m:r>
                <m:t>M</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0.90</m:t>
                    </m:r>
                  </m:e>
                  <m:e>
                    <m:r>
                      <m:t>0.09</m:t>
                    </m:r>
                  </m:e>
                  <m:e>
                    <m:r>
                      <m:t>0.01</m:t>
                    </m:r>
                  </m:e>
                </m:mr>
                <m:mr>
                  <m:e>
                    <m:r>
                      <m:t>0.16</m:t>
                    </m:r>
                  </m:e>
                  <m:e>
                    <m:r>
                      <m:t>0.78</m:t>
                    </m:r>
                  </m:e>
                  <m:e>
                    <m:r>
                      <m:t>0.06</m:t>
                    </m:r>
                  </m:e>
                </m:mr>
                <m:mr>
                  <m:e>
                    <m:r>
                      <m:t>0.07</m:t>
                    </m:r>
                  </m:e>
                  <m:e>
                    <m:r>
                      <m:t>0.24</m:t>
                    </m:r>
                  </m:e>
                  <m:e>
                    <m:r>
                      <m:t>0.69</m:t>
                    </m:r>
                  </m:e>
                </m:mr>
              </m:m>
            </m:e>
          </m:d>
          <m:r>
            <m:rPr>
              <m:sty m:val="p"/>
            </m:rPr>
            <m:t>,</m:t>
          </m:r>
          <m:r>
            <m:t> </m:t>
          </m:r>
          <m:r>
            <m:rPr>
              <m:nor/>
              <m:sty m:val="p"/>
            </m:rPr>
            <m:t>行、列顺序均为 </m:t>
          </m:r>
          <m:r>
            <m:rPr>
              <m:sty m:val="p"/>
            </m:rPr>
            <m:t>(</m:t>
          </m:r>
          <m:r>
            <m:rPr>
              <m:nor/>
              <m:sty m:val="p"/>
            </m:rPr>
            <m:t>缓和</m:t>
          </m:r>
          <m:r>
            <m:rPr>
              <m:sty m:val="p"/>
            </m:rPr>
            <m:t>,</m:t>
          </m:r>
          <m:r>
            <m:rPr>
              <m:nor/>
              <m:sty m:val="p"/>
            </m:rPr>
            <m:t>维持</m:t>
          </m:r>
          <m:r>
            <m:rPr>
              <m:sty m:val="p"/>
            </m:rPr>
            <m:t>,</m:t>
          </m:r>
          <m:r>
            <m:rPr>
              <m:nor/>
              <m:sty m:val="p"/>
            </m:rPr>
            <m:t>升级</m:t>
          </m:r>
          <m:r>
            <m:rPr>
              <m:sty m:val="p"/>
            </m:rPr>
            <m:t>)</m:t>
          </m:r>
          <m:r>
            <m:rPr>
              <m:sty m:val="p"/>
            </m:rPr>
            <m:t>.</m:t>
          </m:r>
        </m:oMath>
      </m:oMathPara>
    </w:p>
    <w:p>
      <w:pPr>
        <w:pStyle w:val="FirstParagraph"/>
      </w:pPr>
      <w:r>
        <w:rPr>
          <w:rFonts w:hint="eastAsia"/>
        </w:rPr>
        <w:t xml:space="preserve">矩阵含义见</w:t>
      </w:r>
      <w:hyperlink w:anchor="tab:state-transition-matrix">
        <w:r>
          <w:rPr>
            <w:rStyle w:val="Hyperlink"/>
          </w:rPr>
          <w:t xml:space="preserve">10</w:t>
        </w:r>
      </w:hyperlink>
      <w:r>
        <w:rPr>
          <w:rFonts w:hint="eastAsia"/>
        </w:rPr>
        <w:t xml:space="preserve">。基础矩阵体现三个假设：缓和状态具有较强持续性，维持状态是最常见的中间状态，升级状态也可能持续但更容易回到维持状态。外部风险读数通过综合压力</w:t>
      </w:r>
      <w:r>
        <w:t xml:space="preserve"> </w:t>
      </w:r>
      <m:oMath>
        <m:r>
          <m:t>q</m:t>
        </m:r>
        <m:r>
          <m:rPr>
            <m:sty m:val="p"/>
          </m:rPr>
          <m:t>∈</m:t>
        </m:r>
        <m:r>
          <m:rPr>
            <m:sty m:val="p"/>
          </m:rPr>
          <m:t>[</m:t>
        </m:r>
        <m:r>
          <m:t>0</m:t>
        </m:r>
        <m:r>
          <m:rPr>
            <m:sty m:val="p"/>
          </m:rPr>
          <m:t>,</m:t>
        </m:r>
        <m:r>
          <m:t>1</m:t>
        </m:r>
        <m:r>
          <m:rPr>
            <m:sty m:val="p"/>
          </m:rPr>
          <m:t>]</m:t>
        </m:r>
      </m:oMath>
      <w:r>
        <w:t xml:space="preserve"> </w:t>
      </w:r>
      <w:r>
        <w:rPr>
          <w:rFonts w:hint="eastAsia"/>
        </w:rPr>
        <w:t xml:space="preserve">进入时变矩阵：</w:t>
      </w:r>
    </w:p>
    <w:p>
      <w:pPr>
        <w:pStyle w:val="BodyText"/>
      </w:pPr>
      <m:oMathPara>
        <m:oMathParaPr>
          <m:jc m:val="center"/>
        </m:oMathParaPr>
        <m:oMath>
          <m:r>
            <m:t>q</m:t>
          </m:r>
          <m:r>
            <m:rPr>
              <m:sty m:val="p"/>
            </m:rPr>
            <m:t>=</m:t>
          </m:r>
          <m:r>
            <m:t>0.6</m:t>
          </m:r>
          <m:sSub>
            <m:e>
              <m:r>
                <m:t>q</m:t>
              </m:r>
            </m:e>
            <m:sub>
              <m:r>
                <m:rPr>
                  <m:sty m:val="p"/>
                </m:rPr>
                <m:t>O</m:t>
              </m:r>
              <m:r>
                <m:rPr>
                  <m:sty m:val="p"/>
                </m:rPr>
                <m:t>V</m:t>
              </m:r>
              <m:r>
                <m:rPr>
                  <m:sty m:val="p"/>
                </m:rPr>
                <m:t>X</m:t>
              </m:r>
            </m:sub>
          </m:sSub>
          <m:r>
            <m:rPr>
              <m:sty m:val="p"/>
            </m:rPr>
            <m:t>+</m:t>
          </m:r>
          <m:r>
            <m:t>0.4</m:t>
          </m:r>
          <m:sSub>
            <m:e>
              <m:r>
                <m:t>q</m:t>
              </m:r>
            </m:e>
            <m:sub>
              <m:r>
                <m:rPr>
                  <m:sty m:val="p"/>
                </m:rPr>
                <m:t>G</m:t>
              </m:r>
              <m:r>
                <m:rPr>
                  <m:sty m:val="p"/>
                </m:rPr>
                <m:t>P</m:t>
              </m:r>
              <m:r>
                <m:rPr>
                  <m:sty m:val="p"/>
                </m:rPr>
                <m:t>R</m:t>
              </m:r>
            </m:sub>
          </m:sSub>
          <m:r>
            <m:rPr>
              <m:sty m:val="p"/>
            </m:rPr>
            <m:t>,</m:t>
          </m:r>
          <m:r>
            <m:t> </m:t>
          </m:r>
          <m:sSub>
            <m:e>
              <m:r>
                <m:t>d</m:t>
              </m:r>
            </m:e>
            <m:sub>
              <m:r>
                <m:t>t</m:t>
              </m:r>
            </m:sub>
          </m:sSub>
          <m:r>
            <m:rPr>
              <m:sty m:val="p"/>
            </m:rPr>
            <m:t>=</m:t>
          </m:r>
          <m:r>
            <m:rPr>
              <m:sty m:val="p"/>
            </m:rPr>
            <m:t>c</m:t>
          </m:r>
          <m:r>
            <m:rPr>
              <m:sty m:val="p"/>
            </m:rPr>
            <m:t>l</m:t>
          </m:r>
          <m:r>
            <m:rPr>
              <m:sty m:val="p"/>
            </m:rPr>
            <m:t>i</m:t>
          </m:r>
          <m:r>
            <m:rPr>
              <m:sty m:val="p"/>
            </m:rPr>
            <m:t>p</m:t>
          </m:r>
          <m:d>
            <m:dPr>
              <m:begChr m:val="("/>
              <m:sepChr m:val=""/>
              <m:endChr m:val=")"/>
              <m:grow/>
            </m:dPr>
            <m:e>
              <m:r>
                <m:t>1</m:t>
              </m:r>
              <m:r>
                <m:rPr>
                  <m:sty m:val="p"/>
                </m:rPr>
                <m:t>−</m:t>
              </m:r>
              <m:f>
                <m:fPr>
                  <m:type m:val="bar"/>
                </m:fPr>
                <m:num>
                  <m:r>
                    <m:t>t</m:t>
                  </m:r>
                  <m:r>
                    <m:rPr>
                      <m:sty m:val="p"/>
                    </m:rPr>
                    <m:t>−</m:t>
                  </m:r>
                  <m:r>
                    <m:t>60</m:t>
                  </m:r>
                </m:num>
                <m:den>
                  <m:r>
                    <m:t>140</m:t>
                  </m:r>
                </m:den>
              </m:f>
              <m:r>
                <m:rPr>
                  <m:sty m:val="p"/>
                </m:rPr>
                <m:t>,</m:t>
              </m:r>
              <m:r>
                <m:t>0.18</m:t>
              </m:r>
              <m:r>
                <m:rPr>
                  <m:sty m:val="p"/>
                </m:rPr>
                <m:t>,</m:t>
              </m:r>
              <m:r>
                <m:t>1</m:t>
              </m:r>
            </m:e>
          </m:d>
          <m:r>
            <m:rPr>
              <m:sty m:val="p"/>
            </m:rPr>
            <m:t>,</m:t>
          </m:r>
        </m:oMath>
      </m:oMathPara>
    </w:p>
    <w:p>
      <w:pPr>
        <w:pStyle w:val="FirstParagraph"/>
      </w:pPr>
      <w:r>
        <w:rPr>
          <w:rFonts w:hint="eastAsia"/>
        </w:rPr>
        <w:t xml:space="preserve">其中</w:t>
      </w:r>
      <w:r>
        <w:t xml:space="preserve"> </w:t>
      </w:r>
      <m:oMath>
        <m:sSub>
          <m:e>
            <m:r>
              <m:t>q</m:t>
            </m:r>
          </m:e>
          <m:sub>
            <m:r>
              <m:rPr>
                <m:sty m:val="p"/>
              </m:rPr>
              <m:t>O</m:t>
            </m:r>
            <m:r>
              <m:rPr>
                <m:sty m:val="p"/>
              </m:rPr>
              <m:t>V</m:t>
            </m:r>
            <m:r>
              <m:rPr>
                <m:sty m:val="p"/>
              </m:rPr>
              <m:t>X</m:t>
            </m:r>
          </m:sub>
        </m:sSub>
      </m:oMath>
      <w:r>
        <w:t xml:space="preserve"> </w:t>
      </w:r>
      <w:r>
        <w:rPr>
          <w:rFonts w:hint="eastAsia"/>
        </w:rPr>
        <w:t xml:space="preserve">由</w:t>
      </w:r>
      <w:r>
        <w:t xml:space="preserve"> OVX </w:t>
      </w:r>
      <w:r>
        <w:rPr>
          <w:rFonts w:hint="eastAsia"/>
        </w:rPr>
        <w:t xml:space="preserve">冲突窗口历史分位数和滞后</w:t>
      </w:r>
      <w:r>
        <w:t xml:space="preserve"> OVX </w:t>
      </w:r>
      <w:r>
        <w:rPr>
          <w:rFonts w:hint="eastAsia"/>
        </w:rPr>
        <w:t xml:space="preserve">与</w:t>
      </w:r>
      <w:r>
        <w:t xml:space="preserve"> 7 </w:t>
      </w:r>
      <w:r>
        <w:rPr>
          <w:rFonts w:hint="eastAsia"/>
        </w:rPr>
        <w:t xml:space="preserve">日实现波动率相关性计算，</w:t>
      </w:r>
      <m:oMath>
        <m:sSub>
          <m:e>
            <m:r>
              <m:t>q</m:t>
            </m:r>
          </m:e>
          <m:sub>
            <m:r>
              <m:rPr>
                <m:sty m:val="p"/>
              </m:rPr>
              <m:t>G</m:t>
            </m:r>
            <m:r>
              <m:rPr>
                <m:sty m:val="p"/>
              </m:rPr>
              <m:t>P</m:t>
            </m:r>
            <m:r>
              <m:rPr>
                <m:sty m:val="p"/>
              </m:rPr>
              <m:t>R</m:t>
            </m:r>
          </m:sub>
        </m:sSub>
      </m:oMath>
      <w:r>
        <w:t xml:space="preserve"> </w:t>
      </w:r>
      <w:r>
        <w:rPr>
          <w:rFonts w:hint="eastAsia"/>
        </w:rPr>
        <w:t xml:space="preserve">由</w:t>
      </w:r>
      <w:r>
        <w:t xml:space="preserve"> GPR </w:t>
      </w:r>
      <w:r>
        <w:rPr>
          <w:rFonts w:hint="eastAsia"/>
        </w:rPr>
        <w:t xml:space="preserve">事件月历史分位数计算。本项目实算得到</w:t>
      </w:r>
      <w:r>
        <w:t xml:space="preserve"> </w:t>
      </w:r>
      <m:oMath>
        <m:r>
          <m:t>q</m:t>
        </m:r>
        <m:r>
          <m:rPr>
            <m:sty m:val="p"/>
          </m:rPr>
          <m:t>=</m:t>
        </m:r>
        <m:r>
          <m:t>0.831</m:t>
        </m:r>
      </m:oMath>
      <w:r>
        <w:rPr>
          <w:rFonts w:hint="eastAsia"/>
        </w:rPr>
        <w:t xml:space="preserve">。对基础矩阵第</w:t>
      </w:r>
      <w:r>
        <w:t xml:space="preserve"> </w:t>
      </w:r>
      <m:oMath>
        <m:r>
          <m:t>i</m:t>
        </m:r>
      </m:oMath>
      <w:r>
        <w:t xml:space="preserve"> </w:t>
      </w:r>
      <w:r>
        <w:rPr>
          <w:rFonts w:hint="eastAsia"/>
        </w:rPr>
        <w:t xml:space="preserve">行</w:t>
      </w:r>
      <w:r>
        <w:t xml:space="preserve"> </w:t>
      </w:r>
      <m:oMath>
        <m:sSub>
          <m:e>
            <m:r>
              <m:t>m</m:t>
            </m:r>
          </m:e>
          <m:sub>
            <m:r>
              <m:t>i</m:t>
            </m:r>
          </m:sub>
        </m:sSub>
        <m:r>
          <m:rPr>
            <m:sty m:val="p"/>
          </m:rPr>
          <m:t>(</m:t>
        </m:r>
        <m:r>
          <m:t>t</m:t>
        </m:r>
        <m:r>
          <m:rPr>
            <m:sty m:val="p"/>
          </m:rPr>
          <m:t>)</m:t>
        </m:r>
      </m:oMath>
      <w:r>
        <w:t xml:space="preserve"> </w:t>
      </w:r>
      <w:r>
        <w:rPr>
          <w:rFonts w:hint="eastAsia"/>
        </w:rPr>
        <w:t xml:space="preserve">的修正为</w:t>
      </w:r>
    </w:p>
    <w:p>
      <w:pPr>
        <w:pStyle w:val="BodyText"/>
      </w:pPr>
      <m:oMathPara>
        <m:oMathParaPr>
          <m:jc m:val="center"/>
        </m:oMathParaPr>
        <m:oMath>
          <m:sSub>
            <m:e>
              <m:acc>
                <m:accPr>
                  <m:chr m:val="̃"/>
                </m:accPr>
                <m:e>
                  <m:r>
                    <m:t>m</m:t>
                  </m:r>
                </m:e>
              </m:acc>
            </m:e>
            <m:sub>
              <m:r>
                <m:t>i</m:t>
              </m:r>
              <m:r>
                <m:rPr>
                  <m:sty m:val="p"/>
                </m:rPr>
                <m:t>,</m:t>
              </m:r>
              <m:r>
                <m:t>E</m:t>
              </m:r>
            </m:sub>
          </m:sSub>
          <m:r>
            <m:rPr>
              <m:sty m:val="p"/>
            </m:rPr>
            <m:t>(</m:t>
          </m:r>
          <m:r>
            <m:t>t</m:t>
          </m:r>
          <m:r>
            <m:rPr>
              <m:sty m:val="p"/>
            </m:rPr>
            <m:t>)</m:t>
          </m:r>
          <m:r>
            <m:rPr>
              <m:sty m:val="p"/>
            </m:rPr>
            <m:t>=</m:t>
          </m:r>
          <m:sSub>
            <m:e>
              <m:r>
                <m:t>m</m:t>
              </m:r>
            </m:e>
            <m:sub>
              <m:r>
                <m:t>i</m:t>
              </m:r>
              <m:r>
                <m:rPr>
                  <m:sty m:val="p"/>
                </m:rPr>
                <m:t>,</m:t>
              </m:r>
              <m:r>
                <m:t>E</m:t>
              </m:r>
            </m:sub>
          </m:sSub>
          <m:r>
            <m:rPr>
              <m:sty m:val="p"/>
            </m:rPr>
            <m:t>+</m:t>
          </m:r>
          <m:r>
            <m:t>0.020</m:t>
          </m:r>
          <m:r>
            <m:t>q</m:t>
          </m:r>
          <m:sSub>
            <m:e>
              <m:r>
                <m:t>d</m:t>
              </m:r>
            </m:e>
            <m:sub>
              <m:r>
                <m:t>t</m:t>
              </m:r>
            </m:sub>
          </m:sSub>
          <m:r>
            <m:rPr>
              <m:sty m:val="p"/>
            </m:rPr>
            <m:t>,</m:t>
          </m:r>
          <m:r>
            <m:t> </m:t>
          </m:r>
          <m:sSub>
            <m:e>
              <m:acc>
                <m:accPr>
                  <m:chr m:val="̃"/>
                </m:accPr>
                <m:e>
                  <m:r>
                    <m:t>m</m:t>
                  </m:r>
                </m:e>
              </m:acc>
            </m:e>
            <m:sub>
              <m:r>
                <m:t>i</m:t>
              </m:r>
              <m:r>
                <m:rPr>
                  <m:sty m:val="p"/>
                </m:rPr>
                <m:t>,</m:t>
              </m:r>
              <m:r>
                <m:t>C</m:t>
              </m:r>
            </m:sub>
          </m:sSub>
          <m:r>
            <m:rPr>
              <m:sty m:val="p"/>
            </m:rPr>
            <m:t>(</m:t>
          </m:r>
          <m:r>
            <m:t>t</m:t>
          </m:r>
          <m:r>
            <m:rPr>
              <m:sty m:val="p"/>
            </m:rPr>
            <m:t>)</m:t>
          </m:r>
          <m:r>
            <m:rPr>
              <m:sty m:val="p"/>
            </m:rPr>
            <m:t>=</m:t>
          </m:r>
          <m:sSub>
            <m:e>
              <m:r>
                <m:t>m</m:t>
              </m:r>
            </m:e>
            <m:sub>
              <m:r>
                <m:t>i</m:t>
              </m:r>
              <m:r>
                <m:rPr>
                  <m:sty m:val="p"/>
                </m:rPr>
                <m:t>,</m:t>
              </m:r>
              <m:r>
                <m:t>C</m:t>
              </m:r>
            </m:sub>
          </m:sSub>
          <m:r>
            <m:rPr>
              <m:sty m:val="p"/>
            </m:rPr>
            <m:t>−</m:t>
          </m:r>
          <m:r>
            <m:t>0.014</m:t>
          </m:r>
          <m:r>
            <m:t>q</m:t>
          </m:r>
          <m:sSub>
            <m:e>
              <m:r>
                <m:t>d</m:t>
              </m:r>
            </m:e>
            <m:sub>
              <m:r>
                <m:t>t</m:t>
              </m:r>
            </m:sub>
          </m:sSub>
          <m:r>
            <m:rPr>
              <m:sty m:val="p"/>
            </m:rPr>
            <m:t>,</m:t>
          </m:r>
        </m:oMath>
      </m:oMathPara>
    </w:p>
    <w:p>
      <w:pPr>
        <w:pStyle w:val="FirstParagraph"/>
      </w:pPr>
      <w:r>
        <w:rPr>
          <w:rFonts w:hint="eastAsia"/>
        </w:rPr>
        <w:t xml:space="preserve">其中</w:t>
      </w:r>
      <w:r>
        <w:t xml:space="preserve"> </w:t>
      </w:r>
      <m:oMath>
        <m:r>
          <m:t>E</m:t>
        </m:r>
      </m:oMath>
      <w:r>
        <w:t xml:space="preserve"> </w:t>
      </w:r>
      <w:r>
        <w:rPr>
          <w:rFonts w:hint="eastAsia"/>
        </w:rPr>
        <w:t xml:space="preserve">表示升级列，</w:t>
      </w:r>
      <m:oMath>
        <m:r>
          <m:t>C</m:t>
        </m:r>
      </m:oMath>
      <w:r>
        <w:t xml:space="preserve"> </w:t>
      </w:r>
      <w:r>
        <w:rPr>
          <w:rFonts w:hint="eastAsia"/>
        </w:rPr>
        <w:t xml:space="preserve">表示缓和列；若当前已处于升级状态，则升级列额外增加</w:t>
      </w:r>
      <w:r>
        <w:t xml:space="preserve"> </w:t>
      </w:r>
      <m:oMath>
        <m:r>
          <m:t>0.010</m:t>
        </m:r>
        <m:r>
          <m:t>q</m:t>
        </m:r>
        <m:sSub>
          <m:e>
            <m:r>
              <m:t>d</m:t>
            </m:r>
          </m:e>
          <m:sub>
            <m:r>
              <m:t>t</m:t>
            </m:r>
          </m:sub>
        </m:sSub>
      </m:oMath>
      <w:r>
        <w:rPr>
          <w:rFonts w:hint="eastAsia"/>
        </w:rPr>
        <w:t xml:space="preserve">，维持列减少</w:t>
      </w:r>
      <w:r>
        <w:t xml:space="preserve"> </w:t>
      </w:r>
      <m:oMath>
        <m:r>
          <m:t>0.004</m:t>
        </m:r>
        <m:r>
          <m:t>q</m:t>
        </m:r>
        <m:sSub>
          <m:e>
            <m:r>
              <m:t>d</m:t>
            </m:r>
          </m:e>
          <m:sub>
            <m:r>
              <m:t>t</m:t>
            </m:r>
          </m:sub>
        </m:sSub>
      </m:oMath>
      <w:r>
        <w:rPr>
          <w:rFonts w:hint="eastAsia"/>
        </w:rPr>
        <w:t xml:space="preserve">；若当前处于缓和状态，则维持列增加</w:t>
      </w:r>
      <w:r>
        <w:t xml:space="preserve"> </w:t>
      </w:r>
      <m:oMath>
        <m:r>
          <m:t>0.006</m:t>
        </m:r>
        <m:r>
          <m:t>q</m:t>
        </m:r>
        <m:sSub>
          <m:e>
            <m:r>
              <m:t>d</m:t>
            </m:r>
          </m:e>
          <m:sub>
            <m:r>
              <m:t>t</m:t>
            </m:r>
          </m:sub>
        </m:sSub>
      </m:oMath>
      <w:r>
        <w:rPr>
          <w:rFonts w:hint="eastAsia"/>
        </w:rPr>
        <w:t xml:space="preserve">。第</w:t>
      </w:r>
      <w:r>
        <w:t xml:space="preserve"> 120 </w:t>
      </w:r>
      <w:r>
        <w:rPr>
          <w:rFonts w:hint="eastAsia"/>
        </w:rPr>
        <w:t xml:space="preserve">天后，缓和列上调</w:t>
      </w:r>
      <w:r>
        <w:t xml:space="preserve"> </w:t>
      </w:r>
      <w:r>
        <w:rPr>
          <w:rFonts w:hint="eastAsia"/>
        </w:rPr>
        <w:t xml:space="preserve">0.04、升级列下调</w:t>
      </w:r>
      <w:r>
        <w:t xml:space="preserve"> </w:t>
      </w:r>
      <w:r>
        <w:rPr>
          <w:rFonts w:hint="eastAsia"/>
        </w:rPr>
        <w:t xml:space="preserve">0.04；第</w:t>
      </w:r>
      <w:r>
        <w:t xml:space="preserve"> 150 </w:t>
      </w:r>
      <w:r>
        <w:rPr>
          <w:rFonts w:hint="eastAsia"/>
        </w:rPr>
        <w:t xml:space="preserve">天后，缓和列再上调</w:t>
      </w:r>
      <w:r>
        <w:t xml:space="preserve"> </w:t>
      </w:r>
      <w:r>
        <w:rPr>
          <w:rFonts w:hint="eastAsia"/>
        </w:rPr>
        <w:t xml:space="preserve">0.03，维持列和升级列分别下调</w:t>
      </w:r>
      <w:r>
        <w:t xml:space="preserve"> 0.02 </w:t>
      </w:r>
      <w:r>
        <w:rPr>
          <w:rFonts w:hint="eastAsia"/>
        </w:rPr>
        <w:t xml:space="preserve">与</w:t>
      </w:r>
      <w:r>
        <w:t xml:space="preserve"> </w:t>
      </w:r>
      <w:r>
        <w:rPr>
          <w:rFonts w:hint="eastAsia"/>
        </w:rPr>
        <w:t xml:space="preserve">0.01。所有行最后经非负裁剪和归一化处理。这一设定使状态转移既有固定结构，也受到市场隐含波动率和地缘风险读数的约束。</w:t>
      </w:r>
      <w:hyperlink w:anchor="tab:state-transition-snapshot">
        <w:r>
          <w:rPr>
            <w:rStyle w:val="Hyperlink"/>
          </w:rPr>
          <w:t xml:space="preserve">11</w:t>
        </w:r>
      </w:hyperlink>
      <w:r>
        <w:t xml:space="preserve"> </w:t>
      </w:r>
      <w:r>
        <w:rPr>
          <w:rFonts w:hint="eastAsia"/>
        </w:rPr>
        <w:t xml:space="preserve">给出从</w:t>
      </w:r>
      <w:r>
        <w:rPr>
          <w:rFonts w:hint="eastAsia"/>
        </w:rPr>
        <w:t xml:space="preserve">“维持”</w:t>
      </w:r>
      <w:r>
        <w:rPr>
          <w:rFonts w:hint="eastAsia"/>
        </w:rPr>
        <w:t xml:space="preserve">状态出发时的关键外推日概率快照。</w:t>
      </w:r>
    </w:p>
    <w:bookmarkStart w:id="126" w:name="tab:state-transition-matrix"/>
    <w:p>
      <w:pPr>
        <w:pStyle w:val="TableCaption"/>
      </w:pPr>
      <w:r>
        <w:rPr>
          <w:rFonts w:hint="eastAsia"/>
        </w:rPr>
        <w:t xml:space="preserve">长期状态转移基础矩阵</w:t>
      </w:r>
    </w:p>
    <w:tbl>
      <w:tblPr>
        <w:tblStyle w:val="Table"/>
        <w:tblW w:type="auto" w:w="0"/>
        <w:tblLook w:firstRow="1" w:lastRow="0" w:firstColumn="0" w:lastColumn="0" w:noHBand="0" w:noVBand="0" w:val="0020"/>
        <w:tblCaption w:val="长期状态转移基础矩阵"/>
      </w:tblPr>
      <w:tblGrid>
        <w:gridCol w:w="1980"/>
        <w:gridCol w:w="1980"/>
        <w:gridCol w:w="1980"/>
        <w:gridCol w:w="1980"/>
      </w:tblGrid>
      <w:tr>
        <w:trPr>
          <w:tblHeader w:val="on"/>
        </w:trPr>
        <w:tc>
          <w:tcPr/>
          <w:p>
            <w:pPr>
              <w:pStyle w:val="Compact"/>
              <w:jc w:val="left"/>
            </w:pPr>
            <w:r>
              <w:rPr>
                <w:rFonts w:hint="eastAsia"/>
              </w:rPr>
              <w:t xml:space="preserve">当前状态</w:t>
            </w:r>
          </w:p>
        </w:tc>
        <w:tc>
          <w:tcPr/>
          <w:p>
            <w:pPr>
              <w:pStyle w:val="Compact"/>
              <w:jc w:val="right"/>
            </w:pPr>
            <w:r>
              <w:rPr>
                <w:rFonts w:hint="eastAsia"/>
              </w:rPr>
              <w:t xml:space="preserve">转为缓和</w:t>
            </w:r>
          </w:p>
        </w:tc>
        <w:tc>
          <w:tcPr/>
          <w:p>
            <w:pPr>
              <w:pStyle w:val="Compact"/>
              <w:jc w:val="right"/>
            </w:pPr>
            <w:r>
              <w:rPr>
                <w:rFonts w:hint="eastAsia"/>
              </w:rPr>
              <w:t xml:space="preserve">转为维持</w:t>
            </w:r>
          </w:p>
        </w:tc>
        <w:tc>
          <w:tcPr/>
          <w:p>
            <w:pPr>
              <w:pStyle w:val="Compact"/>
              <w:jc w:val="right"/>
            </w:pPr>
            <w:r>
              <w:rPr>
                <w:rFonts w:hint="eastAsia"/>
              </w:rPr>
              <w:t xml:space="preserve">转为升级</w:t>
            </w:r>
          </w:p>
        </w:tc>
      </w:tr>
      <w:tr>
        <w:tc>
          <w:tcPr/>
          <w:p>
            <w:pPr>
              <w:pStyle w:val="Compact"/>
              <w:jc w:val="left"/>
            </w:pPr>
            <w:r>
              <w:rPr>
                <w:rFonts w:hint="eastAsia"/>
              </w:rPr>
              <w:t xml:space="preserve">缓和</w:t>
            </w:r>
          </w:p>
        </w:tc>
        <w:tc>
          <w:tcPr/>
          <w:p>
            <w:pPr>
              <w:pStyle w:val="Compact"/>
              <w:jc w:val="right"/>
            </w:pPr>
            <w:r>
              <w:t xml:space="preserve">0.90</w:t>
            </w:r>
          </w:p>
        </w:tc>
        <w:tc>
          <w:tcPr/>
          <w:p>
            <w:pPr>
              <w:pStyle w:val="Compact"/>
              <w:jc w:val="right"/>
            </w:pPr>
            <w:r>
              <w:t xml:space="preserve">0.09</w:t>
            </w:r>
          </w:p>
        </w:tc>
        <w:tc>
          <w:tcPr/>
          <w:p>
            <w:pPr>
              <w:pStyle w:val="Compact"/>
              <w:jc w:val="right"/>
            </w:pPr>
            <w:r>
              <w:t xml:space="preserve">0.01</w:t>
            </w:r>
          </w:p>
        </w:tc>
      </w:tr>
      <w:tr>
        <w:tc>
          <w:tcPr/>
          <w:p>
            <w:pPr>
              <w:pStyle w:val="Compact"/>
              <w:jc w:val="left"/>
            </w:pPr>
            <w:r>
              <w:rPr>
                <w:rFonts w:hint="eastAsia"/>
              </w:rPr>
              <w:t xml:space="preserve">维持</w:t>
            </w:r>
          </w:p>
        </w:tc>
        <w:tc>
          <w:tcPr/>
          <w:p>
            <w:pPr>
              <w:pStyle w:val="Compact"/>
              <w:jc w:val="right"/>
            </w:pPr>
            <w:r>
              <w:t xml:space="preserve">0.16</w:t>
            </w:r>
          </w:p>
        </w:tc>
        <w:tc>
          <w:tcPr/>
          <w:p>
            <w:pPr>
              <w:pStyle w:val="Compact"/>
              <w:jc w:val="right"/>
            </w:pPr>
            <w:r>
              <w:t xml:space="preserve">0.78</w:t>
            </w:r>
          </w:p>
        </w:tc>
        <w:tc>
          <w:tcPr/>
          <w:p>
            <w:pPr>
              <w:pStyle w:val="Compact"/>
              <w:jc w:val="right"/>
            </w:pPr>
            <w:r>
              <w:t xml:space="preserve">0.06</w:t>
            </w:r>
          </w:p>
        </w:tc>
      </w:tr>
      <w:tr>
        <w:tc>
          <w:tcPr/>
          <w:p>
            <w:pPr>
              <w:pStyle w:val="Compact"/>
              <w:jc w:val="left"/>
            </w:pPr>
            <w:r>
              <w:rPr>
                <w:rFonts w:hint="eastAsia"/>
              </w:rPr>
              <w:t xml:space="preserve">升级</w:t>
            </w:r>
          </w:p>
        </w:tc>
        <w:tc>
          <w:tcPr/>
          <w:p>
            <w:pPr>
              <w:pStyle w:val="Compact"/>
              <w:jc w:val="right"/>
            </w:pPr>
            <w:r>
              <w:t xml:space="preserve">0.07</w:t>
            </w:r>
          </w:p>
        </w:tc>
        <w:tc>
          <w:tcPr/>
          <w:p>
            <w:pPr>
              <w:pStyle w:val="Compact"/>
              <w:jc w:val="right"/>
            </w:pPr>
            <w:r>
              <w:t xml:space="preserve">0.24</w:t>
            </w:r>
          </w:p>
        </w:tc>
        <w:tc>
          <w:tcPr/>
          <w:p>
            <w:pPr>
              <w:pStyle w:val="Compact"/>
              <w:jc w:val="right"/>
            </w:pPr>
            <w:r>
              <w:t xml:space="preserve">0.69</w:t>
            </w:r>
          </w:p>
        </w:tc>
      </w:tr>
    </w:tbl>
    <w:bookmarkEnd w:id="126"/>
    <w:bookmarkStart w:id="127" w:name="tab:state-transition-snapshot"/>
    <w:p>
      <w:pPr>
        <w:pStyle w:val="TableCaption"/>
      </w:pPr>
      <w:r>
        <w:rPr>
          <w:rFonts w:hint="eastAsia"/>
        </w:rPr>
        <w:t xml:space="preserve">长期状态转移时变矩阵快照：当前状态为</w:t>
      </w:r>
      <w:r>
        <w:rPr>
          <w:rFonts w:hint="eastAsia"/>
        </w:rPr>
        <w:t xml:space="preserve">“维持”</w:t>
      </w:r>
    </w:p>
    <w:tbl>
      <w:tblPr>
        <w:tblStyle w:val="Table"/>
        <w:tblW w:type="auto" w:w="0"/>
        <w:tblLook w:firstRow="1" w:lastRow="0" w:firstColumn="0" w:lastColumn="0" w:noHBand="0" w:noVBand="0" w:val="0020"/>
        <w:tblCaption w:val="长期状态转移时变矩阵快照：当前状态为“维持”"/>
      </w:tblPr>
      <w:tblGrid>
        <w:gridCol w:w="1980"/>
        <w:gridCol w:w="1980"/>
        <w:gridCol w:w="1980"/>
        <w:gridCol w:w="1980"/>
      </w:tblGrid>
      <w:tr>
        <w:trPr>
          <w:tblHeader w:val="on"/>
        </w:trPr>
        <w:tc>
          <w:tcPr/>
          <w:p>
            <w:pPr>
              <w:pStyle w:val="Compact"/>
              <w:jc w:val="right"/>
            </w:pPr>
            <w:r>
              <w:rPr>
                <w:rFonts w:hint="eastAsia"/>
              </w:rPr>
              <w:t xml:space="preserve">外推日</w:t>
            </w:r>
          </w:p>
        </w:tc>
        <w:tc>
          <w:tcPr/>
          <w:p>
            <w:pPr>
              <w:pStyle w:val="Compact"/>
              <w:jc w:val="right"/>
            </w:pPr>
            <w:r>
              <w:rPr>
                <w:rFonts w:hint="eastAsia"/>
              </w:rPr>
              <w:t xml:space="preserve">转为缓和</w:t>
            </w:r>
          </w:p>
        </w:tc>
        <w:tc>
          <w:tcPr/>
          <w:p>
            <w:pPr>
              <w:pStyle w:val="Compact"/>
              <w:jc w:val="right"/>
            </w:pPr>
            <w:r>
              <w:rPr>
                <w:rFonts w:hint="eastAsia"/>
              </w:rPr>
              <w:t xml:space="preserve">转为维持</w:t>
            </w:r>
          </w:p>
        </w:tc>
        <w:tc>
          <w:tcPr/>
          <w:p>
            <w:pPr>
              <w:pStyle w:val="Compact"/>
              <w:jc w:val="right"/>
            </w:pPr>
            <w:r>
              <w:rPr>
                <w:rFonts w:hint="eastAsia"/>
              </w:rPr>
              <w:t xml:space="preserve">转为升级</w:t>
            </w:r>
          </w:p>
        </w:tc>
      </w:tr>
      <w:tr>
        <w:tc>
          <w:tcPr/>
          <w:p>
            <w:pPr>
              <w:pStyle w:val="Compact"/>
              <w:jc w:val="right"/>
            </w:pPr>
            <w:r>
              <w:t xml:space="preserve">60</w:t>
            </w:r>
          </w:p>
        </w:tc>
        <w:tc>
          <w:tcPr/>
          <w:p>
            <w:pPr>
              <w:pStyle w:val="Compact"/>
              <w:jc w:val="right"/>
            </w:pPr>
            <w:r>
              <w:t xml:space="preserve">0.148</w:t>
            </w:r>
          </w:p>
        </w:tc>
        <w:tc>
          <w:tcPr/>
          <w:p>
            <w:pPr>
              <w:pStyle w:val="Compact"/>
              <w:jc w:val="right"/>
            </w:pPr>
            <w:r>
              <w:t xml:space="preserve">0.776</w:t>
            </w:r>
          </w:p>
        </w:tc>
        <w:tc>
          <w:tcPr/>
          <w:p>
            <w:pPr>
              <w:pStyle w:val="Compact"/>
              <w:jc w:val="right"/>
            </w:pPr>
            <w:r>
              <w:t xml:space="preserve">0.076</w:t>
            </w:r>
          </w:p>
        </w:tc>
      </w:tr>
      <w:tr>
        <w:tc>
          <w:tcPr/>
          <w:p>
            <w:pPr>
              <w:pStyle w:val="Compact"/>
              <w:jc w:val="right"/>
            </w:pPr>
            <w:r>
              <w:t xml:space="preserve">90</w:t>
            </w:r>
          </w:p>
        </w:tc>
        <w:tc>
          <w:tcPr/>
          <w:p>
            <w:pPr>
              <w:pStyle w:val="Compact"/>
              <w:jc w:val="right"/>
            </w:pPr>
            <w:r>
              <w:t xml:space="preserve">0.150</w:t>
            </w:r>
          </w:p>
        </w:tc>
        <w:tc>
          <w:tcPr/>
          <w:p>
            <w:pPr>
              <w:pStyle w:val="Compact"/>
              <w:jc w:val="right"/>
            </w:pPr>
            <w:r>
              <w:t xml:space="preserve">0.777</w:t>
            </w:r>
          </w:p>
        </w:tc>
        <w:tc>
          <w:tcPr/>
          <w:p>
            <w:pPr>
              <w:pStyle w:val="Compact"/>
              <w:jc w:val="right"/>
            </w:pPr>
            <w:r>
              <w:t xml:space="preserve">0.073</w:t>
            </w:r>
          </w:p>
        </w:tc>
      </w:tr>
      <w:tr>
        <w:tc>
          <w:tcPr/>
          <w:p>
            <w:pPr>
              <w:pStyle w:val="Compact"/>
              <w:jc w:val="right"/>
            </w:pPr>
            <w:r>
              <w:t xml:space="preserve">120</w:t>
            </w:r>
          </w:p>
        </w:tc>
        <w:tc>
          <w:tcPr/>
          <w:p>
            <w:pPr>
              <w:pStyle w:val="Compact"/>
              <w:jc w:val="right"/>
            </w:pPr>
            <w:r>
              <w:t xml:space="preserve">0.193</w:t>
            </w:r>
          </w:p>
        </w:tc>
        <w:tc>
          <w:tcPr/>
          <w:p>
            <w:pPr>
              <w:pStyle w:val="Compact"/>
              <w:jc w:val="right"/>
            </w:pPr>
            <w:r>
              <w:t xml:space="preserve">0.778</w:t>
            </w:r>
          </w:p>
        </w:tc>
        <w:tc>
          <w:tcPr/>
          <w:p>
            <w:pPr>
              <w:pStyle w:val="Compact"/>
              <w:jc w:val="right"/>
            </w:pPr>
            <w:r>
              <w:t xml:space="preserve">0.029</w:t>
            </w:r>
          </w:p>
        </w:tc>
      </w:tr>
      <w:tr>
        <w:tc>
          <w:tcPr/>
          <w:p>
            <w:pPr>
              <w:pStyle w:val="Compact"/>
              <w:jc w:val="right"/>
            </w:pPr>
            <w:r>
              <w:t xml:space="preserve">150</w:t>
            </w:r>
          </w:p>
        </w:tc>
        <w:tc>
          <w:tcPr/>
          <w:p>
            <w:pPr>
              <w:pStyle w:val="Compact"/>
              <w:jc w:val="right"/>
            </w:pPr>
            <w:r>
              <w:t xml:space="preserve">0.225</w:t>
            </w:r>
          </w:p>
        </w:tc>
        <w:tc>
          <w:tcPr/>
          <w:p>
            <w:pPr>
              <w:pStyle w:val="Compact"/>
              <w:jc w:val="right"/>
            </w:pPr>
            <w:r>
              <w:t xml:space="preserve">0.759</w:t>
            </w:r>
          </w:p>
        </w:tc>
        <w:tc>
          <w:tcPr/>
          <w:p>
            <w:pPr>
              <w:pStyle w:val="Compact"/>
              <w:jc w:val="right"/>
            </w:pPr>
            <w:r>
              <w:t xml:space="preserve">0.016</w:t>
            </w:r>
          </w:p>
        </w:tc>
      </w:tr>
      <w:tr>
        <w:tc>
          <w:tcPr/>
          <w:p>
            <w:pPr>
              <w:pStyle w:val="Compact"/>
              <w:jc w:val="right"/>
            </w:pPr>
            <w:r>
              <w:t xml:space="preserve">180</w:t>
            </w:r>
          </w:p>
        </w:tc>
        <w:tc>
          <w:tcPr/>
          <w:p>
            <w:pPr>
              <w:pStyle w:val="Compact"/>
              <w:jc w:val="right"/>
            </w:pPr>
            <w:r>
              <w:t xml:space="preserve">0.228</w:t>
            </w:r>
          </w:p>
        </w:tc>
        <w:tc>
          <w:tcPr/>
          <w:p>
            <w:pPr>
              <w:pStyle w:val="Compact"/>
              <w:jc w:val="right"/>
            </w:pPr>
            <w:r>
              <w:t xml:space="preserve">0.759</w:t>
            </w:r>
          </w:p>
        </w:tc>
        <w:tc>
          <w:tcPr/>
          <w:p>
            <w:pPr>
              <w:pStyle w:val="Compact"/>
              <w:jc w:val="right"/>
            </w:pPr>
            <w:r>
              <w:t xml:space="preserve">0.013</w:t>
            </w:r>
          </w:p>
        </w:tc>
      </w:tr>
    </w:tbl>
    <w:bookmarkEnd w:id="127"/>
    <w:p>
      <w:pPr>
        <w:pStyle w:val="BodyText"/>
      </w:pPr>
      <w:hyperlink w:anchor="tab:state-transition-snapshot">
        <w:r>
          <w:rPr>
            <w:rStyle w:val="Hyperlink"/>
          </w:rPr>
          <w:t xml:space="preserve">11</w:t>
        </w:r>
      </w:hyperlink>
      <w:r>
        <w:t xml:space="preserve"> </w:t>
      </w:r>
      <w:r>
        <w:rPr>
          <w:rFonts w:hint="eastAsia"/>
        </w:rPr>
        <w:t xml:space="preserve">显示，在</w:t>
      </w:r>
      <w:r>
        <w:t xml:space="preserve"> OVX </w:t>
      </w:r>
      <w:r>
        <w:rPr>
          <w:rFonts w:hint="eastAsia"/>
        </w:rPr>
        <w:t xml:space="preserve">和</w:t>
      </w:r>
      <w:r>
        <w:t xml:space="preserve"> GPR </w:t>
      </w:r>
      <w:r>
        <w:rPr>
          <w:rFonts w:hint="eastAsia"/>
        </w:rPr>
        <w:t xml:space="preserve">风险读数约束下，早期仍保留一定升级概率；随着政策缓冲、绕道运输和需求调整逐步被市场观察到，升级概率下降，缓和概率上升。因此，状态转移模型并不是把长期价格强行拉成随机噪声，而是在三情景中心路径之上加入</w:t>
      </w:r>
      <w:r>
        <w:rPr>
          <w:rFonts w:hint="eastAsia"/>
        </w:rPr>
        <w:t xml:space="preserve">“早期尾部风险更高、后期逐步消化”</w:t>
      </w:r>
      <w:r>
        <w:rPr>
          <w:rFonts w:hint="eastAsia"/>
        </w:rPr>
        <w:t xml:space="preserve">的事件状态结构。</w:t>
      </w:r>
    </w:p>
    <w:bookmarkStart w:id="128" w:name="tab:state-risk-ablation"/>
    <w:p>
      <w:pPr>
        <w:pStyle w:val="TableCaption"/>
      </w:pPr>
      <w:r>
        <w:t xml:space="preserve">GPR/OVX </w:t>
      </w:r>
      <w:r>
        <w:rPr>
          <w:rFonts w:hint="eastAsia"/>
        </w:rPr>
        <w:t xml:space="preserve">风险约束消融结果</w:t>
      </w:r>
    </w:p>
    <w:tbl>
      <w:tblPr>
        <w:tblStyle w:val="Table"/>
        <w:tblW w:type="auto" w:w="0"/>
        <w:tblLook w:firstRow="1" w:lastRow="0" w:firstColumn="0" w:lastColumn="0" w:noHBand="0" w:noVBand="0" w:val="0020"/>
        <w:tblCaption w:val="GPR/OVX 风险约束消融结果"/>
      </w:tblPr>
      <w:tblGrid>
        <w:gridCol w:w="1584"/>
        <w:gridCol w:w="1584"/>
        <w:gridCol w:w="1584"/>
        <w:gridCol w:w="1584"/>
        <w:gridCol w:w="1584"/>
      </w:tblGrid>
      <w:tr>
        <w:trPr>
          <w:tblHeader w:val="on"/>
        </w:trPr>
        <w:tc>
          <w:tcPr/>
          <w:p>
            <w:pPr>
              <w:pStyle w:val="Compact"/>
              <w:jc w:val="left"/>
            </w:pPr>
            <w:r>
              <w:rPr>
                <w:rFonts w:hint="eastAsia"/>
              </w:rPr>
              <w:t xml:space="preserve">模型设定</w:t>
            </w:r>
          </w:p>
        </w:tc>
        <w:tc>
          <w:tcPr/>
          <w:p>
            <w:pPr>
              <w:pStyle w:val="Compact"/>
              <w:jc w:val="right"/>
            </w:pPr>
            <w:r>
              <w:rPr>
                <w:rFonts w:hint="eastAsia"/>
              </w:rPr>
              <w:t xml:space="preserve">突破</w:t>
            </w:r>
            <w:r>
              <w:t xml:space="preserve"> 120 </w:t>
            </w:r>
            <w:r>
              <w:rPr>
                <w:rFonts w:hint="eastAsia"/>
              </w:rPr>
              <w:t xml:space="preserve">概率</w:t>
            </w:r>
          </w:p>
        </w:tc>
        <w:tc>
          <w:tcPr/>
          <w:p>
            <w:pPr>
              <w:pStyle w:val="Compact"/>
              <w:jc w:val="right"/>
            </w:pPr>
            <w:r>
              <w:rPr>
                <w:rFonts w:hint="eastAsia"/>
              </w:rPr>
              <w:t xml:space="preserve">突破</w:t>
            </w:r>
            <w:r>
              <w:t xml:space="preserve"> 130 </w:t>
            </w:r>
            <w:r>
              <w:rPr>
                <w:rFonts w:hint="eastAsia"/>
              </w:rPr>
              <w:t xml:space="preserve">概率</w:t>
            </w:r>
          </w:p>
        </w:tc>
        <w:tc>
          <w:tcPr/>
          <w:p>
            <w:pPr>
              <w:pStyle w:val="Compact"/>
              <w:jc w:val="right"/>
            </w:pPr>
            <w:r>
              <w:rPr>
                <w:rFonts w:hint="eastAsia"/>
              </w:rPr>
              <w:t xml:space="preserve">最高价</w:t>
            </w:r>
            <w:r>
              <w:t xml:space="preserve"> P95</w:t>
            </w:r>
          </w:p>
        </w:tc>
        <w:tc>
          <w:tcPr/>
          <w:p>
            <w:pPr>
              <w:pStyle w:val="Compact"/>
              <w:jc w:val="right"/>
            </w:pPr>
            <w:r>
              <w:rPr>
                <w:rFonts w:hint="eastAsia"/>
              </w:rPr>
              <w:t xml:space="preserve">第</w:t>
            </w:r>
            <w:r>
              <w:t xml:space="preserve"> 180 </w:t>
            </w:r>
            <w:r>
              <w:rPr>
                <w:rFonts w:hint="eastAsia"/>
              </w:rPr>
              <w:t xml:space="preserve">天</w:t>
            </w:r>
            <w:r>
              <w:t xml:space="preserve"> P95</w:t>
            </w:r>
          </w:p>
        </w:tc>
      </w:tr>
      <w:tr>
        <w:tc>
          <w:tcPr/>
          <w:p>
            <w:pPr>
              <w:pStyle w:val="Compact"/>
              <w:jc w:val="left"/>
            </w:pPr>
            <w:r>
              <w:rPr>
                <w:rFonts w:hint="eastAsia"/>
              </w:rPr>
              <w:t xml:space="preserve">仅基础矩阵</w:t>
            </w:r>
          </w:p>
        </w:tc>
        <w:tc>
          <w:tcPr/>
          <w:p>
            <w:pPr>
              <w:pStyle w:val="Compact"/>
              <w:jc w:val="right"/>
            </w:pPr>
            <w:r>
              <w:t xml:space="preserve">27.7%</w:t>
            </w:r>
          </w:p>
        </w:tc>
        <w:tc>
          <w:tcPr/>
          <w:p>
            <w:pPr>
              <w:pStyle w:val="Compact"/>
              <w:jc w:val="right"/>
            </w:pPr>
            <w:r>
              <w:t xml:space="preserve">3.5%</w:t>
            </w:r>
          </w:p>
        </w:tc>
        <w:tc>
          <w:tcPr/>
          <w:p>
            <w:pPr>
              <w:pStyle w:val="Compact"/>
              <w:jc w:val="right"/>
            </w:pPr>
            <w:r>
              <w:t xml:space="preserve">128.72</w:t>
            </w:r>
          </w:p>
        </w:tc>
        <w:tc>
          <w:tcPr/>
          <w:p>
            <w:pPr>
              <w:pStyle w:val="Compact"/>
              <w:jc w:val="right"/>
            </w:pPr>
            <w:r>
              <w:t xml:space="preserve">95.55</w:t>
            </w:r>
          </w:p>
        </w:tc>
      </w:tr>
      <w:tr>
        <w:tc>
          <w:tcPr/>
          <w:p>
            <w:pPr>
              <w:pStyle w:val="Compact"/>
              <w:jc w:val="left"/>
            </w:pPr>
            <w:r>
              <w:rPr>
                <w:rFonts w:hint="eastAsia"/>
              </w:rPr>
              <w:t xml:space="preserve">基础矩阵</w:t>
            </w:r>
            <w:r>
              <w:t xml:space="preserve"> + GPR/OVX </w:t>
            </w:r>
            <w:r>
              <w:rPr>
                <w:rFonts w:hint="eastAsia"/>
              </w:rPr>
              <w:t xml:space="preserve">风险约束</w:t>
            </w:r>
          </w:p>
        </w:tc>
        <w:tc>
          <w:tcPr/>
          <w:p>
            <w:pPr>
              <w:pStyle w:val="Compact"/>
              <w:jc w:val="right"/>
            </w:pPr>
            <w:r>
              <w:t xml:space="preserve">38.3%</w:t>
            </w:r>
          </w:p>
        </w:tc>
        <w:tc>
          <w:tcPr/>
          <w:p>
            <w:pPr>
              <w:pStyle w:val="Compact"/>
              <w:jc w:val="right"/>
            </w:pPr>
            <w:r>
              <w:t xml:space="preserve">5.7%</w:t>
            </w:r>
          </w:p>
        </w:tc>
        <w:tc>
          <w:tcPr/>
          <w:p>
            <w:pPr>
              <w:pStyle w:val="Compact"/>
              <w:jc w:val="right"/>
            </w:pPr>
            <w:r>
              <w:t xml:space="preserve">130.51</w:t>
            </w:r>
          </w:p>
        </w:tc>
        <w:tc>
          <w:tcPr/>
          <w:p>
            <w:pPr>
              <w:pStyle w:val="Compact"/>
              <w:jc w:val="right"/>
            </w:pPr>
            <w:r>
              <w:t xml:space="preserve">96.06</w:t>
            </w:r>
          </w:p>
        </w:tc>
      </w:tr>
    </w:tbl>
    <w:bookmarkEnd w:id="128"/>
    <w:p>
      <w:pPr>
        <w:pStyle w:val="BodyText"/>
      </w:pPr>
      <w:hyperlink w:anchor="tab:state-risk-ablation">
        <w:r>
          <w:rPr>
            <w:rStyle w:val="Hyperlink"/>
          </w:rPr>
          <w:t xml:space="preserve">12</w:t>
        </w:r>
      </w:hyperlink>
      <w:r>
        <w:t xml:space="preserve"> </w:t>
      </w:r>
      <w:r>
        <w:rPr>
          <w:rFonts w:hint="eastAsia"/>
        </w:rPr>
        <w:t xml:space="preserve">进一步说明，GPR/OVX</w:t>
      </w:r>
      <w:r>
        <w:t xml:space="preserve"> </w:t>
      </w:r>
      <w:r>
        <w:rPr>
          <w:rFonts w:hint="eastAsia"/>
        </w:rPr>
        <w:t xml:space="preserve">风险约束主要抬升尾部突破概率和外推期最高价分位，对第</w:t>
      </w:r>
      <w:r>
        <w:t xml:space="preserve"> 180 </w:t>
      </w:r>
      <w:r>
        <w:rPr>
          <w:rFonts w:hint="eastAsia"/>
        </w:rPr>
        <w:t xml:space="preserve">天中心附近价格影响较小。这符合二者的经济含义：GPR</w:t>
      </w:r>
      <w:r>
        <w:t xml:space="preserve"> </w:t>
      </w:r>
      <w:r>
        <w:rPr>
          <w:rFonts w:hint="eastAsia"/>
        </w:rPr>
        <w:t xml:space="preserve">和</w:t>
      </w:r>
      <w:r>
        <w:t xml:space="preserve"> OVX </w:t>
      </w:r>
      <w:r>
        <w:rPr>
          <w:rFonts w:hint="eastAsia"/>
        </w:rPr>
        <w:t xml:space="preserve">更接近地缘风险与市场隐含波动率变量，适合约束状态切换和尾部风险，而不应被解释为短期方向价格预测器。</w:t>
      </w:r>
    </w:p>
    <w:bookmarkStart w:id="132" w:name="fig:state-transition-fan"/>
    <w:p>
      <w:pPr>
        <w:pStyle w:val="CaptionedFigure"/>
      </w:pPr>
      <w:r>
        <w:drawing>
          <wp:inline>
            <wp:extent cx="5013960" cy="3654242"/>
            <wp:effectExtent b="0" l="0" r="0" t="0"/>
            <wp:docPr descr="" title="" id="130" name="Picture"/>
            <a:graphic>
              <a:graphicData uri="http://schemas.openxmlformats.org/drawingml/2006/picture">
                <pic:pic>
                  <pic:nvPicPr>
                    <pic:cNvPr descr="长期状态转移情景树.png" id="131" name="Picture"/>
                    <pic:cNvPicPr>
                      <a:picLocks noChangeArrowheads="1" noChangeAspect="1"/>
                    </pic:cNvPicPr>
                  </pic:nvPicPr>
                  <pic:blipFill>
                    <a:blip r:embed="rId129"/>
                    <a:stretch>
                      <a:fillRect/>
                    </a:stretch>
                  </pic:blipFill>
                  <pic:spPr bwMode="auto">
                    <a:xfrm>
                      <a:off x="0" y="0"/>
                      <a:ext cx="5013960" cy="3654242"/>
                    </a:xfrm>
                    <a:prstGeom prst="rect">
                      <a:avLst/>
                    </a:prstGeom>
                    <a:noFill/>
                    <a:ln w="9525">
                      <a:noFill/>
                      <a:headEnd/>
                      <a:tailEnd/>
                    </a:ln>
                  </pic:spPr>
                </pic:pic>
              </a:graphicData>
            </a:graphic>
          </wp:inline>
        </w:drawing>
      </w:r>
    </w:p>
    <w:p>
      <w:pPr>
        <w:pStyle w:val="ImageCaption"/>
      </w:pPr>
      <w:r>
        <w:rPr>
          <w:rFonts w:hint="eastAsia"/>
        </w:rPr>
        <w:t xml:space="preserve">长期状态转移情景树</w:t>
      </w:r>
    </w:p>
    <w:bookmarkEnd w:id="132"/>
    <w:p>
      <w:pPr>
        <w:pStyle w:val="BodyText"/>
      </w:pPr>
      <w:r>
        <w:rPr>
          <w:rFonts w:hint="eastAsia"/>
        </w:rPr>
        <w:t xml:space="preserve">结果显示，中性情景下价格在</w:t>
      </w:r>
      <w:r>
        <w:t xml:space="preserve"> 180 </w:t>
      </w:r>
      <w:r>
        <w:rPr>
          <w:rFonts w:hint="eastAsia"/>
        </w:rPr>
        <w:t xml:space="preserve">天附近回落至约</w:t>
      </w:r>
      <w:r>
        <w:t xml:space="preserve"> 94.15 </w:t>
      </w:r>
      <w:r>
        <w:rPr>
          <w:rFonts w:hint="eastAsia"/>
        </w:rPr>
        <w:t xml:space="preserve">美元/桶；悲观情景下，若供应中断偏大、SPR</w:t>
      </w:r>
      <w:r>
        <w:t xml:space="preserve"> </w:t>
      </w:r>
      <w:r>
        <w:rPr>
          <w:rFonts w:hint="eastAsia"/>
        </w:rPr>
        <w:t xml:space="preserve">释放弱、绕道恢复慢且风险溢价维持高位，价格仍可能再次升至</w:t>
      </w:r>
      <w:r>
        <w:t xml:space="preserve"> 120 </w:t>
      </w:r>
      <w:r>
        <w:rPr>
          <w:rFonts w:hint="eastAsia"/>
        </w:rPr>
        <w:t xml:space="preserve">美元/桶以上，并在外推期达到约</w:t>
      </w:r>
      <w:r>
        <w:t xml:space="preserve"> 133.91 </w:t>
      </w:r>
      <w:r>
        <w:rPr>
          <w:rFonts w:hint="eastAsia"/>
        </w:rPr>
        <w:t xml:space="preserve">美元/桶的高点。</w:t>
      </w:r>
      <w:hyperlink w:anchor="fig:state-transition-fan">
        <w:r>
          <w:rPr>
            <w:rStyle w:val="Hyperlink"/>
          </w:rPr>
          <w:t xml:space="preserve">8</w:t>
        </w:r>
      </w:hyperlink>
      <w:r>
        <w:t xml:space="preserve"> </w:t>
      </w:r>
      <w:r>
        <w:rPr>
          <w:rFonts w:hint="eastAsia"/>
        </w:rPr>
        <w:t xml:space="preserve">的状态转移增强模型进一步给出第</w:t>
      </w:r>
      <w:r>
        <w:t xml:space="preserve"> 180 </w:t>
      </w:r>
      <w:r>
        <w:rPr>
          <w:rFonts w:hint="eastAsia"/>
        </w:rPr>
        <w:t xml:space="preserve">天</w:t>
      </w:r>
      <w:r>
        <w:t xml:space="preserve"> 5%–95% </w:t>
      </w:r>
      <w:r>
        <w:rPr>
          <w:rFonts w:hint="eastAsia"/>
        </w:rPr>
        <w:t xml:space="preserve">条件区间</w:t>
      </w:r>
      <w:r>
        <w:t xml:space="preserve"> 86.36–96.06 </w:t>
      </w:r>
      <w:r>
        <w:rPr>
          <w:rFonts w:hint="eastAsia"/>
        </w:rPr>
        <w:t xml:space="preserve">美元/桶，外推期最高价</w:t>
      </w:r>
      <w:r>
        <w:t xml:space="preserve"> P95 </w:t>
      </w:r>
      <w:r>
        <w:rPr>
          <w:rFonts w:hint="eastAsia"/>
        </w:rPr>
        <w:t xml:space="preserve">为</w:t>
      </w:r>
      <w:r>
        <w:t xml:space="preserve"> 130.51 </w:t>
      </w:r>
      <w:r>
        <w:rPr>
          <w:rFonts w:hint="eastAsia"/>
        </w:rPr>
        <w:t xml:space="preserve">美元/桶，突破</w:t>
      </w:r>
      <w:r>
        <w:t xml:space="preserve"> 120 </w:t>
      </w:r>
      <w:r>
        <w:rPr>
          <w:rFonts w:hint="eastAsia"/>
        </w:rPr>
        <w:t xml:space="preserve">美元/桶的条件概率为</w:t>
      </w:r>
      <w:r>
        <w:t xml:space="preserve"> </w:t>
      </w:r>
      <w:r>
        <w:rPr>
          <w:rFonts w:hint="eastAsia"/>
        </w:rPr>
        <w:t xml:space="preserve">38.3%，说明长期结果应重点关注尾部区间和状态切换风险。</w:t>
      </w:r>
    </w:p>
    <w:p>
      <w:pPr>
        <w:pStyle w:val="TableCaption"/>
      </w:pPr>
      <w:r>
        <w:rPr>
          <w:rFonts w:hint="eastAsia"/>
        </w:rPr>
        <w:t xml:space="preserve">中长期油价调节模型的可信度评价框架</w:t>
      </w:r>
    </w:p>
    <w:tbl>
      <w:tblPr>
        <w:tblStyle w:val="Table"/>
        <w:tblW w:type="auto" w:w="0"/>
        <w:tblLook w:firstRow="1" w:lastRow="0" w:firstColumn="0" w:lastColumn="0" w:noHBand="0" w:noVBand="0" w:val="0020"/>
        <w:tblCaption w:val="中长期油价调节模型的可信度评价框架"/>
      </w:tblPr>
      <w:tblGrid>
        <w:gridCol w:w="2640"/>
        <w:gridCol w:w="2640"/>
        <w:gridCol w:w="2640"/>
      </w:tblGrid>
      <w:tr>
        <w:trPr>
          <w:tblHeader w:val="on"/>
        </w:trPr>
        <w:tc>
          <w:tcPr/>
          <w:p>
            <w:pPr>
              <w:pStyle w:val="Compact"/>
              <w:jc w:val="left"/>
            </w:pPr>
            <w:r>
              <w:rPr>
                <w:rFonts w:hint="eastAsia"/>
              </w:rPr>
              <w:t xml:space="preserve">评价维度</w:t>
            </w:r>
          </w:p>
        </w:tc>
        <w:tc>
          <w:tcPr/>
          <w:p>
            <w:pPr>
              <w:pStyle w:val="Compact"/>
              <w:jc w:val="left"/>
            </w:pPr>
            <w:r>
              <w:rPr>
                <w:rFonts w:hint="eastAsia"/>
              </w:rPr>
              <w:t xml:space="preserve">本文证据</w:t>
            </w:r>
          </w:p>
        </w:tc>
        <w:tc>
          <w:tcPr/>
          <w:p>
            <w:pPr>
              <w:pStyle w:val="Compact"/>
              <w:jc w:val="left"/>
            </w:pPr>
            <w:r>
              <w:rPr>
                <w:rFonts w:hint="eastAsia"/>
              </w:rPr>
              <w:t xml:space="preserve">解释边界</w:t>
            </w:r>
          </w:p>
        </w:tc>
      </w:tr>
      <w:tr>
        <w:tc>
          <w:tcPr/>
          <w:p>
            <w:pPr>
              <w:pStyle w:val="Compact"/>
              <w:jc w:val="left"/>
            </w:pPr>
            <w:r>
              <w:rPr>
                <w:rFonts w:hint="eastAsia"/>
              </w:rPr>
              <w:t xml:space="preserve">机制一致性</w:t>
            </w:r>
          </w:p>
        </w:tc>
        <w:tc>
          <w:tcPr/>
          <w:p>
            <w:pPr>
              <w:pStyle w:val="Compact"/>
              <w:jc w:val="left"/>
            </w:pPr>
            <w:r>
              <w:t xml:space="preserve">SPR </w:t>
            </w:r>
            <w:r>
              <w:rPr>
                <w:rFonts w:hint="eastAsia"/>
              </w:rPr>
              <w:t xml:space="preserve">自适应收缩、长期需求弹性、供给恢复和风险溢价衰减进入同一递推式</w:t>
            </w:r>
          </w:p>
        </w:tc>
        <w:tc>
          <w:tcPr/>
          <w:p>
            <w:pPr>
              <w:pStyle w:val="Compact"/>
              <w:jc w:val="left"/>
            </w:pPr>
            <w:r>
              <w:rPr>
                <w:rFonts w:hint="eastAsia"/>
              </w:rPr>
              <w:t xml:space="preserve">检验情景逻辑是否自洽</w:t>
            </w:r>
          </w:p>
        </w:tc>
      </w:tr>
      <w:tr>
        <w:tc>
          <w:tcPr/>
          <w:p>
            <w:pPr>
              <w:pStyle w:val="Compact"/>
              <w:jc w:val="left"/>
            </w:pPr>
            <w:r>
              <w:rPr>
                <w:rFonts w:hint="eastAsia"/>
              </w:rPr>
              <w:t xml:space="preserve">外部数量级校验</w:t>
            </w:r>
          </w:p>
        </w:tc>
        <w:tc>
          <w:tcPr/>
          <w:p>
            <w:pPr>
              <w:pStyle w:val="Compact"/>
              <w:jc w:val="left"/>
            </w:pPr>
            <w:r>
              <w:t xml:space="preserve">EIA </w:t>
            </w:r>
            <w:r>
              <w:rPr>
                <w:rFonts w:hint="eastAsia"/>
              </w:rPr>
              <w:t xml:space="preserve">周度</w:t>
            </w:r>
            <w:r>
              <w:t xml:space="preserve"> </w:t>
            </w:r>
            <w:r>
              <w:rPr>
                <w:rFonts w:hint="eastAsia"/>
              </w:rPr>
              <w:t xml:space="preserve">SPR、商业库存和美国原油产量，叠加</w:t>
            </w:r>
            <w:r>
              <w:t xml:space="preserve"> JODI </w:t>
            </w:r>
            <w:r>
              <w:rPr>
                <w:rFonts w:hint="eastAsia"/>
              </w:rPr>
              <w:t xml:space="preserve">多国月度产量、库存、进出口、需求和炼厂产出、OPEC</w:t>
            </w:r>
            <w:r>
              <w:t xml:space="preserve"> </w:t>
            </w:r>
            <w:r>
              <w:rPr>
                <w:rFonts w:hint="eastAsia"/>
              </w:rPr>
              <w:t xml:space="preserve">全球供需平衡表，以及</w:t>
            </w:r>
            <w:r>
              <w:t xml:space="preserve"> OVX </w:t>
            </w:r>
            <w:r>
              <w:rPr>
                <w:rFonts w:hint="eastAsia"/>
              </w:rPr>
              <w:t xml:space="preserve">隐含波动率</w:t>
            </w:r>
          </w:p>
        </w:tc>
        <w:tc>
          <w:tcPr/>
          <w:p>
            <w:pPr>
              <w:pStyle w:val="Compact"/>
              <w:jc w:val="left"/>
            </w:pPr>
            <w:r>
              <w:rPr>
                <w:rFonts w:hint="eastAsia"/>
              </w:rPr>
              <w:t xml:space="preserve">用于数量级和风险约束</w:t>
            </w:r>
          </w:p>
        </w:tc>
      </w:tr>
      <w:tr>
        <w:tc>
          <w:tcPr/>
          <w:p>
            <w:pPr>
              <w:pStyle w:val="Compact"/>
              <w:jc w:val="left"/>
            </w:pPr>
            <w:r>
              <w:rPr>
                <w:rFonts w:hint="eastAsia"/>
              </w:rPr>
              <w:t xml:space="preserve">单因素敏感性</w:t>
            </w:r>
          </w:p>
        </w:tc>
        <w:tc>
          <w:tcPr/>
          <w:p>
            <w:pPr>
              <w:pStyle w:val="Compact"/>
              <w:jc w:val="left"/>
            </w:pPr>
            <w:r>
              <w:rPr>
                <w:rFonts w:hint="eastAsia"/>
              </w:rPr>
              <w:t xml:space="preserve">第</w:t>
            </w:r>
            <w:r>
              <w:t xml:space="preserve"> 180 </w:t>
            </w:r>
            <w:r>
              <w:rPr>
                <w:rFonts w:hint="eastAsia"/>
              </w:rPr>
              <w:t xml:space="preserve">天价格对封锁风险衰减速度、地缘风险权重和制度风险强度最敏感</w:t>
            </w:r>
          </w:p>
        </w:tc>
        <w:tc>
          <w:tcPr/>
          <w:p>
            <w:pPr>
              <w:pStyle w:val="Compact"/>
              <w:jc w:val="left"/>
            </w:pPr>
            <w:r>
              <w:rPr>
                <w:rFonts w:hint="eastAsia"/>
              </w:rPr>
              <w:t xml:space="preserve">识别关键变量，不给出联合概率</w:t>
            </w:r>
          </w:p>
        </w:tc>
      </w:tr>
      <w:tr>
        <w:tc>
          <w:tcPr/>
          <w:p>
            <w:pPr>
              <w:pStyle w:val="Compact"/>
              <w:jc w:val="left"/>
            </w:pPr>
            <w:r>
              <w:rPr>
                <w:rFonts w:hint="eastAsia"/>
              </w:rPr>
              <w:t xml:space="preserve">蒙特卡洛情景树</w:t>
            </w:r>
          </w:p>
        </w:tc>
        <w:tc>
          <w:tcPr/>
          <w:p>
            <w:pPr>
              <w:pStyle w:val="Compact"/>
              <w:jc w:val="left"/>
            </w:pPr>
            <w:r>
              <w:rPr>
                <w:rFonts w:hint="eastAsia"/>
              </w:rPr>
              <w:t xml:space="preserve">第</w:t>
            </w:r>
            <w:r>
              <w:t xml:space="preserve"> 180 </w:t>
            </w:r>
            <w:r>
              <w:rPr>
                <w:rFonts w:hint="eastAsia"/>
              </w:rPr>
              <w:t xml:space="preserve">天价格</w:t>
            </w:r>
            <w:r>
              <w:t xml:space="preserve"> P05–P95 </w:t>
            </w:r>
            <w:r>
              <w:rPr>
                <w:rFonts w:hint="eastAsia"/>
              </w:rPr>
              <w:t xml:space="preserve">为</w:t>
            </w:r>
            <w:r>
              <w:t xml:space="preserve"> 89.58–106.44 </w:t>
            </w:r>
            <w:r>
              <w:rPr>
                <w:rFonts w:hint="eastAsia"/>
              </w:rPr>
              <w:t xml:space="preserve">美元/桶，最高价突破</w:t>
            </w:r>
            <w:r>
              <w:t xml:space="preserve"> 120 </w:t>
            </w:r>
            <w:r>
              <w:rPr>
                <w:rFonts w:hint="eastAsia"/>
              </w:rPr>
              <w:t xml:space="preserve">概率约</w:t>
            </w:r>
            <w:r>
              <w:t xml:space="preserve"> 16.3%</w:t>
            </w:r>
          </w:p>
        </w:tc>
        <w:tc>
          <w:tcPr/>
          <w:p>
            <w:pPr>
              <w:pStyle w:val="Compact"/>
              <w:jc w:val="left"/>
            </w:pPr>
            <w:r>
              <w:rPr>
                <w:rFonts w:hint="eastAsia"/>
              </w:rPr>
              <w:t xml:space="preserve">条件概率，不是无条件市场概率</w:t>
            </w:r>
          </w:p>
        </w:tc>
      </w:tr>
      <w:tr>
        <w:tc>
          <w:tcPr/>
          <w:p>
            <w:pPr>
              <w:pStyle w:val="Compact"/>
              <w:jc w:val="left"/>
            </w:pPr>
            <w:r>
              <w:rPr>
                <w:rFonts w:hint="eastAsia"/>
              </w:rPr>
              <w:t xml:space="preserve">状态转移情景树</w:t>
            </w:r>
          </w:p>
        </w:tc>
        <w:tc>
          <w:tcPr/>
          <w:p>
            <w:pPr>
              <w:pStyle w:val="Compact"/>
              <w:jc w:val="left"/>
            </w:pPr>
            <w:r>
              <w:rPr>
                <w:rFonts w:hint="eastAsia"/>
              </w:rPr>
              <w:t xml:space="preserve">第</w:t>
            </w:r>
            <w:r>
              <w:t xml:space="preserve"> 180 </w:t>
            </w:r>
            <w:r>
              <w:rPr>
                <w:rFonts w:hint="eastAsia"/>
              </w:rPr>
              <w:t xml:space="preserve">天价格</w:t>
            </w:r>
            <w:r>
              <w:t xml:space="preserve"> P05–P95 </w:t>
            </w:r>
            <w:r>
              <w:rPr>
                <w:rFonts w:hint="eastAsia"/>
              </w:rPr>
              <w:t xml:space="preserve">为</w:t>
            </w:r>
            <w:r>
              <w:t xml:space="preserve"> 86.36–96.06 </w:t>
            </w:r>
            <w:r>
              <w:rPr>
                <w:rFonts w:hint="eastAsia"/>
              </w:rPr>
              <w:t xml:space="preserve">美元/桶，外推期最高价</w:t>
            </w:r>
            <w:r>
              <w:t xml:space="preserve"> P95 </w:t>
            </w:r>
            <w:r>
              <w:rPr>
                <w:rFonts w:hint="eastAsia"/>
              </w:rPr>
              <w:t xml:space="preserve">为</w:t>
            </w:r>
            <w:r>
              <w:t xml:space="preserve"> 130.51 </w:t>
            </w:r>
            <w:r>
              <w:rPr>
                <w:rFonts w:hint="eastAsia"/>
              </w:rPr>
              <w:t xml:space="preserve">美元/桶，突破</w:t>
            </w:r>
            <w:r>
              <w:t xml:space="preserve"> 120 </w:t>
            </w:r>
            <w:r>
              <w:rPr>
                <w:rFonts w:hint="eastAsia"/>
              </w:rPr>
              <w:t xml:space="preserve">概率约</w:t>
            </w:r>
            <w:r>
              <w:t xml:space="preserve"> 38.3%</w:t>
            </w:r>
          </w:p>
        </w:tc>
        <w:tc>
          <w:tcPr/>
          <w:p>
            <w:pPr>
              <w:pStyle w:val="Compact"/>
              <w:jc w:val="left"/>
            </w:pPr>
            <w:r>
              <w:rPr>
                <w:rFonts w:hint="eastAsia"/>
              </w:rPr>
              <w:t xml:space="preserve">用于解释平滑中心线之外的事件状态切换和短期扰动</w:t>
            </w:r>
          </w:p>
        </w:tc>
      </w:tr>
    </w:tbl>
    <w:p>
      <w:pPr>
        <w:pStyle w:val="BodyText"/>
      </w:pPr>
      <w:r>
        <w:rPr>
          <w:rFonts w:hint="eastAsia"/>
        </w:rPr>
        <w:t xml:space="preserve">从价格平衡点看，乐观情景最终回落至约</w:t>
      </w:r>
      <w:r>
        <w:t xml:space="preserve"> 87.78 </w:t>
      </w:r>
      <w:r>
        <w:rPr>
          <w:rFonts w:hint="eastAsia"/>
        </w:rPr>
        <w:t xml:space="preserve">美元/桶，说明若</w:t>
      </w:r>
      <w:r>
        <w:t xml:space="preserve"> SPR </w:t>
      </w:r>
      <w:r>
        <w:rPr>
          <w:rFonts w:hint="eastAsia"/>
        </w:rPr>
        <w:t xml:space="preserve">可用上限较高、绕道运输恢复充分且长期需求弹性发挥作用，油价可以逐步脱离</w:t>
      </w:r>
      <w:r>
        <w:t xml:space="preserve"> 110–120 </w:t>
      </w:r>
      <w:r>
        <w:rPr>
          <w:rFonts w:hint="eastAsia"/>
        </w:rPr>
        <w:t xml:space="preserve">美元平台。中性情景第</w:t>
      </w:r>
      <w:r>
        <w:t xml:space="preserve"> 180 </w:t>
      </w:r>
      <w:r>
        <w:rPr>
          <w:rFonts w:hint="eastAsia"/>
        </w:rPr>
        <w:t xml:space="preserve">天约为</w:t>
      </w:r>
      <w:r>
        <w:t xml:space="preserve"> 94.15 </w:t>
      </w:r>
      <w:r>
        <w:rPr>
          <w:rFonts w:hint="eastAsia"/>
        </w:rPr>
        <w:t xml:space="preserve">美元/桶，更接近政策缓冲与市场风险重新平衡后的中心水平；此时实际</w:t>
      </w:r>
      <w:r>
        <w:t xml:space="preserve"> SPR </w:t>
      </w:r>
      <w:r>
        <w:rPr>
          <w:rFonts w:hint="eastAsia"/>
        </w:rPr>
        <w:t xml:space="preserve">释放已经从计划上限自动收缩，且物理缺口基本闭合，说明价格回落不是依赖政策变量机械满额托底。悲观情景第</w:t>
      </w:r>
      <w:r>
        <w:t xml:space="preserve"> 180 </w:t>
      </w:r>
      <w:r>
        <w:rPr>
          <w:rFonts w:hint="eastAsia"/>
        </w:rPr>
        <w:t xml:space="preserve">天仍为</w:t>
      </w:r>
      <w:r>
        <w:t xml:space="preserve"> 110.16 </w:t>
      </w:r>
      <w:r>
        <w:rPr>
          <w:rFonts w:hint="eastAsia"/>
        </w:rPr>
        <w:t xml:space="preserve">美元/桶，说明若供应中断规模接近上界、SPR</w:t>
      </w:r>
      <w:r>
        <w:t xml:space="preserve"> </w:t>
      </w:r>
      <w:r>
        <w:rPr>
          <w:rFonts w:hint="eastAsia"/>
        </w:rPr>
        <w:t xml:space="preserve">释放不足且制度风险溢价持续，市场仍可能维持相对高位，并保留二次跳涨尾部风险。</w:t>
      </w:r>
    </w:p>
    <w:p>
      <w:pPr>
        <w:pStyle w:val="BodyText"/>
      </w:pPr>
      <w:r>
        <w:rPr>
          <w:rFonts w:hint="eastAsia"/>
        </w:rPr>
        <w:t xml:space="preserve">中性第</w:t>
      </w:r>
      <w:r>
        <w:t xml:space="preserve"> 180 </w:t>
      </w:r>
      <w:r>
        <w:rPr>
          <w:rFonts w:hint="eastAsia"/>
        </w:rPr>
        <w:t xml:space="preserve">天物理缺口已基本闭合，但价格仍高于战前</w:t>
      </w:r>
      <w:r>
        <w:t xml:space="preserve"> 75 </w:t>
      </w:r>
      <w:r>
        <w:rPr>
          <w:rFonts w:hint="eastAsia"/>
        </w:rPr>
        <w:t xml:space="preserve">美元/桶，原因是模型中仍保留不确定性和制度风险溢价。该设定表示：即便物理缺口基本闭合，只要霍尔木兹封锁的制度状态没有完全解除，市场仍会对运输保险、航运安全、库存再补充和再次升级风险给出残余溢价。因此</w:t>
      </w:r>
      <w:r>
        <w:t xml:space="preserve"> 94.15 </w:t>
      </w:r>
      <w:r>
        <w:rPr>
          <w:rFonts w:hint="eastAsia"/>
        </w:rPr>
        <w:t xml:space="preserve">美元/桶应理解为</w:t>
      </w:r>
      <w:r>
        <w:rPr>
          <w:rFonts w:hint="eastAsia"/>
        </w:rPr>
        <w:t xml:space="preserve">“物理缺口闭合但制度风险尚未完全消失”</w:t>
      </w:r>
      <w:r>
        <w:rPr>
          <w:rFonts w:hint="eastAsia"/>
        </w:rPr>
        <w:t xml:space="preserve">条件下的中心路径。</w:t>
      </w:r>
    </w:p>
    <w:p>
      <w:pPr>
        <w:pStyle w:val="CaptionedFigure"/>
      </w:pPr>
      <w:r>
        <w:drawing>
          <wp:inline>
            <wp:extent cx="4907280" cy="3413760"/>
            <wp:effectExtent b="0" l="0" r="0" t="0"/>
            <wp:docPr descr="" title="" id="134" name="Picture"/>
            <a:graphic>
              <a:graphicData uri="http://schemas.openxmlformats.org/drawingml/2006/picture">
                <pic:pic>
                  <pic:nvPicPr>
                    <pic:cNvPr descr="库存与供需缺口风险.png" id="135" name="Picture"/>
                    <pic:cNvPicPr>
                      <a:picLocks noChangeArrowheads="1" noChangeAspect="1"/>
                    </pic:cNvPicPr>
                  </pic:nvPicPr>
                  <pic:blipFill>
                    <a:blip r:embed="rId133"/>
                    <a:stretch>
                      <a:fillRect/>
                    </a:stretch>
                  </pic:blipFill>
                  <pic:spPr bwMode="auto">
                    <a:xfrm>
                      <a:off x="0" y="0"/>
                      <a:ext cx="4907280" cy="3413760"/>
                    </a:xfrm>
                    <a:prstGeom prst="rect">
                      <a:avLst/>
                    </a:prstGeom>
                    <a:noFill/>
                    <a:ln w="9525">
                      <a:noFill/>
                      <a:headEnd/>
                      <a:tailEnd/>
                    </a:ln>
                  </pic:spPr>
                </pic:pic>
              </a:graphicData>
            </a:graphic>
          </wp:inline>
        </w:drawing>
      </w:r>
    </w:p>
    <w:p>
      <w:pPr>
        <w:pStyle w:val="ImageCaption"/>
      </w:pPr>
      <w:r>
        <w:rPr>
          <w:rFonts w:hint="eastAsia"/>
        </w:rPr>
        <w:t xml:space="preserve">商业库存剩余量与剩余供需缺口变化</w:t>
      </w:r>
    </w:p>
    <w:bookmarkEnd w:id="136"/>
    <w:bookmarkEnd w:id="137"/>
    <w:bookmarkStart w:id="181" w:name="敏感性分析"/>
    <w:p>
      <w:pPr>
        <w:pStyle w:val="Heading1"/>
      </w:pPr>
      <w:r>
        <w:rPr>
          <w:rFonts w:hint="eastAsia"/>
        </w:rPr>
        <w:t xml:space="preserve">敏感性分析</w:t>
      </w:r>
    </w:p>
    <w:bookmarkStart w:id="138" w:name="分析方法"/>
    <w:p>
      <w:pPr>
        <w:pStyle w:val="Heading2"/>
      </w:pPr>
      <w:r>
        <w:rPr>
          <w:rFonts w:hint="eastAsia"/>
        </w:rPr>
        <w:t xml:space="preserve">分析方法</w:t>
      </w:r>
    </w:p>
    <w:p>
      <w:pPr>
        <w:pStyle w:val="FirstParagraph"/>
      </w:pPr>
      <w:r>
        <w:rPr>
          <w:rFonts w:hint="eastAsia"/>
        </w:rPr>
        <w:t xml:space="preserve">敏感性分析以中性情景为基准，对</w:t>
      </w:r>
      <w:r>
        <w:t xml:space="preserve"> 16 </w:t>
      </w:r>
      <w:r>
        <w:rPr>
          <w:rFonts w:hint="eastAsia"/>
        </w:rPr>
        <w:t xml:space="preserve">个关键参数进行单因素扰动，观察第</w:t>
      </w:r>
      <w:r>
        <w:t xml:space="preserve"> 180 </w:t>
      </w:r>
      <w:r>
        <w:rPr>
          <w:rFonts w:hint="eastAsia"/>
        </w:rPr>
        <w:t xml:space="preserve">天价格、外推期最高价、剩余供需缺口和二次跳涨风险变化。除题面物理量和行为参数外，本阶段还把长期机制强度参数单独纳入检验，使长期结论的关键常数透明化。</w:t>
      </w:r>
    </w:p>
    <w:p>
      <w:pPr>
        <w:pStyle w:val="BodyText"/>
      </w:pPr>
      <w:r>
        <w:rPr>
          <w:rFonts w:hint="eastAsia"/>
        </w:rPr>
        <w:t xml:space="preserve">设参数</w:t>
      </w:r>
      <w:r>
        <w:t xml:space="preserve"> </w:t>
      </w:r>
      <m:oMath>
        <m:sSub>
          <m:e>
            <m:r>
              <m:t>θ</m:t>
            </m:r>
          </m:e>
          <m:sub>
            <m:r>
              <m:t>j</m:t>
            </m:r>
          </m:sub>
        </m:sSub>
      </m:oMath>
      <w:r>
        <w:t xml:space="preserve"> </w:t>
      </w:r>
      <w:r>
        <w:rPr>
          <w:rFonts w:hint="eastAsia"/>
        </w:rPr>
        <w:t xml:space="preserve">在扰动集合</w:t>
      </w:r>
      <w:r>
        <w:t xml:space="preserve"> </w:t>
      </w:r>
      <m:oMath>
        <m:sSub>
          <m:e>
            <m:r>
              <m:rPr>
                <m:sty m:val="p"/>
              </m:rPr>
              <m:t>Ω</m:t>
            </m:r>
          </m:e>
          <m:sub>
            <m:r>
              <m:t>j</m:t>
            </m:r>
          </m:sub>
        </m:sSub>
        <m:r>
          <m:rPr>
            <m:sty m:val="p"/>
          </m:rPr>
          <m:t>=</m:t>
        </m:r>
        <m:r>
          <m:rPr>
            <m:sty m:val="p"/>
          </m:rPr>
          <m:t>{</m:t>
        </m:r>
        <m:sSubSup>
          <m:e>
            <m:r>
              <m:t>θ</m:t>
            </m:r>
          </m:e>
          <m:sub>
            <m:r>
              <m:t>j</m:t>
            </m:r>
          </m:sub>
          <m:sup>
            <m:r>
              <m:rPr>
                <m:sty m:val="p"/>
              </m:rPr>
              <m:t>(</m:t>
            </m:r>
            <m:r>
              <m:t>1</m:t>
            </m:r>
            <m:r>
              <m:rPr>
                <m:sty m:val="p"/>
              </m:rPr>
              <m:t>)</m:t>
            </m:r>
          </m:sup>
        </m:sSubSup>
        <m:r>
          <m:rPr>
            <m:sty m:val="p"/>
          </m:rPr>
          <m:t>,</m:t>
        </m:r>
        <m:r>
          <m:rPr>
            <m:sty m:val="p"/>
          </m:rPr>
          <m:t>…</m:t>
        </m:r>
        <m:r>
          <m:rPr>
            <m:sty m:val="p"/>
          </m:rPr>
          <m:t>,</m:t>
        </m:r>
        <m:sSubSup>
          <m:e>
            <m:r>
              <m:t>θ</m:t>
            </m:r>
          </m:e>
          <m:sub>
            <m:r>
              <m:t>j</m:t>
            </m:r>
          </m:sub>
          <m:sup>
            <m:r>
              <m:rPr>
                <m:sty m:val="p"/>
              </m:rPr>
              <m:t>(</m:t>
            </m:r>
            <m:r>
              <m:t>m</m:t>
            </m:r>
            <m:r>
              <m:rPr>
                <m:sty m:val="p"/>
              </m:rPr>
              <m:t>)</m:t>
            </m:r>
          </m:sup>
        </m:sSubSup>
        <m:r>
          <m:rPr>
            <m:sty m:val="p"/>
          </m:rPr>
          <m:t>}</m:t>
        </m:r>
      </m:oMath>
      <w:r>
        <w:t xml:space="preserve"> </w:t>
      </w:r>
      <w:r>
        <w:rPr>
          <w:rFonts w:hint="eastAsia"/>
        </w:rPr>
        <w:t xml:space="preserve">上取值，其他参数固定为中性情景。记由长期递推模型得到的第</w:t>
      </w:r>
      <w:r>
        <w:t xml:space="preserve"> 180 </w:t>
      </w:r>
      <w:r>
        <w:rPr>
          <w:rFonts w:hint="eastAsia"/>
        </w:rPr>
        <w:t xml:space="preserve">天价格、外推期最高价和第</w:t>
      </w:r>
      <w:r>
        <w:t xml:space="preserve"> 180 </w:t>
      </w:r>
      <w:r>
        <w:rPr>
          <w:rFonts w:hint="eastAsia"/>
        </w:rPr>
        <w:t xml:space="preserve">天剩余缺口分别为</w:t>
      </w:r>
      <w:r>
        <w:t xml:space="preserve"> </w:t>
      </w:r>
      <m:oMath>
        <m:sSub>
          <m:e>
            <m:r>
              <m:t>P</m:t>
            </m:r>
          </m:e>
          <m:sub>
            <m:r>
              <m:t>180</m:t>
            </m:r>
          </m:sub>
        </m:sSub>
        <m:r>
          <m:rPr>
            <m:sty m:val="p"/>
          </m:rPr>
          <m:t>(</m:t>
        </m:r>
        <m:sSubSup>
          <m:e>
            <m:r>
              <m:t>θ</m:t>
            </m:r>
          </m:e>
          <m:sub>
            <m:r>
              <m:t>j</m:t>
            </m:r>
          </m:sub>
          <m:sup>
            <m:r>
              <m:rPr>
                <m:sty m:val="p"/>
              </m:rPr>
              <m:t>(</m:t>
            </m:r>
            <m:r>
              <m:t>r</m:t>
            </m:r>
            <m:r>
              <m:rPr>
                <m:sty m:val="p"/>
              </m:rPr>
              <m:t>)</m:t>
            </m:r>
          </m:sup>
        </m:sSubSup>
        <m:r>
          <m:rPr>
            <m:sty m:val="p"/>
          </m:rPr>
          <m:t>)</m:t>
        </m:r>
      </m:oMath>
      <w:r>
        <w:t xml:space="preserve">、</w:t>
      </w:r>
      <m:oMath>
        <m:sSub>
          <m:e>
            <m:r>
              <m:t>P</m:t>
            </m:r>
          </m:e>
          <m:sub>
            <m:r>
              <m:rPr>
                <m:sty m:val="p"/>
              </m:rPr>
              <m:t>max</m:t>
            </m:r>
          </m:sub>
        </m:sSub>
        <m:r>
          <m:rPr>
            <m:sty m:val="p"/>
          </m:rPr>
          <m:t>(</m:t>
        </m:r>
        <m:sSubSup>
          <m:e>
            <m:r>
              <m:t>θ</m:t>
            </m:r>
          </m:e>
          <m:sub>
            <m:r>
              <m:t>j</m:t>
            </m:r>
          </m:sub>
          <m:sup>
            <m:r>
              <m:rPr>
                <m:sty m:val="p"/>
              </m:rPr>
              <m:t>(</m:t>
            </m:r>
            <m:r>
              <m:t>r</m:t>
            </m:r>
            <m:r>
              <m:rPr>
                <m:sty m:val="p"/>
              </m:rPr>
              <m:t>)</m:t>
            </m:r>
          </m:sup>
        </m:sSubSup>
        <m:r>
          <m:rPr>
            <m:sty m:val="p"/>
          </m:rPr>
          <m:t>)</m:t>
        </m:r>
      </m:oMath>
      <w:r>
        <w:t xml:space="preserve"> </w:t>
      </w:r>
      <w:r>
        <w:rPr>
          <w:rFonts w:hint="eastAsia"/>
        </w:rPr>
        <w:t xml:space="preserve">和</w:t>
      </w:r>
      <w:r>
        <w:t xml:space="preserve"> </w:t>
      </w:r>
      <m:oMath>
        <m:sSub>
          <m:e>
            <m:r>
              <m:t>G</m:t>
            </m:r>
          </m:e>
          <m:sub>
            <m:r>
              <m:t>180</m:t>
            </m:r>
          </m:sub>
        </m:sSub>
        <m:r>
          <m:rPr>
            <m:sty m:val="p"/>
          </m:rPr>
          <m:t>(</m:t>
        </m:r>
        <m:sSubSup>
          <m:e>
            <m:r>
              <m:t>θ</m:t>
            </m:r>
          </m:e>
          <m:sub>
            <m:r>
              <m:t>j</m:t>
            </m:r>
          </m:sub>
          <m:sup>
            <m:r>
              <m:rPr>
                <m:sty m:val="p"/>
              </m:rPr>
              <m:t>(</m:t>
            </m:r>
            <m:r>
              <m:t>r</m:t>
            </m:r>
            <m:r>
              <m:rPr>
                <m:sty m:val="p"/>
              </m:rPr>
              <m:t>)</m:t>
            </m:r>
          </m:sup>
        </m:sSubSup>
        <m:r>
          <m:rPr>
            <m:sty m:val="p"/>
          </m:rPr>
          <m:t>)</m:t>
        </m:r>
      </m:oMath>
      <w:r>
        <w:rPr>
          <w:rFonts w:hint="eastAsia"/>
        </w:rPr>
        <w:t xml:space="preserve">，则三类响应幅度定义为</w:t>
      </w:r>
    </w:p>
    <w:p>
      <w:pPr>
        <w:pStyle w:val="BodyText"/>
      </w:pPr>
      <m:oMathPara>
        <m:oMathParaPr>
          <m:jc m:val="center"/>
        </m:oMathParaPr>
        <m:oMath>
          <m:eqArr>
            <m:e>
              <m:r>
                <m:rPr>
                  <m:sty m:val="p"/>
                </m:rPr>
                <m:t>Δ</m:t>
              </m:r>
              <m:sSubSup>
                <m:e>
                  <m:r>
                    <m:t>P</m:t>
                  </m:r>
                </m:e>
                <m:sub>
                  <m:r>
                    <m:t>180</m:t>
                  </m:r>
                </m:sub>
                <m:sup>
                  <m:r>
                    <m:rPr>
                      <m:sty m:val="p"/>
                    </m:rPr>
                    <m:t>(</m:t>
                  </m:r>
                  <m:r>
                    <m:t>j</m:t>
                  </m:r>
                  <m:r>
                    <m:rPr>
                      <m:sty m:val="p"/>
                    </m:rPr>
                    <m:t>)</m:t>
                  </m:r>
                </m:sup>
              </m:sSubSup>
              <m:r>
                <m:t>&amp;</m:t>
              </m:r>
              <m:r>
                <m:rPr>
                  <m:sty m:val="p"/>
                </m:rPr>
                <m:t>=</m:t>
              </m:r>
              <m:limLow>
                <m:e>
                  <m:r>
                    <m:rPr>
                      <m:sty m:val="p"/>
                    </m:rPr>
                    <m:t>max</m:t>
                  </m:r>
                </m:e>
                <m:lim>
                  <m:r>
                    <m:t>r</m:t>
                  </m:r>
                </m:lim>
              </m:limLow>
              <m:sSub>
                <m:e>
                  <m:r>
                    <m:t>P</m:t>
                  </m:r>
                </m:e>
                <m:sub>
                  <m:r>
                    <m:t>180</m:t>
                  </m:r>
                </m:sub>
              </m:sSub>
              <m:r>
                <m:rPr>
                  <m:sty m:val="p"/>
                </m:rPr>
                <m:t>(</m:t>
              </m:r>
              <m:sSubSup>
                <m:e>
                  <m:r>
                    <m:t>θ</m:t>
                  </m:r>
                </m:e>
                <m:sub>
                  <m:r>
                    <m:t>j</m:t>
                  </m:r>
                </m:sub>
                <m:sup>
                  <m:r>
                    <m:rPr>
                      <m:sty m:val="p"/>
                    </m:rPr>
                    <m:t>(</m:t>
                  </m:r>
                  <m:r>
                    <m:t>r</m:t>
                  </m:r>
                  <m:r>
                    <m:rPr>
                      <m:sty m:val="p"/>
                    </m:rPr>
                    <m:t>)</m:t>
                  </m:r>
                </m:sup>
              </m:sSubSup>
              <m:r>
                <m:rPr>
                  <m:sty m:val="p"/>
                </m:rPr>
                <m:t>)</m:t>
              </m:r>
              <m:r>
                <m:rPr>
                  <m:sty m:val="p"/>
                </m:rPr>
                <m:t>−</m:t>
              </m:r>
              <m:limLow>
                <m:e>
                  <m:r>
                    <m:rPr>
                      <m:sty m:val="p"/>
                    </m:rPr>
                    <m:t>min</m:t>
                  </m:r>
                </m:e>
                <m:lim>
                  <m:r>
                    <m:t>r</m:t>
                  </m:r>
                </m:lim>
              </m:limLow>
              <m:sSub>
                <m:e>
                  <m:r>
                    <m:t>P</m:t>
                  </m:r>
                </m:e>
                <m:sub>
                  <m:r>
                    <m:t>180</m:t>
                  </m:r>
                </m:sub>
              </m:sSub>
              <m:r>
                <m:rPr>
                  <m:sty m:val="p"/>
                </m:rPr>
                <m:t>(</m:t>
              </m:r>
              <m:sSubSup>
                <m:e>
                  <m:r>
                    <m:t>θ</m:t>
                  </m:r>
                </m:e>
                <m:sub>
                  <m:r>
                    <m:t>j</m:t>
                  </m:r>
                </m:sub>
                <m:sup>
                  <m:r>
                    <m:rPr>
                      <m:sty m:val="p"/>
                    </m:rPr>
                    <m:t>(</m:t>
                  </m:r>
                  <m:r>
                    <m:t>r</m:t>
                  </m:r>
                  <m:r>
                    <m:rPr>
                      <m:sty m:val="p"/>
                    </m:rPr>
                    <m:t>)</m:t>
                  </m:r>
                </m:sup>
              </m:sSubSup>
              <m:r>
                <m:rPr>
                  <m:sty m:val="p"/>
                </m:rPr>
                <m:t>)</m:t>
              </m:r>
              <m:r>
                <m:rPr>
                  <m:sty m:val="p"/>
                </m:rPr>
                <m:t>,</m:t>
              </m:r>
            </m:e>
            <m:e>
              <m:r>
                <m:rPr>
                  <m:sty m:val="p"/>
                </m:rPr>
                <m:t>Δ</m:t>
              </m:r>
              <m:sSubSup>
                <m:e>
                  <m:r>
                    <m:t>P</m:t>
                  </m:r>
                </m:e>
                <m:sub>
                  <m:r>
                    <m:rPr>
                      <m:sty m:val="p"/>
                    </m:rPr>
                    <m:t>max</m:t>
                  </m:r>
                </m:sub>
                <m:sup>
                  <m:r>
                    <m:rPr>
                      <m:sty m:val="p"/>
                    </m:rPr>
                    <m:t>(</m:t>
                  </m:r>
                  <m:r>
                    <m:t>j</m:t>
                  </m:r>
                  <m:r>
                    <m:rPr>
                      <m:sty m:val="p"/>
                    </m:rPr>
                    <m:t>)</m:t>
                  </m:r>
                </m:sup>
              </m:sSubSup>
              <m:r>
                <m:t>&amp;</m:t>
              </m:r>
              <m:r>
                <m:rPr>
                  <m:sty m:val="p"/>
                </m:rPr>
                <m:t>=</m:t>
              </m:r>
              <m:limLow>
                <m:e>
                  <m:r>
                    <m:rPr>
                      <m:sty m:val="p"/>
                    </m:rPr>
                    <m:t>max</m:t>
                  </m:r>
                </m:e>
                <m:lim>
                  <m:r>
                    <m:t>r</m:t>
                  </m:r>
                </m:lim>
              </m:limLow>
              <m:sSub>
                <m:e>
                  <m:r>
                    <m:t>P</m:t>
                  </m:r>
                </m:e>
                <m:sub>
                  <m:r>
                    <m:rPr>
                      <m:sty m:val="p"/>
                    </m:rPr>
                    <m:t>max</m:t>
                  </m:r>
                </m:sub>
              </m:sSub>
              <m:r>
                <m:rPr>
                  <m:sty m:val="p"/>
                </m:rPr>
                <m:t>(</m:t>
              </m:r>
              <m:sSubSup>
                <m:e>
                  <m:r>
                    <m:t>θ</m:t>
                  </m:r>
                </m:e>
                <m:sub>
                  <m:r>
                    <m:t>j</m:t>
                  </m:r>
                </m:sub>
                <m:sup>
                  <m:r>
                    <m:rPr>
                      <m:sty m:val="p"/>
                    </m:rPr>
                    <m:t>(</m:t>
                  </m:r>
                  <m:r>
                    <m:t>r</m:t>
                  </m:r>
                  <m:r>
                    <m:rPr>
                      <m:sty m:val="p"/>
                    </m:rPr>
                    <m:t>)</m:t>
                  </m:r>
                </m:sup>
              </m:sSubSup>
              <m:r>
                <m:rPr>
                  <m:sty m:val="p"/>
                </m:rPr>
                <m:t>)</m:t>
              </m:r>
              <m:r>
                <m:rPr>
                  <m:sty m:val="p"/>
                </m:rPr>
                <m:t>−</m:t>
              </m:r>
              <m:limLow>
                <m:e>
                  <m:r>
                    <m:rPr>
                      <m:sty m:val="p"/>
                    </m:rPr>
                    <m:t>min</m:t>
                  </m:r>
                </m:e>
                <m:lim>
                  <m:r>
                    <m:t>r</m:t>
                  </m:r>
                </m:lim>
              </m:limLow>
              <m:sSub>
                <m:e>
                  <m:r>
                    <m:t>P</m:t>
                  </m:r>
                </m:e>
                <m:sub>
                  <m:r>
                    <m:rPr>
                      <m:sty m:val="p"/>
                    </m:rPr>
                    <m:t>max</m:t>
                  </m:r>
                </m:sub>
              </m:sSub>
              <m:r>
                <m:rPr>
                  <m:sty m:val="p"/>
                </m:rPr>
                <m:t>(</m:t>
              </m:r>
              <m:sSubSup>
                <m:e>
                  <m:r>
                    <m:t>θ</m:t>
                  </m:r>
                </m:e>
                <m:sub>
                  <m:r>
                    <m:t>j</m:t>
                  </m:r>
                </m:sub>
                <m:sup>
                  <m:r>
                    <m:rPr>
                      <m:sty m:val="p"/>
                    </m:rPr>
                    <m:t>(</m:t>
                  </m:r>
                  <m:r>
                    <m:t>r</m:t>
                  </m:r>
                  <m:r>
                    <m:rPr>
                      <m:sty m:val="p"/>
                    </m:rPr>
                    <m:t>)</m:t>
                  </m:r>
                </m:sup>
              </m:sSubSup>
              <m:r>
                <m:rPr>
                  <m:sty m:val="p"/>
                </m:rPr>
                <m:t>)</m:t>
              </m:r>
              <m:r>
                <m:rPr>
                  <m:sty m:val="p"/>
                </m:rPr>
                <m:t>,</m:t>
              </m:r>
            </m:e>
            <m:e>
              <m:r>
                <m:rPr>
                  <m:sty m:val="p"/>
                </m:rPr>
                <m:t>Δ</m:t>
              </m:r>
              <m:sSubSup>
                <m:e>
                  <m:r>
                    <m:t>G</m:t>
                  </m:r>
                </m:e>
                <m:sub>
                  <m:r>
                    <m:t>180</m:t>
                  </m:r>
                </m:sub>
                <m:sup>
                  <m:r>
                    <m:rPr>
                      <m:sty m:val="p"/>
                    </m:rPr>
                    <m:t>(</m:t>
                  </m:r>
                  <m:r>
                    <m:t>j</m:t>
                  </m:r>
                  <m:r>
                    <m:rPr>
                      <m:sty m:val="p"/>
                    </m:rPr>
                    <m:t>)</m:t>
                  </m:r>
                </m:sup>
              </m:sSubSup>
              <m:r>
                <m:t>&amp;</m:t>
              </m:r>
              <m:r>
                <m:rPr>
                  <m:sty m:val="p"/>
                </m:rPr>
                <m:t>=</m:t>
              </m:r>
              <m:limLow>
                <m:e>
                  <m:r>
                    <m:rPr>
                      <m:sty m:val="p"/>
                    </m:rPr>
                    <m:t>max</m:t>
                  </m:r>
                </m:e>
                <m:lim>
                  <m:r>
                    <m:t>r</m:t>
                  </m:r>
                </m:lim>
              </m:limLow>
              <m:sSub>
                <m:e>
                  <m:r>
                    <m:t>G</m:t>
                  </m:r>
                </m:e>
                <m:sub>
                  <m:r>
                    <m:t>180</m:t>
                  </m:r>
                </m:sub>
              </m:sSub>
              <m:r>
                <m:rPr>
                  <m:sty m:val="p"/>
                </m:rPr>
                <m:t>(</m:t>
              </m:r>
              <m:sSubSup>
                <m:e>
                  <m:r>
                    <m:t>θ</m:t>
                  </m:r>
                </m:e>
                <m:sub>
                  <m:r>
                    <m:t>j</m:t>
                  </m:r>
                </m:sub>
                <m:sup>
                  <m:r>
                    <m:rPr>
                      <m:sty m:val="p"/>
                    </m:rPr>
                    <m:t>(</m:t>
                  </m:r>
                  <m:r>
                    <m:t>r</m:t>
                  </m:r>
                  <m:r>
                    <m:rPr>
                      <m:sty m:val="p"/>
                    </m:rPr>
                    <m:t>)</m:t>
                  </m:r>
                </m:sup>
              </m:sSubSup>
              <m:r>
                <m:rPr>
                  <m:sty m:val="p"/>
                </m:rPr>
                <m:t>)</m:t>
              </m:r>
              <m:r>
                <m:rPr>
                  <m:sty m:val="p"/>
                </m:rPr>
                <m:t>−</m:t>
              </m:r>
              <m:limLow>
                <m:e>
                  <m:r>
                    <m:rPr>
                      <m:sty m:val="p"/>
                    </m:rPr>
                    <m:t>min</m:t>
                  </m:r>
                </m:e>
                <m:lim>
                  <m:r>
                    <m:t>r</m:t>
                  </m:r>
                </m:lim>
              </m:limLow>
              <m:sSub>
                <m:e>
                  <m:r>
                    <m:t>G</m:t>
                  </m:r>
                </m:e>
                <m:sub>
                  <m:r>
                    <m:t>180</m:t>
                  </m:r>
                </m:sub>
              </m:sSub>
              <m:r>
                <m:rPr>
                  <m:sty m:val="p"/>
                </m:rPr>
                <m:t>(</m:t>
              </m:r>
              <m:sSubSup>
                <m:e>
                  <m:r>
                    <m:t>θ</m:t>
                  </m:r>
                </m:e>
                <m:sub>
                  <m:r>
                    <m:t>j</m:t>
                  </m:r>
                </m:sub>
                <m:sup>
                  <m:r>
                    <m:rPr>
                      <m:sty m:val="p"/>
                    </m:rPr>
                    <m:t>(</m:t>
                  </m:r>
                  <m:r>
                    <m:t>r</m:t>
                  </m:r>
                  <m:r>
                    <m:rPr>
                      <m:sty m:val="p"/>
                    </m:rPr>
                    <m:t>)</m:t>
                  </m:r>
                </m:sup>
              </m:sSubSup>
              <m:r>
                <m:rPr>
                  <m:sty m:val="p"/>
                </m:rPr>
                <m:t>)</m:t>
              </m:r>
              <m:r>
                <m:rPr>
                  <m:sty m:val="p"/>
                </m:rPr>
                <m:t>.</m:t>
              </m:r>
            </m:e>
          </m:eqArr>
        </m:oMath>
      </m:oMathPara>
    </w:p>
    <w:p>
      <w:pPr>
        <w:pStyle w:val="FirstParagraph"/>
      </w:pPr>
      <w:r>
        <w:rPr>
          <w:rFonts w:hint="eastAsia"/>
        </w:rPr>
        <w:t xml:space="preserve">综合敏感度定义为</w:t>
      </w:r>
    </w:p>
    <w:p>
      <w:pPr>
        <w:pStyle w:val="BodyText"/>
      </w:pPr>
      <m:oMathPara>
        <m:oMathParaPr>
          <m:jc m:val="center"/>
        </m:oMathParaPr>
        <m:oMath>
          <m:sSub>
            <m:e>
              <m:r>
                <m:rPr>
                  <m:scr m:val="script"/>
                  <m:sty m:val="p"/>
                </m:rPr>
                <m:t>S</m:t>
              </m:r>
            </m:e>
            <m:sub>
              <m:r>
                <m:t>j</m:t>
              </m:r>
            </m:sub>
          </m:sSub>
          <m:r>
            <m:rPr>
              <m:sty m:val="p"/>
            </m:rPr>
            <m:t>=</m:t>
          </m:r>
          <m:r>
            <m:rPr>
              <m:sty m:val="p"/>
            </m:rPr>
            <m:t>Δ</m:t>
          </m:r>
          <m:sSubSup>
            <m:e>
              <m:r>
                <m:t>P</m:t>
              </m:r>
            </m:e>
            <m:sub>
              <m:r>
                <m:t>180</m:t>
              </m:r>
            </m:sub>
            <m:sup>
              <m:r>
                <m:rPr>
                  <m:sty m:val="p"/>
                </m:rPr>
                <m:t>(</m:t>
              </m:r>
              <m:r>
                <m:t>j</m:t>
              </m:r>
              <m:r>
                <m:rPr>
                  <m:sty m:val="p"/>
                </m:rPr>
                <m:t>)</m:t>
              </m:r>
            </m:sup>
          </m:sSubSup>
          <m:r>
            <m:rPr>
              <m:sty m:val="p"/>
            </m:rPr>
            <m:t>+</m:t>
          </m:r>
          <m:r>
            <m:t>0.45</m:t>
          </m:r>
          <m:r>
            <m:rPr>
              <m:sty m:val="p"/>
            </m:rPr>
            <m:t>Δ</m:t>
          </m:r>
          <m:sSubSup>
            <m:e>
              <m:r>
                <m:t>P</m:t>
              </m:r>
            </m:e>
            <m:sub>
              <m:r>
                <m:rPr>
                  <m:sty m:val="p"/>
                </m:rPr>
                <m:t>max</m:t>
              </m:r>
            </m:sub>
            <m:sup>
              <m:r>
                <m:rPr>
                  <m:sty m:val="p"/>
                </m:rPr>
                <m:t>(</m:t>
              </m:r>
              <m:r>
                <m:t>j</m:t>
              </m:r>
              <m:r>
                <m:rPr>
                  <m:sty m:val="p"/>
                </m:rPr>
                <m:t>)</m:t>
              </m:r>
            </m:sup>
          </m:sSubSup>
          <m:r>
            <m:rPr>
              <m:sty m:val="p"/>
            </m:rPr>
            <m:t>+</m:t>
          </m:r>
          <m:r>
            <m:t>0.002</m:t>
          </m:r>
          <m:r>
            <m:rPr>
              <m:sty m:val="p"/>
            </m:rPr>
            <m:t>Δ</m:t>
          </m:r>
          <m:sSubSup>
            <m:e>
              <m:r>
                <m:t>G</m:t>
              </m:r>
            </m:e>
            <m:sub>
              <m:r>
                <m:t>180</m:t>
              </m:r>
            </m:sub>
            <m:sup>
              <m:r>
                <m:rPr>
                  <m:sty m:val="p"/>
                </m:rPr>
                <m:t>(</m:t>
              </m:r>
              <m:r>
                <m:t>j</m:t>
              </m:r>
              <m:r>
                <m:rPr>
                  <m:sty m:val="p"/>
                </m:rPr>
                <m:t>)</m:t>
              </m:r>
            </m:sup>
          </m:sSubSup>
          <m:r>
            <m:rPr>
              <m:sty m:val="p"/>
            </m:rPr>
            <m:t>,</m:t>
          </m:r>
        </m:oMath>
      </m:oMathPara>
    </w:p>
    <w:p>
      <w:pPr>
        <w:pStyle w:val="FirstParagraph"/>
      </w:pPr>
      <w:r>
        <w:rPr>
          <w:rFonts w:hint="eastAsia"/>
        </w:rPr>
        <w:t xml:space="preserve">该指标兼顾终点价格、阶段峰值和供需风险；系数</w:t>
      </w:r>
      <w:r>
        <w:t xml:space="preserve"> </w:t>
      </w:r>
      <m:oMath>
        <m:r>
          <m:t>0.45</m:t>
        </m:r>
      </m:oMath>
      <w:r>
        <w:t xml:space="preserve"> </w:t>
      </w:r>
      <w:r>
        <w:rPr>
          <w:rFonts w:hint="eastAsia"/>
        </w:rPr>
        <w:t xml:space="preserve">和</w:t>
      </w:r>
      <w:r>
        <w:t xml:space="preserve"> </w:t>
      </w:r>
      <m:oMath>
        <m:r>
          <m:t>0.002</m:t>
        </m:r>
      </m:oMath>
      <w:r>
        <w:t xml:space="preserve"> </w:t>
      </w:r>
      <w:r>
        <w:rPr>
          <w:rFonts w:hint="eastAsia"/>
        </w:rPr>
        <w:t xml:space="preserve">用于把峰值风险和供需缺口映射到与终点价格同一数量级，使排序反映</w:t>
      </w:r>
      <w:r>
        <w:rPr>
          <w:rFonts w:hint="eastAsia"/>
        </w:rPr>
        <w:t xml:space="preserve">“对长期结论的综合影响”</w:t>
      </w:r>
      <w:r>
        <w:rPr>
          <w:rFonts w:hint="eastAsia"/>
        </w:rPr>
        <w:t xml:space="preserve">而非单一终点误差。</w:t>
      </w:r>
    </w:p>
    <w:bookmarkEnd w:id="138"/>
    <w:bookmarkStart w:id="147" w:name="参数重要性排序"/>
    <w:p>
      <w:pPr>
        <w:pStyle w:val="Heading2"/>
      </w:pPr>
      <w:r>
        <w:rPr>
          <w:rFonts w:hint="eastAsia"/>
        </w:rPr>
        <w:t xml:space="preserve">参数重要性排序</w:t>
      </w:r>
    </w:p>
    <w:p>
      <w:pPr>
        <w:pStyle w:val="TableCaption"/>
      </w:pPr>
      <w:r>
        <w:rPr>
          <w:rFonts w:hint="eastAsia"/>
        </w:rPr>
        <w:t xml:space="preserve">参数综合敏感度排序</w:t>
      </w:r>
    </w:p>
    <w:tbl>
      <w:tblPr>
        <w:tblStyle w:val="Table"/>
        <w:tblW w:type="auto" w:w="0"/>
        <w:tblLook w:firstRow="1" w:lastRow="0" w:firstColumn="0" w:lastColumn="0" w:noHBand="0" w:noVBand="0" w:val="0020"/>
        <w:tblCaption w:val="参数综合敏感度排序"/>
      </w:tblPr>
      <w:tblGrid>
        <w:gridCol w:w="1584"/>
        <w:gridCol w:w="1584"/>
        <w:gridCol w:w="1584"/>
        <w:gridCol w:w="1584"/>
        <w:gridCol w:w="1584"/>
      </w:tblGrid>
      <w:tr>
        <w:trPr>
          <w:tblHeader w:val="on"/>
        </w:trPr>
        <w:tc>
          <w:tcPr/>
          <w:p>
            <w:pPr>
              <w:pStyle w:val="Compact"/>
              <w:jc w:val="right"/>
            </w:pPr>
            <w:r>
              <w:rPr>
                <w:rFonts w:hint="eastAsia"/>
              </w:rPr>
              <w:t xml:space="preserve">排名</w:t>
            </w:r>
          </w:p>
        </w:tc>
        <w:tc>
          <w:tcPr/>
          <w:p>
            <w:pPr>
              <w:pStyle w:val="Compact"/>
              <w:jc w:val="left"/>
            </w:pPr>
            <w:r>
              <w:rPr>
                <w:rFonts w:hint="eastAsia"/>
              </w:rPr>
              <w:t xml:space="preserve">参数</w:t>
            </w:r>
          </w:p>
        </w:tc>
        <w:tc>
          <w:tcPr/>
          <w:p>
            <w:pPr>
              <w:pStyle w:val="Compact"/>
              <w:jc w:val="right"/>
            </w:pPr>
            <w:r>
              <w:rPr>
                <w:rFonts w:hint="eastAsia"/>
              </w:rPr>
              <w:t xml:space="preserve">综合敏感度</w:t>
            </w:r>
          </w:p>
        </w:tc>
        <w:tc>
          <w:tcPr/>
          <w:p>
            <w:pPr>
              <w:pStyle w:val="Compact"/>
              <w:jc w:val="right"/>
            </w:pPr>
            <w:r>
              <w:rPr>
                <w:rFonts w:hint="eastAsia"/>
              </w:rPr>
              <w:t xml:space="preserve">第180天波动</w:t>
            </w:r>
          </w:p>
        </w:tc>
        <w:tc>
          <w:tcPr/>
          <w:p>
            <w:pPr>
              <w:pStyle w:val="Compact"/>
              <w:jc w:val="right"/>
            </w:pPr>
            <w:r>
              <w:rPr>
                <w:rFonts w:hint="eastAsia"/>
              </w:rPr>
              <w:t xml:space="preserve">外推峰值波动</w:t>
            </w:r>
          </w:p>
        </w:tc>
      </w:tr>
      <w:tr>
        <w:tc>
          <w:tcPr/>
          <w:p>
            <w:pPr>
              <w:pStyle w:val="Compact"/>
              <w:jc w:val="right"/>
            </w:pPr>
            <w:r>
              <w:t xml:space="preserve">1</w:t>
            </w:r>
          </w:p>
        </w:tc>
        <w:tc>
          <w:tcPr/>
          <w:p>
            <w:pPr>
              <w:pStyle w:val="Compact"/>
              <w:jc w:val="left"/>
            </w:pPr>
            <w:r>
              <w:rPr>
                <w:rFonts w:hint="eastAsia"/>
              </w:rPr>
              <w:t xml:space="preserve">封锁风险衰减速度</w:t>
            </w:r>
          </w:p>
        </w:tc>
        <w:tc>
          <w:tcPr/>
          <w:p>
            <w:pPr>
              <w:pStyle w:val="Compact"/>
              <w:jc w:val="right"/>
            </w:pPr>
            <w:r>
              <w:t xml:space="preserve">18.37</w:t>
            </w:r>
          </w:p>
        </w:tc>
        <w:tc>
          <w:tcPr/>
          <w:p>
            <w:pPr>
              <w:pStyle w:val="Compact"/>
              <w:jc w:val="right"/>
            </w:pPr>
            <w:r>
              <w:t xml:space="preserve">14.93</w:t>
            </w:r>
          </w:p>
        </w:tc>
        <w:tc>
          <w:tcPr/>
          <w:p>
            <w:pPr>
              <w:pStyle w:val="Compact"/>
              <w:jc w:val="right"/>
            </w:pPr>
            <w:r>
              <w:t xml:space="preserve">7.65</w:t>
            </w:r>
          </w:p>
        </w:tc>
      </w:tr>
      <w:tr>
        <w:tc>
          <w:tcPr/>
          <w:p>
            <w:pPr>
              <w:pStyle w:val="Compact"/>
              <w:jc w:val="right"/>
            </w:pPr>
            <w:r>
              <w:t xml:space="preserve">2</w:t>
            </w:r>
          </w:p>
        </w:tc>
        <w:tc>
          <w:tcPr/>
          <w:p>
            <w:pPr>
              <w:pStyle w:val="Compact"/>
              <w:jc w:val="left"/>
            </w:pPr>
            <w:r>
              <w:rPr>
                <w:rFonts w:hint="eastAsia"/>
              </w:rPr>
              <w:t xml:space="preserve">地缘风险权重</w:t>
            </w:r>
          </w:p>
        </w:tc>
        <w:tc>
          <w:tcPr/>
          <w:p>
            <w:pPr>
              <w:pStyle w:val="Compact"/>
              <w:jc w:val="right"/>
            </w:pPr>
            <w:r>
              <w:t xml:space="preserve">13.58</w:t>
            </w:r>
          </w:p>
        </w:tc>
        <w:tc>
          <w:tcPr/>
          <w:p>
            <w:pPr>
              <w:pStyle w:val="Compact"/>
              <w:jc w:val="right"/>
            </w:pPr>
            <w:r>
              <w:t xml:space="preserve">8.41</w:t>
            </w:r>
          </w:p>
        </w:tc>
        <w:tc>
          <w:tcPr/>
          <w:p>
            <w:pPr>
              <w:pStyle w:val="Compact"/>
              <w:jc w:val="right"/>
            </w:pPr>
            <w:r>
              <w:t xml:space="preserve">11.48</w:t>
            </w:r>
          </w:p>
        </w:tc>
      </w:tr>
      <w:tr>
        <w:tc>
          <w:tcPr/>
          <w:p>
            <w:pPr>
              <w:pStyle w:val="Compact"/>
              <w:jc w:val="right"/>
            </w:pPr>
            <w:r>
              <w:t xml:space="preserve">3</w:t>
            </w:r>
          </w:p>
        </w:tc>
        <w:tc>
          <w:tcPr/>
          <w:p>
            <w:pPr>
              <w:pStyle w:val="Compact"/>
              <w:jc w:val="left"/>
            </w:pPr>
            <w:r>
              <w:rPr>
                <w:rFonts w:hint="eastAsia"/>
              </w:rPr>
              <w:t xml:space="preserve">不确定性与制度风险强度</w:t>
            </w:r>
          </w:p>
        </w:tc>
        <w:tc>
          <w:tcPr/>
          <w:p>
            <w:pPr>
              <w:pStyle w:val="Compact"/>
              <w:jc w:val="right"/>
            </w:pPr>
            <w:r>
              <w:t xml:space="preserve">10.04</w:t>
            </w:r>
          </w:p>
        </w:tc>
        <w:tc>
          <w:tcPr/>
          <w:p>
            <w:pPr>
              <w:pStyle w:val="Compact"/>
              <w:jc w:val="right"/>
            </w:pPr>
            <w:r>
              <w:t xml:space="preserve">4.94</w:t>
            </w:r>
          </w:p>
        </w:tc>
        <w:tc>
          <w:tcPr/>
          <w:p>
            <w:pPr>
              <w:pStyle w:val="Compact"/>
              <w:jc w:val="right"/>
            </w:pPr>
            <w:r>
              <w:t xml:space="preserve">11.33</w:t>
            </w:r>
          </w:p>
        </w:tc>
      </w:tr>
      <w:tr>
        <w:tc>
          <w:tcPr/>
          <w:p>
            <w:pPr>
              <w:pStyle w:val="Compact"/>
              <w:jc w:val="right"/>
            </w:pPr>
            <w:r>
              <w:t xml:space="preserve">4</w:t>
            </w:r>
          </w:p>
        </w:tc>
        <w:tc>
          <w:tcPr/>
          <w:p>
            <w:pPr>
              <w:pStyle w:val="Compact"/>
              <w:jc w:val="left"/>
            </w:pPr>
            <w:r>
              <w:rPr>
                <w:rFonts w:hint="eastAsia"/>
              </w:rPr>
              <w:t xml:space="preserve">制度风险占比</w:t>
            </w:r>
          </w:p>
        </w:tc>
        <w:tc>
          <w:tcPr/>
          <w:p>
            <w:pPr>
              <w:pStyle w:val="Compact"/>
              <w:jc w:val="right"/>
            </w:pPr>
            <w:r>
              <w:t xml:space="preserve">6.68</w:t>
            </w:r>
          </w:p>
        </w:tc>
        <w:tc>
          <w:tcPr/>
          <w:p>
            <w:pPr>
              <w:pStyle w:val="Compact"/>
              <w:jc w:val="right"/>
            </w:pPr>
            <w:r>
              <w:t xml:space="preserve">5.21</w:t>
            </w:r>
          </w:p>
        </w:tc>
        <w:tc>
          <w:tcPr/>
          <w:p>
            <w:pPr>
              <w:pStyle w:val="Compact"/>
              <w:jc w:val="right"/>
            </w:pPr>
            <w:r>
              <w:t xml:space="preserve">3.27</w:t>
            </w:r>
          </w:p>
        </w:tc>
      </w:tr>
      <w:tr>
        <w:tc>
          <w:tcPr/>
          <w:p>
            <w:pPr>
              <w:pStyle w:val="Compact"/>
              <w:jc w:val="right"/>
            </w:pPr>
            <w:r>
              <w:t xml:space="preserve">5</w:t>
            </w:r>
          </w:p>
        </w:tc>
        <w:tc>
          <w:tcPr/>
          <w:p>
            <w:pPr>
              <w:pStyle w:val="Compact"/>
              <w:jc w:val="left"/>
            </w:pPr>
            <w:r>
              <w:rPr>
                <w:rFonts w:hint="eastAsia"/>
              </w:rPr>
              <w:t xml:space="preserve">供应中断量</w:t>
            </w:r>
          </w:p>
        </w:tc>
        <w:tc>
          <w:tcPr/>
          <w:p>
            <w:pPr>
              <w:pStyle w:val="Compact"/>
              <w:jc w:val="right"/>
            </w:pPr>
            <w:r>
              <w:t xml:space="preserve">6.17</w:t>
            </w:r>
          </w:p>
        </w:tc>
        <w:tc>
          <w:tcPr/>
          <w:p>
            <w:pPr>
              <w:pStyle w:val="Compact"/>
              <w:jc w:val="right"/>
            </w:pPr>
            <w:r>
              <w:t xml:space="preserve">3.39</w:t>
            </w:r>
          </w:p>
        </w:tc>
        <w:tc>
          <w:tcPr/>
          <w:p>
            <w:pPr>
              <w:pStyle w:val="Compact"/>
              <w:jc w:val="right"/>
            </w:pPr>
            <w:r>
              <w:t xml:space="preserve">6.18</w:t>
            </w:r>
          </w:p>
        </w:tc>
      </w:tr>
      <w:tr>
        <w:tc>
          <w:tcPr/>
          <w:p>
            <w:pPr>
              <w:pStyle w:val="Compact"/>
              <w:jc w:val="right"/>
            </w:pPr>
            <w:r>
              <w:t xml:space="preserve">6</w:t>
            </w:r>
          </w:p>
        </w:tc>
        <w:tc>
          <w:tcPr/>
          <w:p>
            <w:pPr>
              <w:pStyle w:val="Compact"/>
              <w:jc w:val="left"/>
            </w:pPr>
            <w:r>
              <w:rPr>
                <w:rFonts w:hint="eastAsia"/>
              </w:rPr>
              <w:t xml:space="preserve">长期需求弹性</w:t>
            </w:r>
          </w:p>
        </w:tc>
        <w:tc>
          <w:tcPr/>
          <w:p>
            <w:pPr>
              <w:pStyle w:val="Compact"/>
              <w:jc w:val="right"/>
            </w:pPr>
            <w:r>
              <w:t xml:space="preserve">3.82</w:t>
            </w:r>
          </w:p>
        </w:tc>
        <w:tc>
          <w:tcPr/>
          <w:p>
            <w:pPr>
              <w:pStyle w:val="Compact"/>
              <w:jc w:val="right"/>
            </w:pPr>
            <w:r>
              <w:t xml:space="preserve">3.34</w:t>
            </w:r>
          </w:p>
        </w:tc>
        <w:tc>
          <w:tcPr/>
          <w:p>
            <w:pPr>
              <w:pStyle w:val="Compact"/>
              <w:jc w:val="right"/>
            </w:pPr>
            <w:r>
              <w:t xml:space="preserve">1.07</w:t>
            </w:r>
          </w:p>
        </w:tc>
      </w:tr>
      <w:tr>
        <w:tc>
          <w:tcPr/>
          <w:p>
            <w:pPr>
              <w:pStyle w:val="Compact"/>
              <w:jc w:val="right"/>
            </w:pPr>
            <w:r>
              <w:t xml:space="preserve">7</w:t>
            </w:r>
          </w:p>
        </w:tc>
        <w:tc>
          <w:tcPr/>
          <w:p>
            <w:pPr>
              <w:pStyle w:val="Compact"/>
              <w:jc w:val="left"/>
            </w:pPr>
            <w:r>
              <w:rPr>
                <w:rFonts w:hint="eastAsia"/>
              </w:rPr>
              <w:t xml:space="preserve">信心恢复后风险底座</w:t>
            </w:r>
          </w:p>
        </w:tc>
        <w:tc>
          <w:tcPr/>
          <w:p>
            <w:pPr>
              <w:pStyle w:val="Compact"/>
              <w:jc w:val="right"/>
            </w:pPr>
            <w:r>
              <w:t xml:space="preserve">2.36</w:t>
            </w:r>
          </w:p>
        </w:tc>
        <w:tc>
          <w:tcPr/>
          <w:p>
            <w:pPr>
              <w:pStyle w:val="Compact"/>
              <w:jc w:val="right"/>
            </w:pPr>
            <w:r>
              <w:t xml:space="preserve">2.34</w:t>
            </w:r>
          </w:p>
        </w:tc>
        <w:tc>
          <w:tcPr/>
          <w:p>
            <w:pPr>
              <w:pStyle w:val="Compact"/>
              <w:jc w:val="right"/>
            </w:pPr>
            <w:r>
              <w:t xml:space="preserve">0.05</w:t>
            </w:r>
          </w:p>
        </w:tc>
      </w:tr>
      <w:tr>
        <w:tc>
          <w:tcPr/>
          <w:p>
            <w:pPr>
              <w:pStyle w:val="Compact"/>
              <w:jc w:val="right"/>
            </w:pPr>
            <w:r>
              <w:t xml:space="preserve">8</w:t>
            </w:r>
          </w:p>
        </w:tc>
        <w:tc>
          <w:tcPr/>
          <w:p>
            <w:pPr>
              <w:pStyle w:val="Compact"/>
              <w:jc w:val="left"/>
            </w:pPr>
            <w:r>
              <w:rPr>
                <w:rFonts w:hint="eastAsia"/>
              </w:rPr>
              <w:t xml:space="preserve">冲击不确定性占比</w:t>
            </w:r>
          </w:p>
        </w:tc>
        <w:tc>
          <w:tcPr/>
          <w:p>
            <w:pPr>
              <w:pStyle w:val="Compact"/>
              <w:jc w:val="right"/>
            </w:pPr>
            <w:r>
              <w:t xml:space="preserve">2.13</w:t>
            </w:r>
          </w:p>
        </w:tc>
        <w:tc>
          <w:tcPr/>
          <w:p>
            <w:pPr>
              <w:pStyle w:val="Compact"/>
              <w:jc w:val="right"/>
            </w:pPr>
            <w:r>
              <w:t xml:space="preserve">1.29</w:t>
            </w:r>
          </w:p>
        </w:tc>
        <w:tc>
          <w:tcPr/>
          <w:p>
            <w:pPr>
              <w:pStyle w:val="Compact"/>
              <w:jc w:val="right"/>
            </w:pPr>
            <w:r>
              <w:t xml:space="preserve">1.86</w:t>
            </w:r>
          </w:p>
        </w:tc>
      </w:tr>
      <w:tr>
        <w:tc>
          <w:tcPr/>
          <w:p>
            <w:pPr>
              <w:pStyle w:val="Compact"/>
              <w:jc w:val="right"/>
            </w:pPr>
            <w:r>
              <w:t xml:space="preserve">9</w:t>
            </w:r>
          </w:p>
        </w:tc>
        <w:tc>
          <w:tcPr/>
          <w:p>
            <w:pPr>
              <w:pStyle w:val="Compact"/>
              <w:jc w:val="left"/>
            </w:pPr>
            <w:r>
              <w:t xml:space="preserve">SPR </w:t>
            </w:r>
            <w:r>
              <w:rPr>
                <w:rFonts w:hint="eastAsia"/>
              </w:rPr>
              <w:t xml:space="preserve">释放上限</w:t>
            </w:r>
          </w:p>
        </w:tc>
        <w:tc>
          <w:tcPr/>
          <w:p>
            <w:pPr>
              <w:pStyle w:val="Compact"/>
              <w:jc w:val="right"/>
            </w:pPr>
            <w:r>
              <w:t xml:space="preserve">0.94</w:t>
            </w:r>
          </w:p>
        </w:tc>
        <w:tc>
          <w:tcPr/>
          <w:p>
            <w:pPr>
              <w:pStyle w:val="Compact"/>
              <w:jc w:val="right"/>
            </w:pPr>
            <w:r>
              <w:t xml:space="preserve">0.69</w:t>
            </w:r>
          </w:p>
        </w:tc>
        <w:tc>
          <w:tcPr/>
          <w:p>
            <w:pPr>
              <w:pStyle w:val="Compact"/>
              <w:jc w:val="right"/>
            </w:pPr>
            <w:r>
              <w:t xml:space="preserve">0.49</w:t>
            </w:r>
          </w:p>
        </w:tc>
      </w:tr>
      <w:tr>
        <w:tc>
          <w:tcPr/>
          <w:p>
            <w:pPr>
              <w:pStyle w:val="Compact"/>
              <w:jc w:val="right"/>
            </w:pPr>
            <w:r>
              <w:t xml:space="preserve">10</w:t>
            </w:r>
          </w:p>
        </w:tc>
        <w:tc>
          <w:tcPr/>
          <w:p>
            <w:pPr>
              <w:pStyle w:val="Compact"/>
              <w:jc w:val="left"/>
            </w:pPr>
            <w:r>
              <w:rPr>
                <w:rFonts w:hint="eastAsia"/>
              </w:rPr>
              <w:t xml:space="preserve">绕道运输能力</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0.86</w:t>
            </w:r>
          </w:p>
        </w:tc>
      </w:tr>
      <w:tr>
        <w:tc>
          <w:tcPr/>
          <w:p>
            <w:pPr>
              <w:pStyle w:val="Compact"/>
              <w:jc w:val="right"/>
            </w:pPr>
            <w:r>
              <w:t xml:space="preserve">11</w:t>
            </w:r>
          </w:p>
        </w:tc>
        <w:tc>
          <w:tcPr/>
          <w:p>
            <w:pPr>
              <w:pStyle w:val="Compact"/>
              <w:jc w:val="left"/>
            </w:pPr>
            <w:r>
              <w:rPr>
                <w:rFonts w:hint="eastAsia"/>
              </w:rPr>
              <w:t xml:space="preserve">预期修复强度</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0.51</w:t>
            </w:r>
          </w:p>
        </w:tc>
      </w:tr>
      <w:tr>
        <w:tc>
          <w:tcPr/>
          <w:p>
            <w:pPr>
              <w:pStyle w:val="Compact"/>
              <w:jc w:val="right"/>
            </w:pPr>
            <w:r>
              <w:t xml:space="preserve">12</w:t>
            </w:r>
          </w:p>
        </w:tc>
        <w:tc>
          <w:tcPr/>
          <w:p>
            <w:pPr>
              <w:pStyle w:val="Compact"/>
              <w:jc w:val="left"/>
            </w:pPr>
            <w:r>
              <w:rPr>
                <w:rFonts w:hint="eastAsia"/>
              </w:rPr>
              <w:t xml:space="preserve">恐慌衰减速度</w:t>
            </w:r>
          </w:p>
        </w:tc>
        <w:tc>
          <w:tcPr/>
          <w:p>
            <w:pPr>
              <w:pStyle w:val="Compact"/>
              <w:jc w:val="right"/>
            </w:pPr>
            <w:r>
              <w:t xml:space="preserve">0.15</w:t>
            </w:r>
          </w:p>
        </w:tc>
        <w:tc>
          <w:tcPr/>
          <w:p>
            <w:pPr>
              <w:pStyle w:val="Compact"/>
              <w:jc w:val="right"/>
            </w:pPr>
            <w:r>
              <w:t xml:space="preserve">0.00</w:t>
            </w:r>
          </w:p>
        </w:tc>
        <w:tc>
          <w:tcPr/>
          <w:p>
            <w:pPr>
              <w:pStyle w:val="Compact"/>
              <w:jc w:val="right"/>
            </w:pPr>
            <w:r>
              <w:t xml:space="preserve">0.33</w:t>
            </w:r>
          </w:p>
        </w:tc>
      </w:tr>
      <w:tr>
        <w:tc>
          <w:tcPr/>
          <w:p>
            <w:pPr>
              <w:pStyle w:val="Compact"/>
              <w:jc w:val="right"/>
            </w:pPr>
            <w:r>
              <w:t xml:space="preserve">13</w:t>
            </w:r>
          </w:p>
        </w:tc>
        <w:tc>
          <w:tcPr/>
          <w:p>
            <w:pPr>
              <w:pStyle w:val="Compact"/>
              <w:jc w:val="left"/>
            </w:pPr>
            <w:r>
              <w:rPr>
                <w:rFonts w:hint="eastAsia"/>
              </w:rPr>
              <w:t xml:space="preserve">过剩供给回归强度</w:t>
            </w:r>
          </w:p>
        </w:tc>
        <w:tc>
          <w:tcPr/>
          <w:p>
            <w:pPr>
              <w:pStyle w:val="Compact"/>
              <w:jc w:val="right"/>
            </w:pPr>
            <w:r>
              <w:t xml:space="preserve">0.12</w:t>
            </w:r>
          </w:p>
        </w:tc>
        <w:tc>
          <w:tcPr/>
          <w:p>
            <w:pPr>
              <w:pStyle w:val="Compact"/>
              <w:jc w:val="right"/>
            </w:pPr>
            <w:r>
              <w:t xml:space="preserve">0.07</w:t>
            </w:r>
          </w:p>
        </w:tc>
        <w:tc>
          <w:tcPr/>
          <w:p>
            <w:pPr>
              <w:pStyle w:val="Compact"/>
              <w:jc w:val="right"/>
            </w:pPr>
            <w:r>
              <w:t xml:space="preserve">0.12</w:t>
            </w:r>
          </w:p>
        </w:tc>
      </w:tr>
      <w:tr>
        <w:tc>
          <w:tcPr/>
          <w:p>
            <w:pPr>
              <w:pStyle w:val="Compact"/>
              <w:jc w:val="right"/>
            </w:pPr>
            <w:r>
              <w:t xml:space="preserve">14</w:t>
            </w:r>
          </w:p>
        </w:tc>
        <w:tc>
          <w:tcPr/>
          <w:p>
            <w:pPr>
              <w:pStyle w:val="Compact"/>
              <w:jc w:val="left"/>
            </w:pPr>
            <w:r>
              <w:t xml:space="preserve">SPR </w:t>
            </w:r>
            <w:r>
              <w:rPr>
                <w:rFonts w:hint="eastAsia"/>
              </w:rPr>
              <w:t xml:space="preserve">启动延迟</w:t>
            </w:r>
          </w:p>
        </w:tc>
        <w:tc>
          <w:tcPr/>
          <w:p>
            <w:pPr>
              <w:pStyle w:val="Compact"/>
              <w:jc w:val="right"/>
            </w:pPr>
            <w:r>
              <w:t xml:space="preserve">0.06</w:t>
            </w:r>
          </w:p>
        </w:tc>
        <w:tc>
          <w:tcPr/>
          <w:p>
            <w:pPr>
              <w:pStyle w:val="Compact"/>
              <w:jc w:val="right"/>
            </w:pPr>
            <w:r>
              <w:t xml:space="preserve">0.00</w:t>
            </w:r>
          </w:p>
        </w:tc>
        <w:tc>
          <w:tcPr/>
          <w:p>
            <w:pPr>
              <w:pStyle w:val="Compact"/>
              <w:jc w:val="right"/>
            </w:pPr>
            <w:r>
              <w:t xml:space="preserve">0.13</w:t>
            </w:r>
          </w:p>
        </w:tc>
      </w:tr>
      <w:tr>
        <w:tc>
          <w:tcPr/>
          <w:p>
            <w:pPr>
              <w:pStyle w:val="Compact"/>
              <w:jc w:val="right"/>
            </w:pPr>
            <w:r>
              <w:t xml:space="preserve">15</w:t>
            </w:r>
          </w:p>
        </w:tc>
        <w:tc>
          <w:tcPr/>
          <w:p>
            <w:pPr>
              <w:pStyle w:val="Compact"/>
              <w:jc w:val="left"/>
            </w:pPr>
            <w:r>
              <w:rPr>
                <w:rFonts w:hint="eastAsia"/>
              </w:rPr>
              <w:t xml:space="preserve">绕道恢复耗时</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0.05</w:t>
            </w:r>
          </w:p>
        </w:tc>
      </w:tr>
      <w:tr>
        <w:tc>
          <w:tcPr/>
          <w:p>
            <w:pPr>
              <w:pStyle w:val="Compact"/>
              <w:jc w:val="right"/>
            </w:pPr>
            <w:r>
              <w:t xml:space="preserve">16</w:t>
            </w:r>
          </w:p>
        </w:tc>
        <w:tc>
          <w:tcPr/>
          <w:p>
            <w:pPr>
              <w:pStyle w:val="Compact"/>
              <w:jc w:val="left"/>
            </w:pPr>
            <w:r>
              <w:t xml:space="preserve">SPR </w:t>
            </w:r>
            <w:r>
              <w:rPr>
                <w:rFonts w:hint="eastAsia"/>
              </w:rPr>
              <w:t xml:space="preserve">收缩起点</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0.04</w:t>
            </w:r>
          </w:p>
        </w:tc>
      </w:tr>
    </w:tbl>
    <w:bookmarkStart w:id="142" w:name="fig:sensitivity-tornado"/>
    <w:p>
      <w:pPr>
        <w:pStyle w:val="CaptionedFigure"/>
      </w:pPr>
      <w:r>
        <w:drawing>
          <wp:inline>
            <wp:extent cx="4907280" cy="2998893"/>
            <wp:effectExtent b="0" l="0" r="0" t="0"/>
            <wp:docPr descr="" title="" id="140" name="Picture"/>
            <a:graphic>
              <a:graphicData uri="http://schemas.openxmlformats.org/drawingml/2006/picture">
                <pic:pic>
                  <pic:nvPicPr>
                    <pic:cNvPr descr="参数敏感性龙卷风图.png" id="141" name="Picture"/>
                    <pic:cNvPicPr>
                      <a:picLocks noChangeArrowheads="1" noChangeAspect="1"/>
                    </pic:cNvPicPr>
                  </pic:nvPicPr>
                  <pic:blipFill>
                    <a:blip r:embed="rId139"/>
                    <a:stretch>
                      <a:fillRect/>
                    </a:stretch>
                  </pic:blipFill>
                  <pic:spPr bwMode="auto">
                    <a:xfrm>
                      <a:off x="0" y="0"/>
                      <a:ext cx="4907280" cy="2998893"/>
                    </a:xfrm>
                    <a:prstGeom prst="rect">
                      <a:avLst/>
                    </a:prstGeom>
                    <a:noFill/>
                    <a:ln w="9525">
                      <a:noFill/>
                      <a:headEnd/>
                      <a:tailEnd/>
                    </a:ln>
                  </pic:spPr>
                </pic:pic>
              </a:graphicData>
            </a:graphic>
          </wp:inline>
        </w:drawing>
      </w:r>
    </w:p>
    <w:p>
      <w:pPr>
        <w:pStyle w:val="ImageCaption"/>
      </w:pPr>
      <w:r>
        <w:rPr>
          <w:rFonts w:hint="eastAsia"/>
        </w:rPr>
        <w:t xml:space="preserve">关键参数综合敏感度排序</w:t>
      </w:r>
    </w:p>
    <w:bookmarkEnd w:id="142"/>
    <w:bookmarkStart w:id="146" w:name="fig:sensitivity-heatmap"/>
    <w:p>
      <w:pPr>
        <w:pStyle w:val="CaptionedFigure"/>
      </w:pPr>
      <w:r>
        <w:drawing>
          <wp:inline>
            <wp:extent cx="4800600" cy="3017236"/>
            <wp:effectExtent b="0" l="0" r="0" t="0"/>
            <wp:docPr descr="" title="" id="144" name="Picture"/>
            <a:graphic>
              <a:graphicData uri="http://schemas.openxmlformats.org/drawingml/2006/picture">
                <pic:pic>
                  <pic:nvPicPr>
                    <pic:cNvPr descr="长期敏感性扰动热力图.png" id="145" name="Picture"/>
                    <pic:cNvPicPr>
                      <a:picLocks noChangeArrowheads="1" noChangeAspect="1"/>
                    </pic:cNvPicPr>
                  </pic:nvPicPr>
                  <pic:blipFill>
                    <a:blip r:embed="rId143"/>
                    <a:stretch>
                      <a:fillRect/>
                    </a:stretch>
                  </pic:blipFill>
                  <pic:spPr bwMode="auto">
                    <a:xfrm>
                      <a:off x="0" y="0"/>
                      <a:ext cx="4800600" cy="3017236"/>
                    </a:xfrm>
                    <a:prstGeom prst="rect">
                      <a:avLst/>
                    </a:prstGeom>
                    <a:noFill/>
                    <a:ln w="9525">
                      <a:noFill/>
                      <a:headEnd/>
                      <a:tailEnd/>
                    </a:ln>
                  </pic:spPr>
                </pic:pic>
              </a:graphicData>
            </a:graphic>
          </wp:inline>
        </w:drawing>
      </w:r>
    </w:p>
    <w:p>
      <w:pPr>
        <w:pStyle w:val="ImageCaption"/>
      </w:pPr>
      <w:r>
        <w:rPr>
          <w:rFonts w:hint="eastAsia"/>
        </w:rPr>
        <w:t xml:space="preserve">长期敏感性扰动热力图</w:t>
      </w:r>
    </w:p>
    <w:bookmarkEnd w:id="146"/>
    <w:p>
      <w:pPr>
        <w:pStyle w:val="BodyText"/>
      </w:pPr>
      <w:r>
        <w:rPr>
          <w:rFonts w:hint="eastAsia"/>
        </w:rPr>
        <w:t xml:space="preserve">敏感性分析表明，第</w:t>
      </w:r>
      <w:r>
        <w:t xml:space="preserve"> 180 </w:t>
      </w:r>
      <w:r>
        <w:rPr>
          <w:rFonts w:hint="eastAsia"/>
        </w:rPr>
        <w:t xml:space="preserve">天终点价格对市场风险吸收速度最敏感。</w:t>
      </w:r>
      <w:hyperlink w:anchor="fig:sensitivity-tornado">
        <w:r>
          <w:rPr>
            <w:rStyle w:val="Hyperlink"/>
          </w:rPr>
          <w:t xml:space="preserve">9</w:t>
        </w:r>
      </w:hyperlink>
      <w:r>
        <w:t xml:space="preserve"> </w:t>
      </w:r>
      <w:r>
        <w:rPr>
          <w:rFonts w:hint="eastAsia"/>
        </w:rPr>
        <w:t xml:space="preserve">中，封锁风险衰减速度从</w:t>
      </w:r>
      <w:r>
        <w:t xml:space="preserve"> 0.002 </w:t>
      </w:r>
      <w:r>
        <w:rPr>
          <w:rFonts w:hint="eastAsia"/>
        </w:rPr>
        <w:t xml:space="preserve">扰动到</w:t>
      </w:r>
      <w:r>
        <w:t xml:space="preserve"> 0.008 </w:t>
      </w:r>
      <w:r>
        <w:rPr>
          <w:rFonts w:hint="eastAsia"/>
        </w:rPr>
        <w:t xml:space="preserve">时，第</w:t>
      </w:r>
      <w:r>
        <w:t xml:space="preserve"> 180 </w:t>
      </w:r>
      <w:r>
        <w:rPr>
          <w:rFonts w:hint="eastAsia"/>
        </w:rPr>
        <w:t xml:space="preserve">天价格波动范围达到</w:t>
      </w:r>
      <w:r>
        <w:t xml:space="preserve"> 14.93 </w:t>
      </w:r>
      <w:r>
        <w:rPr>
          <w:rFonts w:hint="eastAsia"/>
        </w:rPr>
        <w:t xml:space="preserve">美元/桶，说明长期中心路径的关键是市场多快把封锁状态从突发风险重新定价为可管理的制度风险。地缘风险权重和制度风险强度仍保持高敏感，供应中断量决定价格上行压力的物理底座。SPR</w:t>
      </w:r>
      <w:r>
        <w:t xml:space="preserve"> </w:t>
      </w:r>
      <w:r>
        <w:rPr>
          <w:rFonts w:hint="eastAsia"/>
        </w:rPr>
        <w:t xml:space="preserve">释放、启动延迟和绕道运输在中性路径下对第</w:t>
      </w:r>
      <w:r>
        <w:t xml:space="preserve"> 180 </w:t>
      </w:r>
      <w:r>
        <w:rPr>
          <w:rFonts w:hint="eastAsia"/>
        </w:rPr>
        <w:t xml:space="preserve">天终点价影响相对较小，但会改变外推期峰值、缺口闭合速度和二次跳涨幅度，因此更适合解释为</w:t>
      </w:r>
      <w:r>
        <w:rPr>
          <w:rFonts w:hint="eastAsia"/>
        </w:rPr>
        <w:t xml:space="preserve">“削峰”</w:t>
      </w:r>
      <w:r>
        <w:rPr>
          <w:rFonts w:hint="eastAsia"/>
        </w:rPr>
        <w:t xml:space="preserve">和</w:t>
      </w:r>
      <w:r>
        <w:rPr>
          <w:rFonts w:hint="eastAsia"/>
        </w:rPr>
        <w:t xml:space="preserve">“争取恢复时间”</w:t>
      </w:r>
      <w:r>
        <w:rPr>
          <w:rFonts w:hint="eastAsia"/>
        </w:rPr>
        <w:t xml:space="preserve">的政策缓冲变量。</w:t>
      </w:r>
    </w:p>
    <w:p>
      <w:pPr>
        <w:pStyle w:val="BodyText"/>
      </w:pPr>
      <w:r>
        <w:rPr>
          <w:rFonts w:hint="eastAsia"/>
          <w:b/>
          <w:bCs/>
        </w:rPr>
        <w:t xml:space="preserve">结论</w:t>
      </w:r>
      <w:r>
        <w:rPr>
          <w:rFonts w:hint="eastAsia"/>
        </w:rPr>
        <w:t xml:space="preserve">敏感性排序显示，长期预测最依赖封锁风险衰减速度，其次是地缘风险权重和制度风险强度。因此，长期结果应与参数排序和尾部风险区间合读。</w:t>
      </w:r>
    </w:p>
    <w:bookmarkEnd w:id="147"/>
    <w:bookmarkStart w:id="158" w:name="sec:monte-carlo"/>
    <w:p>
      <w:pPr>
        <w:pStyle w:val="Heading2"/>
      </w:pPr>
      <w:r>
        <w:rPr>
          <w:rFonts w:hint="eastAsia"/>
        </w:rPr>
        <w:t xml:space="preserve">蒙特卡洛情景树</w:t>
      </w:r>
    </w:p>
    <w:p>
      <w:pPr>
        <w:pStyle w:val="FirstParagraph"/>
      </w:pPr>
      <w:r>
        <w:rPr>
          <w:rFonts w:hint="eastAsia"/>
        </w:rPr>
        <w:t xml:space="preserve">单因素敏感性分析可以说明某个参数单独变化时的边际影响，但封锁长期化的真实风险往往来自多个因素同时恶化：供应中断偏大、SPR</w:t>
      </w:r>
      <w:r>
        <w:t xml:space="preserve"> </w:t>
      </w:r>
      <w:r>
        <w:rPr>
          <w:rFonts w:hint="eastAsia"/>
        </w:rPr>
        <w:t xml:space="preserve">释放不足、绕道运输恢复慢、长期需求弹性偏低、制度风险溢价偏高等因素可能共同出现。因此，本文进一步建立蒙特卡洛情景树，在赛题边界和敏感性扰动范围内对关键参数进行</w:t>
      </w:r>
      <w:r>
        <w:t xml:space="preserve"> 2000 </w:t>
      </w:r>
      <w:r>
        <w:rPr>
          <w:rFonts w:hint="eastAsia"/>
        </w:rPr>
        <w:t xml:space="preserve">次联合抽样。</w:t>
      </w:r>
    </w:p>
    <w:p>
      <w:pPr>
        <w:pStyle w:val="BodyText"/>
      </w:pPr>
      <w:r>
        <w:rPr>
          <w:rFonts w:hint="eastAsia"/>
        </w:rPr>
        <w:t xml:space="preserve">抽样设计采用一个综合压力指数</w:t>
      </w:r>
      <w:r>
        <w:t xml:space="preserve"> </w:t>
      </w:r>
      <m:oMath>
        <m:r>
          <m:t>z</m:t>
        </m:r>
        <m:r>
          <m:rPr>
            <m:sty m:val="p"/>
          </m:rPr>
          <m:t>∈</m:t>
        </m:r>
        <m:r>
          <m:rPr>
            <m:sty m:val="p"/>
          </m:rPr>
          <m:t>[</m:t>
        </m:r>
        <m:r>
          <m:t>0</m:t>
        </m:r>
        <m:r>
          <m:rPr>
            <m:sty m:val="p"/>
          </m:rPr>
          <m:t>,</m:t>
        </m:r>
        <m:r>
          <m:t>1</m:t>
        </m:r>
        <m:r>
          <m:rPr>
            <m:sty m:val="p"/>
          </m:rPr>
          <m:t>]</m:t>
        </m:r>
      </m:oMath>
      <w:r>
        <w:t xml:space="preserve"> </w:t>
      </w:r>
      <w:r>
        <w:rPr>
          <w:rFonts w:hint="eastAsia"/>
        </w:rPr>
        <w:t xml:space="preserve">表示外部压力状态。随着</w:t>
      </w:r>
      <w:r>
        <w:t xml:space="preserve"> </w:t>
      </w:r>
      <m:oMath>
        <m:r>
          <m:t>z</m:t>
        </m:r>
      </m:oMath>
      <w:r>
        <w:t xml:space="preserve"> </w:t>
      </w:r>
      <w:r>
        <w:rPr>
          <w:rFonts w:hint="eastAsia"/>
        </w:rPr>
        <w:t xml:space="preserve">增大，供应中断量、地缘风险权重和制度风险强度上升，而</w:t>
      </w:r>
      <w:r>
        <w:t xml:space="preserve"> SPR </w:t>
      </w:r>
      <w:r>
        <w:rPr>
          <w:rFonts w:hint="eastAsia"/>
        </w:rPr>
        <w:t xml:space="preserve">可用释放量、绕道运输能力、需求调整速度和预期修复强度下降。每次抽样后均调用同一套长期递推模型，得到一条</w:t>
      </w:r>
      <w:r>
        <w:t xml:space="preserve"> 60–180 </w:t>
      </w:r>
      <w:r>
        <w:rPr>
          <w:rFonts w:hint="eastAsia"/>
        </w:rPr>
        <w:t xml:space="preserve">天价格路径，用于刻画合理参数联合扰动下的价格区间和尾部风险。</w:t>
      </w:r>
    </w:p>
    <w:p>
      <w:pPr>
        <w:pStyle w:val="BodyText"/>
      </w:pPr>
      <w:r>
        <w:rPr>
          <w:rFonts w:hint="eastAsia"/>
        </w:rPr>
        <w:t xml:space="preserve">蒙特卡洛抽样并不把所有参数视为彼此独立。本文通过综合压力指数引入方向一致的相关结构：高压状态下，供应中断更大、政策缓冲更弱、运输恢复更慢、风险溢价更高；低压状态下则相反。因此，表中突破概率表示题面机制和历史波动尺度下的条件尾部概率。</w:t>
      </w:r>
    </w:p>
    <w:p>
      <w:pPr>
        <w:pStyle w:val="BodyText"/>
      </w:pPr>
      <w:r>
        <w:rPr>
          <w:rFonts w:hint="eastAsia"/>
        </w:rPr>
        <w:t xml:space="preserve">本文进一步利用</w:t>
      </w:r>
      <w:r>
        <w:t xml:space="preserve"> 2017–2025 </w:t>
      </w:r>
      <w:r>
        <w:rPr>
          <w:rFonts w:hint="eastAsia"/>
        </w:rPr>
        <w:t xml:space="preserve">年附件历史数据构造</w:t>
      </w:r>
      <w:r>
        <w:t xml:space="preserve"> 2146 </w:t>
      </w:r>
      <w:r>
        <w:rPr>
          <w:rFonts w:hint="eastAsia"/>
        </w:rPr>
        <w:t xml:space="preserve">个同长度窗口，校准中长期扰动尺度。2026</w:t>
      </w:r>
      <w:r>
        <w:t xml:space="preserve"> </w:t>
      </w:r>
      <w:r>
        <w:rPr>
          <w:rFonts w:hint="eastAsia"/>
        </w:rPr>
        <w:t xml:space="preserve">冲突窗口的日收益波动率位于历史约</w:t>
      </w:r>
      <w:r>
        <w:t xml:space="preserve"> 95.5% </w:t>
      </w:r>
      <w:r>
        <w:rPr>
          <w:rFonts w:hint="eastAsia"/>
        </w:rPr>
        <w:t xml:space="preserve">分位，最大单日跳变位于约</w:t>
      </w:r>
      <w:r>
        <w:t xml:space="preserve"> 89.4% </w:t>
      </w:r>
      <w:r>
        <w:rPr>
          <w:rFonts w:hint="eastAsia"/>
        </w:rPr>
        <w:t xml:space="preserve">分位；据此设定压力指数噪声标准差为</w:t>
      </w:r>
      <w:r>
        <w:t xml:space="preserve"> </w:t>
      </w:r>
      <w:r>
        <w:rPr>
          <w:rFonts w:hint="eastAsia"/>
        </w:rPr>
        <w:t xml:space="preserve">0.073，并将状态转移日度扰动波动率校准为</w:t>
      </w:r>
      <w:r>
        <w:t xml:space="preserve"> </w:t>
      </w:r>
      <w:r>
        <w:rPr>
          <w:rFonts w:hint="eastAsia"/>
        </w:rPr>
        <w:t xml:space="preserve">0.0132。历史数据因此进入中长期油价调节模型的不确定性参数层，而不直接替代霍尔木兹封锁机制。</w:t>
      </w:r>
    </w:p>
    <w:p>
      <w:pPr>
        <w:pStyle w:val="CaptionedFigure"/>
      </w:pPr>
      <w:r>
        <w:drawing>
          <wp:inline>
            <wp:extent cx="4587240" cy="1761500"/>
            <wp:effectExtent b="0" l="0" r="0" t="0"/>
            <wp:docPr descr="" title="" id="149" name="Picture"/>
            <a:graphic>
              <a:graphicData uri="http://schemas.openxmlformats.org/drawingml/2006/picture">
                <pic:pic>
                  <pic:nvPicPr>
                    <pic:cNvPr descr="历史波动参数校准.png" id="150" name="Picture"/>
                    <pic:cNvPicPr>
                      <a:picLocks noChangeArrowheads="1" noChangeAspect="1"/>
                    </pic:cNvPicPr>
                  </pic:nvPicPr>
                  <pic:blipFill>
                    <a:blip r:embed="rId148"/>
                    <a:stretch>
                      <a:fillRect/>
                    </a:stretch>
                  </pic:blipFill>
                  <pic:spPr bwMode="auto">
                    <a:xfrm>
                      <a:off x="0" y="0"/>
                      <a:ext cx="4587240" cy="1761500"/>
                    </a:xfrm>
                    <a:prstGeom prst="rect">
                      <a:avLst/>
                    </a:prstGeom>
                    <a:noFill/>
                    <a:ln w="9525">
                      <a:noFill/>
                      <a:headEnd/>
                      <a:tailEnd/>
                    </a:ln>
                  </pic:spPr>
                </pic:pic>
              </a:graphicData>
            </a:graphic>
          </wp:inline>
        </w:drawing>
      </w:r>
    </w:p>
    <w:p>
      <w:pPr>
        <w:pStyle w:val="ImageCaption"/>
      </w:pPr>
      <w:r>
        <w:rPr>
          <w:rFonts w:hint="eastAsia"/>
        </w:rPr>
        <w:t xml:space="preserve">历史波动参数校准</w:t>
      </w:r>
    </w:p>
    <w:bookmarkStart w:id="154" w:name="fig:mc-path-cloud"/>
    <w:p>
      <w:pPr>
        <w:pStyle w:val="CaptionedFigure"/>
      </w:pPr>
      <w:r>
        <w:drawing>
          <wp:inline>
            <wp:extent cx="4907280" cy="2661575"/>
            <wp:effectExtent b="0" l="0" r="0" t="0"/>
            <wp:docPr descr="" title="" id="152" name="Picture"/>
            <a:graphic>
              <a:graphicData uri="http://schemas.openxmlformats.org/drawingml/2006/picture">
                <pic:pic>
                  <pic:nvPicPr>
                    <pic:cNvPr descr="传统蒙特卡洛路径云图.png" id="153" name="Picture"/>
                    <pic:cNvPicPr>
                      <a:picLocks noChangeArrowheads="1" noChangeAspect="1"/>
                    </pic:cNvPicPr>
                  </pic:nvPicPr>
                  <pic:blipFill>
                    <a:blip r:embed="rId151"/>
                    <a:stretch>
                      <a:fillRect/>
                    </a:stretch>
                  </pic:blipFill>
                  <pic:spPr bwMode="auto">
                    <a:xfrm>
                      <a:off x="0" y="0"/>
                      <a:ext cx="4907280" cy="2661575"/>
                    </a:xfrm>
                    <a:prstGeom prst="rect">
                      <a:avLst/>
                    </a:prstGeom>
                    <a:noFill/>
                    <a:ln w="9525">
                      <a:noFill/>
                      <a:headEnd/>
                      <a:tailEnd/>
                    </a:ln>
                  </pic:spPr>
                </pic:pic>
              </a:graphicData>
            </a:graphic>
          </wp:inline>
        </w:drawing>
      </w:r>
    </w:p>
    <w:p>
      <w:pPr>
        <w:pStyle w:val="ImageCaption"/>
      </w:pPr>
      <w:r>
        <w:rPr>
          <w:rFonts w:hint="eastAsia"/>
        </w:rPr>
        <w:t xml:space="preserve">传统蒙特卡洛路径云图</w:t>
      </w:r>
    </w:p>
    <w:bookmarkEnd w:id="154"/>
    <w:p>
      <w:pPr>
        <w:pStyle w:val="TableCaption"/>
      </w:pPr>
      <w:r>
        <w:rPr>
          <w:rFonts w:hint="eastAsia"/>
        </w:rPr>
        <w:t xml:space="preserve">蒙特卡洛情景树尾部风险结果</w:t>
      </w:r>
    </w:p>
    <w:tbl>
      <w:tblPr>
        <w:tblStyle w:val="Table"/>
        <w:tblW w:type="auto" w:w="0"/>
        <w:tblLook w:firstRow="1" w:lastRow="0" w:firstColumn="0" w:lastColumn="0" w:noHBand="0" w:noVBand="0" w:val="0020"/>
        <w:tblCaption w:val="蒙特卡洛情景树尾部风险结果"/>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外推期最高价突破</w:t>
            </w:r>
            <w:r>
              <w:t xml:space="preserve"> 120 </w:t>
            </w:r>
            <w:r>
              <w:rPr>
                <w:rFonts w:hint="eastAsia"/>
              </w:rPr>
              <w:t xml:space="preserve">美元/桶概率</w:t>
            </w:r>
          </w:p>
        </w:tc>
        <w:tc>
          <w:tcPr/>
          <w:p>
            <w:pPr>
              <w:pStyle w:val="Compact"/>
              <w:jc w:val="right"/>
            </w:pPr>
            <w:r>
              <w:t xml:space="preserve">16.3%</w:t>
            </w:r>
          </w:p>
        </w:tc>
      </w:tr>
      <w:tr>
        <w:tc>
          <w:tcPr/>
          <w:p>
            <w:pPr>
              <w:pStyle w:val="Compact"/>
              <w:jc w:val="left"/>
            </w:pPr>
            <w:r>
              <w:rPr>
                <w:rFonts w:hint="eastAsia"/>
              </w:rPr>
              <w:t xml:space="preserve">外推期最高价突破</w:t>
            </w:r>
            <w:r>
              <w:t xml:space="preserve"> 130 </w:t>
            </w:r>
            <w:r>
              <w:rPr>
                <w:rFonts w:hint="eastAsia"/>
              </w:rPr>
              <w:t xml:space="preserve">美元/桶概率</w:t>
            </w:r>
          </w:p>
        </w:tc>
        <w:tc>
          <w:tcPr/>
          <w:p>
            <w:pPr>
              <w:pStyle w:val="Compact"/>
              <w:jc w:val="right"/>
            </w:pPr>
            <w:r>
              <w:t xml:space="preserve">3.9%</w:t>
            </w:r>
          </w:p>
        </w:tc>
      </w:tr>
      <w:tr>
        <w:tc>
          <w:tcPr/>
          <w:p>
            <w:pPr>
              <w:pStyle w:val="Compact"/>
              <w:jc w:val="left"/>
            </w:pPr>
            <w:r>
              <w:rPr>
                <w:rFonts w:hint="eastAsia"/>
              </w:rPr>
              <w:t xml:space="preserve">第</w:t>
            </w:r>
            <w:r>
              <w:t xml:space="preserve"> 180 </w:t>
            </w:r>
            <w:r>
              <w:rPr>
                <w:rFonts w:hint="eastAsia"/>
              </w:rPr>
              <w:t xml:space="preserve">天剩余缺口超过</w:t>
            </w:r>
            <w:r>
              <w:t xml:space="preserve"> 500 </w:t>
            </w:r>
            <w:r>
              <w:rPr>
                <w:rFonts w:hint="eastAsia"/>
              </w:rPr>
              <w:t xml:space="preserve">万桶/日概率</w:t>
            </w:r>
          </w:p>
        </w:tc>
        <w:tc>
          <w:tcPr/>
          <w:p>
            <w:pPr>
              <w:pStyle w:val="Compact"/>
              <w:jc w:val="right"/>
            </w:pPr>
            <w:r>
              <w:t xml:space="preserve">0.1%</w:t>
            </w:r>
          </w:p>
        </w:tc>
      </w:tr>
      <w:tr>
        <w:tc>
          <w:tcPr/>
          <w:p>
            <w:pPr>
              <w:pStyle w:val="Compact"/>
              <w:jc w:val="left"/>
            </w:pPr>
            <w:r>
              <w:rPr>
                <w:rFonts w:hint="eastAsia"/>
              </w:rPr>
              <w:t xml:space="preserve">二次跳涨风险为高概率</w:t>
            </w:r>
          </w:p>
        </w:tc>
        <w:tc>
          <w:tcPr/>
          <w:p>
            <w:pPr>
              <w:pStyle w:val="Compact"/>
              <w:jc w:val="right"/>
            </w:pPr>
            <w:r>
              <w:t xml:space="preserve">8.4%</w:t>
            </w:r>
          </w:p>
        </w:tc>
      </w:tr>
      <w:tr>
        <w:tc>
          <w:tcPr/>
          <w:p>
            <w:pPr>
              <w:pStyle w:val="Compact"/>
              <w:jc w:val="left"/>
            </w:pPr>
            <w:r>
              <w:rPr>
                <w:rFonts w:hint="eastAsia"/>
              </w:rPr>
              <w:t xml:space="preserve">第</w:t>
            </w:r>
            <w:r>
              <w:t xml:space="preserve"> 180 </w:t>
            </w:r>
            <w:r>
              <w:rPr>
                <w:rFonts w:hint="eastAsia"/>
              </w:rPr>
              <w:t xml:space="preserve">天价格</w:t>
            </w:r>
            <w:r>
              <w:t xml:space="preserve"> P05</w:t>
            </w:r>
          </w:p>
        </w:tc>
        <w:tc>
          <w:tcPr/>
          <w:p>
            <w:pPr>
              <w:pStyle w:val="Compact"/>
              <w:jc w:val="right"/>
            </w:pPr>
            <w:r>
              <w:t xml:space="preserve">89.58</w:t>
            </w:r>
          </w:p>
        </w:tc>
      </w:tr>
      <w:tr>
        <w:tc>
          <w:tcPr/>
          <w:p>
            <w:pPr>
              <w:pStyle w:val="Compact"/>
              <w:jc w:val="left"/>
            </w:pPr>
            <w:r>
              <w:rPr>
                <w:rFonts w:hint="eastAsia"/>
              </w:rPr>
              <w:t xml:space="preserve">第</w:t>
            </w:r>
            <w:r>
              <w:t xml:space="preserve"> 180 </w:t>
            </w:r>
            <w:r>
              <w:rPr>
                <w:rFonts w:hint="eastAsia"/>
              </w:rPr>
              <w:t xml:space="preserve">天价格</w:t>
            </w:r>
            <w:r>
              <w:t xml:space="preserve"> P50</w:t>
            </w:r>
          </w:p>
        </w:tc>
        <w:tc>
          <w:tcPr/>
          <w:p>
            <w:pPr>
              <w:pStyle w:val="Compact"/>
              <w:jc w:val="right"/>
            </w:pPr>
            <w:r>
              <w:t xml:space="preserve">96.69</w:t>
            </w:r>
          </w:p>
        </w:tc>
      </w:tr>
      <w:tr>
        <w:tc>
          <w:tcPr/>
          <w:p>
            <w:pPr>
              <w:pStyle w:val="Compact"/>
              <w:jc w:val="left"/>
            </w:pPr>
            <w:r>
              <w:rPr>
                <w:rFonts w:hint="eastAsia"/>
              </w:rPr>
              <w:t xml:space="preserve">第</w:t>
            </w:r>
            <w:r>
              <w:t xml:space="preserve"> 180 </w:t>
            </w:r>
            <w:r>
              <w:rPr>
                <w:rFonts w:hint="eastAsia"/>
              </w:rPr>
              <w:t xml:space="preserve">天价格</w:t>
            </w:r>
            <w:r>
              <w:t xml:space="preserve"> P95</w:t>
            </w:r>
          </w:p>
        </w:tc>
        <w:tc>
          <w:tcPr/>
          <w:p>
            <w:pPr>
              <w:pStyle w:val="Compact"/>
              <w:jc w:val="right"/>
            </w:pPr>
            <w:r>
              <w:t xml:space="preserve">106.44</w:t>
            </w:r>
          </w:p>
        </w:tc>
      </w:tr>
      <w:tr>
        <w:tc>
          <w:tcPr/>
          <w:p>
            <w:pPr>
              <w:pStyle w:val="Compact"/>
              <w:jc w:val="left"/>
            </w:pPr>
            <w:r>
              <w:rPr>
                <w:rFonts w:hint="eastAsia"/>
              </w:rPr>
              <w:t xml:space="preserve">外推期最高价</w:t>
            </w:r>
            <w:r>
              <w:t xml:space="preserve"> P95</w:t>
            </w:r>
          </w:p>
        </w:tc>
        <w:tc>
          <w:tcPr/>
          <w:p>
            <w:pPr>
              <w:pStyle w:val="Compact"/>
              <w:jc w:val="right"/>
            </w:pPr>
            <w:r>
              <w:t xml:space="preserve">128.53</w:t>
            </w:r>
          </w:p>
        </w:tc>
      </w:tr>
    </w:tbl>
    <w:p>
      <w:pPr>
        <w:pStyle w:val="CaptionedFigure"/>
      </w:pPr>
      <w:r>
        <w:drawing>
          <wp:inline>
            <wp:extent cx="4160520" cy="2352876"/>
            <wp:effectExtent b="0" l="0" r="0" t="0"/>
            <wp:docPr descr="" title="" id="156" name="Picture"/>
            <a:graphic>
              <a:graphicData uri="http://schemas.openxmlformats.org/drawingml/2006/picture">
                <pic:pic>
                  <pic:nvPicPr>
                    <pic:cNvPr descr="蒙特卡洛尾部风险概率.png" id="157" name="Picture"/>
                    <pic:cNvPicPr>
                      <a:picLocks noChangeArrowheads="1" noChangeAspect="1"/>
                    </pic:cNvPicPr>
                  </pic:nvPicPr>
                  <pic:blipFill>
                    <a:blip r:embed="rId155"/>
                    <a:stretch>
                      <a:fillRect/>
                    </a:stretch>
                  </pic:blipFill>
                  <pic:spPr bwMode="auto">
                    <a:xfrm>
                      <a:off x="0" y="0"/>
                      <a:ext cx="4160520" cy="2352876"/>
                    </a:xfrm>
                    <a:prstGeom prst="rect">
                      <a:avLst/>
                    </a:prstGeom>
                    <a:noFill/>
                    <a:ln w="9525">
                      <a:noFill/>
                      <a:headEnd/>
                      <a:tailEnd/>
                    </a:ln>
                  </pic:spPr>
                </pic:pic>
              </a:graphicData>
            </a:graphic>
          </wp:inline>
        </w:drawing>
      </w:r>
    </w:p>
    <w:p>
      <w:pPr>
        <w:pStyle w:val="ImageCaption"/>
      </w:pPr>
      <w:r>
        <w:rPr>
          <w:rFonts w:hint="eastAsia"/>
        </w:rPr>
        <w:t xml:space="preserve">蒙特卡洛尾部风险概率</w:t>
      </w:r>
    </w:p>
    <w:p>
      <w:pPr>
        <w:pStyle w:val="BodyText"/>
      </w:pPr>
      <w:r>
        <w:rPr>
          <w:rFonts w:hint="eastAsia"/>
        </w:rPr>
        <w:t xml:space="preserve">结果表明，蒙特卡洛路径的第</w:t>
      </w:r>
      <w:r>
        <w:t xml:space="preserve"> 180 </w:t>
      </w:r>
      <w:r>
        <w:rPr>
          <w:rFonts w:hint="eastAsia"/>
        </w:rPr>
        <w:t xml:space="preserve">天中位数价格为</w:t>
      </w:r>
      <w:r>
        <w:t xml:space="preserve"> 96.69 </w:t>
      </w:r>
      <w:r>
        <w:rPr>
          <w:rFonts w:hint="eastAsia"/>
        </w:rPr>
        <w:t xml:space="preserve">美元/桶，与接入官方外生约束和</w:t>
      </w:r>
      <w:r>
        <w:t xml:space="preserve"> OVX </w:t>
      </w:r>
      <w:r>
        <w:rPr>
          <w:rFonts w:hint="eastAsia"/>
        </w:rPr>
        <w:t xml:space="preserve">后的中性情景</w:t>
      </w:r>
      <w:r>
        <w:t xml:space="preserve"> 94.15 </w:t>
      </w:r>
      <w:r>
        <w:rPr>
          <w:rFonts w:hint="eastAsia"/>
        </w:rPr>
        <w:t xml:space="preserve">美元/桶处在同一数量级，说明中性路径不是孤立的单点调参结果。与此同时，外推期最高价突破</w:t>
      </w:r>
      <w:r>
        <w:t xml:space="preserve"> 120 </w:t>
      </w:r>
      <w:r>
        <w:rPr>
          <w:rFonts w:hint="eastAsia"/>
        </w:rPr>
        <w:t xml:space="preserve">美元/桶的概率为</w:t>
      </w:r>
      <w:r>
        <w:t xml:space="preserve"> </w:t>
      </w:r>
      <w:r>
        <w:rPr>
          <w:rFonts w:hint="eastAsia"/>
        </w:rPr>
        <w:t xml:space="preserve">16.3%，突破</w:t>
      </w:r>
      <w:r>
        <w:t xml:space="preserve"> 130 </w:t>
      </w:r>
      <w:r>
        <w:rPr>
          <w:rFonts w:hint="eastAsia"/>
        </w:rPr>
        <w:t xml:space="preserve">美元/桶的概率为</w:t>
      </w:r>
      <w:r>
        <w:t xml:space="preserve"> </w:t>
      </w:r>
      <w:r>
        <w:rPr>
          <w:rFonts w:hint="eastAsia"/>
        </w:rPr>
        <w:t xml:space="preserve">3.9%。这说明长期风险的重点不是中性点预测本身，而是多因素联动恶化下的尾部组合风险；OVX</w:t>
      </w:r>
      <w:r>
        <w:t xml:space="preserve"> </w:t>
      </w:r>
      <w:r>
        <w:rPr>
          <w:rFonts w:hint="eastAsia"/>
        </w:rPr>
        <w:t xml:space="preserve">接入后，模型对市场隐含波动率给出的尾部定价更加敏感。</w:t>
      </w:r>
    </w:p>
    <w:bookmarkEnd w:id="158"/>
    <w:bookmarkStart w:id="162" w:name="状态转移扰动检验"/>
    <w:p>
      <w:pPr>
        <w:pStyle w:val="Heading2"/>
      </w:pPr>
      <w:r>
        <w:rPr>
          <w:rFonts w:hint="eastAsia"/>
        </w:rPr>
        <w:t xml:space="preserve">状态转移扰动检验</w:t>
      </w:r>
    </w:p>
    <w:p>
      <w:pPr>
        <w:pStyle w:val="FirstParagraph"/>
      </w:pPr>
      <w:r>
        <w:rPr>
          <w:rFonts w:hint="eastAsia"/>
        </w:rPr>
        <w:t xml:space="preserve">蒙特卡洛情景树主要扰动参数，而状态转移情景树主要扰动事件状态。设长期状态变量</w:t>
      </w:r>
      <w:r>
        <w:t xml:space="preserve"> </w:t>
      </w:r>
      <m:oMath>
        <m:sSub>
          <m:e>
            <m:r>
              <m:t>Z</m:t>
            </m:r>
          </m:e>
          <m:sub>
            <m:r>
              <m:t>t</m:t>
            </m:r>
          </m:sub>
        </m:sSub>
        <m:r>
          <m:rPr>
            <m:sty m:val="p"/>
          </m:rPr>
          <m:t>∈</m:t>
        </m:r>
        <m:r>
          <m:rPr>
            <m:sty m:val="p"/>
          </m:rPr>
          <m:t>{</m:t>
        </m:r>
        <m:r>
          <m:t>E</m:t>
        </m:r>
        <m:r>
          <m:rPr>
            <m:sty m:val="p"/>
          </m:rPr>
          <m:t>,</m:t>
        </m:r>
        <m:r>
          <m:t>N</m:t>
        </m:r>
        <m:r>
          <m:rPr>
            <m:sty m:val="p"/>
          </m:rPr>
          <m:t>,</m:t>
        </m:r>
        <m:r>
          <m:t>U</m:t>
        </m:r>
        <m:r>
          <m:rPr>
            <m:sty m:val="p"/>
          </m:rPr>
          <m:t>}</m:t>
        </m:r>
      </m:oMath>
      <w:r>
        <w:rPr>
          <w:rFonts w:hint="eastAsia"/>
        </w:rPr>
        <w:t xml:space="preserve">，分别表示缓和、维持和升级三类状态，其转移概率满足</w:t>
      </w:r>
    </w:p>
    <w:p>
      <w:pPr>
        <w:pStyle w:val="BodyText"/>
      </w:pPr>
      <m:oMathPara>
        <m:oMathParaPr>
          <m:jc m:val="center"/>
        </m:oMathParaPr>
        <m:oMath>
          <m:r>
            <m:rPr>
              <m:sty m:val="p"/>
            </m:rPr>
            <m:t>Pr</m:t>
          </m:r>
          <m:r>
            <m:rPr>
              <m:sty m:val="p"/>
            </m:rPr>
            <m:t>(</m:t>
          </m:r>
          <m:sSub>
            <m:e>
              <m:r>
                <m:t>Z</m:t>
              </m:r>
            </m:e>
            <m:sub>
              <m:r>
                <m:t>t</m:t>
              </m:r>
              <m:r>
                <m:rPr>
                  <m:sty m:val="p"/>
                </m:rPr>
                <m:t>+</m:t>
              </m:r>
              <m:r>
                <m:t>1</m:t>
              </m:r>
            </m:sub>
          </m:sSub>
          <m:r>
            <m:rPr>
              <m:sty m:val="p"/>
            </m:rPr>
            <m:t>=</m:t>
          </m:r>
          <m:r>
            <m:t>j</m:t>
          </m:r>
          <m:r>
            <m:rPr>
              <m:sty m:val="p"/>
            </m:rPr>
            <m:t>∣</m:t>
          </m:r>
          <m:sSub>
            <m:e>
              <m:r>
                <m:t>Z</m:t>
              </m:r>
            </m:e>
            <m:sub>
              <m:r>
                <m:t>t</m:t>
              </m:r>
            </m:sub>
          </m:sSub>
          <m:r>
            <m:rPr>
              <m:sty m:val="p"/>
            </m:rPr>
            <m:t>=</m:t>
          </m:r>
          <m:r>
            <m:t>i</m:t>
          </m:r>
          <m:r>
            <m:rPr>
              <m:sty m:val="p"/>
            </m:rPr>
            <m:t>)</m:t>
          </m:r>
          <m:r>
            <m:rPr>
              <m:sty m:val="p"/>
            </m:rPr>
            <m:t>=</m:t>
          </m:r>
          <m:sSub>
            <m:e>
              <m:r>
                <m:t>m</m:t>
              </m:r>
            </m:e>
            <m:sub>
              <m:r>
                <m:t>i</m:t>
              </m:r>
              <m:r>
                <m:t>j</m:t>
              </m:r>
            </m:sub>
          </m:sSub>
          <m:r>
            <m:rPr>
              <m:sty m:val="p"/>
            </m:rPr>
            <m:t>(</m:t>
          </m:r>
          <m:r>
            <m:t>t</m:t>
          </m:r>
          <m:r>
            <m:rPr>
              <m:sty m:val="p"/>
            </m:rPr>
            <m:t>)</m:t>
          </m:r>
          <m:r>
            <m:rPr>
              <m:sty m:val="p"/>
            </m:rPr>
            <m:t>,</m:t>
          </m:r>
        </m:oMath>
      </m:oMathPara>
    </w:p>
    <w:p>
      <w:pPr>
        <w:pStyle w:val="FirstParagraph"/>
      </w:pPr>
      <w:r>
        <w:rPr>
          <w:rFonts w:hint="eastAsia"/>
        </w:rPr>
        <w:t xml:space="preserve">其中</w:t>
      </w:r>
      <w:r>
        <w:t xml:space="preserve"> </w:t>
      </w:r>
      <m:oMath>
        <m:sSub>
          <m:e>
            <m:r>
              <m:t>m</m:t>
            </m:r>
          </m:e>
          <m:sub>
            <m:r>
              <m:t>i</m:t>
            </m:r>
            <m:r>
              <m:t>j</m:t>
            </m:r>
          </m:sub>
        </m:sSub>
        <m:r>
          <m:rPr>
            <m:sty m:val="p"/>
          </m:rPr>
          <m:t>(</m:t>
        </m:r>
        <m:r>
          <m:t>t</m:t>
        </m:r>
        <m:r>
          <m:rPr>
            <m:sty m:val="p"/>
          </m:rPr>
          <m:t>)</m:t>
        </m:r>
      </m:oMath>
      <w:r>
        <w:t xml:space="preserve"> </w:t>
      </w:r>
      <w:r>
        <w:rPr>
          <w:rFonts w:hint="eastAsia"/>
        </w:rPr>
        <w:t xml:space="preserve">允许随封锁持续时间缓慢偏向缓和状态，表示市场逐步观察到政策缓冲和替代运输效果。给定状态</w:t>
      </w:r>
      <w:r>
        <w:t xml:space="preserve"> </w:t>
      </w:r>
      <m:oMath>
        <m:sSub>
          <m:e>
            <m:r>
              <m:t>Z</m:t>
            </m:r>
          </m:e>
          <m:sub>
            <m:r>
              <m:t>t</m:t>
            </m:r>
          </m:sub>
        </m:sSub>
      </m:oMath>
      <w:r>
        <w:t xml:space="preserve"> </w:t>
      </w:r>
      <w:r>
        <w:rPr>
          <w:rFonts w:hint="eastAsia"/>
        </w:rPr>
        <w:t xml:space="preserve">后，价格不直接等于某条三情景曲线，而是向相应中心路径</w:t>
      </w:r>
      <w:r>
        <w:t xml:space="preserve"> </w:t>
      </w:r>
      <m:oMath>
        <m:sSub>
          <m:e>
            <m:acc>
              <m:accPr>
                <m:chr m:val="‾"/>
              </m:accPr>
              <m:e>
                <m:r>
                  <m:t>P</m:t>
                </m:r>
              </m:e>
            </m:acc>
          </m:e>
          <m:sub>
            <m:r>
              <m:t>t</m:t>
            </m:r>
          </m:sub>
        </m:sSub>
        <m:r>
          <m:rPr>
            <m:sty m:val="p"/>
          </m:rPr>
          <m:t>(</m:t>
        </m:r>
        <m:sSub>
          <m:e>
            <m:r>
              <m:t>Z</m:t>
            </m:r>
          </m:e>
          <m:sub>
            <m:r>
              <m:t>t</m:t>
            </m:r>
          </m:sub>
        </m:sSub>
        <m:r>
          <m:rPr>
            <m:sty m:val="p"/>
          </m:rPr>
          <m:t>)</m:t>
        </m:r>
      </m:oMath>
      <w:r>
        <w:t xml:space="preserve"> </w:t>
      </w:r>
      <w:r>
        <w:rPr>
          <w:rFonts w:hint="eastAsia"/>
        </w:rPr>
        <w:t xml:space="preserve">均值回复：</w:t>
      </w:r>
    </w:p>
    <w:p>
      <w:pPr>
        <w:pStyle w:val="BodyText"/>
      </w:pPr>
      <m:oMathPara>
        <m:oMathParaPr>
          <m:jc m:val="center"/>
        </m:oMathParaPr>
        <m:oMath>
          <m:sSubSup>
            <m:e>
              <m:r>
                <m:t>P</m:t>
              </m:r>
            </m:e>
            <m:sub>
              <m:r>
                <m:t>t</m:t>
              </m:r>
            </m:sub>
            <m:sup>
              <m:r>
                <m:rPr>
                  <m:sty m:val="p"/>
                </m:rPr>
                <m:t>(</m:t>
              </m:r>
              <m:r>
                <m:t>s</m:t>
              </m:r>
              <m:r>
                <m:rPr>
                  <m:sty m:val="p"/>
                </m:rPr>
                <m:t>)</m:t>
              </m:r>
            </m:sup>
          </m:sSubSup>
          <m:r>
            <m:rPr>
              <m:sty m:val="p"/>
            </m:rPr>
            <m:t>=</m:t>
          </m:r>
          <m:r>
            <m:t>0.82</m:t>
          </m:r>
          <m:sSubSup>
            <m:e>
              <m:r>
                <m:t>P</m:t>
              </m:r>
            </m:e>
            <m:sub>
              <m:r>
                <m:t>t</m:t>
              </m:r>
              <m:r>
                <m:rPr>
                  <m:sty m:val="p"/>
                </m:rPr>
                <m:t>−</m:t>
              </m:r>
              <m:r>
                <m:t>1</m:t>
              </m:r>
            </m:sub>
            <m:sup>
              <m:r>
                <m:rPr>
                  <m:sty m:val="p"/>
                </m:rPr>
                <m:t>(</m:t>
              </m:r>
              <m:r>
                <m:t>s</m:t>
              </m:r>
              <m:r>
                <m:rPr>
                  <m:sty m:val="p"/>
                </m:rPr>
                <m:t>)</m:t>
              </m:r>
            </m:sup>
          </m:sSubSup>
          <m:r>
            <m:rPr>
              <m:sty m:val="p"/>
            </m:rPr>
            <m:t>+</m:t>
          </m:r>
          <m:r>
            <m:t>0.18</m:t>
          </m:r>
          <m:sSub>
            <m:e>
              <m:acc>
                <m:accPr>
                  <m:chr m:val="‾"/>
                </m:accPr>
                <m:e>
                  <m:r>
                    <m:t>P</m:t>
                  </m:r>
                </m:e>
              </m:acc>
            </m:e>
            <m:sub>
              <m:r>
                <m:t>t</m:t>
              </m:r>
            </m:sub>
          </m:sSub>
          <m:r>
            <m:rPr>
              <m:sty m:val="p"/>
            </m:rPr>
            <m:t>(</m:t>
          </m:r>
          <m:sSub>
            <m:e>
              <m:r>
                <m:t>Z</m:t>
              </m:r>
            </m:e>
            <m:sub>
              <m:r>
                <m:t>t</m:t>
              </m:r>
            </m:sub>
          </m:sSub>
          <m:r>
            <m:rPr>
              <m:sty m:val="p"/>
            </m:rPr>
            <m:t>)</m:t>
          </m:r>
          <m:r>
            <m:rPr>
              <m:sty m:val="p"/>
            </m:rPr>
            <m:t>+</m:t>
          </m:r>
          <m:sSub>
            <m:e>
              <m:r>
                <m:t>u</m:t>
              </m:r>
            </m:e>
            <m:sub>
              <m:r>
                <m:t>t</m:t>
              </m:r>
            </m:sub>
          </m:sSub>
          <m:r>
            <m:rPr>
              <m:sty m:val="p"/>
            </m:rPr>
            <m:t>(</m:t>
          </m:r>
          <m:sSub>
            <m:e>
              <m:r>
                <m:t>Z</m:t>
              </m:r>
            </m:e>
            <m:sub>
              <m:r>
                <m:t>t</m:t>
              </m:r>
            </m:sub>
          </m:sSub>
          <m:r>
            <m:rPr>
              <m:sty m:val="p"/>
            </m:rPr>
            <m:t>)</m:t>
          </m:r>
          <m:r>
            <m:rPr>
              <m:sty m:val="p"/>
            </m:rPr>
            <m:t>+</m:t>
          </m:r>
          <m:sSub>
            <m:e>
              <m:r>
                <m:t>η</m:t>
              </m:r>
            </m:e>
            <m:sub>
              <m:r>
                <m:t>t</m:t>
              </m:r>
            </m:sub>
          </m:sSub>
          <m:r>
            <m:rPr>
              <m:sty m:val="p"/>
            </m:rPr>
            <m:t>(</m:t>
          </m:r>
          <m:sSub>
            <m:e>
              <m:r>
                <m:t>Z</m:t>
              </m:r>
            </m:e>
            <m:sub>
              <m:r>
                <m:t>t</m:t>
              </m:r>
              <m:r>
                <m:rPr>
                  <m:sty m:val="p"/>
                </m:rPr>
                <m:t>−</m:t>
              </m:r>
              <m:r>
                <m:t>1</m:t>
              </m:r>
            </m:sub>
          </m:sSub>
          <m:r>
            <m:rPr>
              <m:sty m:val="p"/>
            </m:rPr>
            <m:t>,</m:t>
          </m:r>
          <m:sSub>
            <m:e>
              <m:r>
                <m:t>Z</m:t>
              </m:r>
            </m:e>
            <m:sub>
              <m:r>
                <m:t>t</m:t>
              </m:r>
            </m:sub>
          </m:sSub>
          <m:r>
            <m:rPr>
              <m:sty m:val="p"/>
            </m:rPr>
            <m:t>)</m:t>
          </m:r>
          <m:r>
            <m:rPr>
              <m:sty m:val="p"/>
            </m:rPr>
            <m:t>,</m:t>
          </m:r>
        </m:oMath>
      </m:oMathPara>
    </w:p>
    <w:p>
      <w:pPr>
        <w:pStyle w:val="FirstParagraph"/>
      </w:pPr>
      <w:r>
        <w:rPr>
          <w:rFonts w:hint="eastAsia"/>
        </w:rPr>
        <w:t xml:space="preserve">其中</w:t>
      </w:r>
      <w:r>
        <w:t xml:space="preserve"> </w:t>
      </w:r>
      <m:oMath>
        <m:sSub>
          <m:e>
            <m:r>
              <m:t>u</m:t>
            </m:r>
          </m:e>
          <m:sub>
            <m:r>
              <m:t>t</m:t>
            </m:r>
          </m:sub>
        </m:sSub>
      </m:oMath>
      <w:r>
        <w:t xml:space="preserve"> </w:t>
      </w:r>
      <w:r>
        <w:rPr>
          <w:rFonts w:hint="eastAsia"/>
        </w:rPr>
        <w:t xml:space="preserve">为由附件历史波动估计的保守扰动项，</w:t>
      </w:r>
      <m:oMath>
        <m:sSub>
          <m:e>
            <m:r>
              <m:t>η</m:t>
            </m:r>
          </m:e>
          <m:sub>
            <m:r>
              <m:t>t</m:t>
            </m:r>
          </m:sub>
        </m:sSub>
      </m:oMath>
      <w:r>
        <w:t xml:space="preserve"> </w:t>
      </w:r>
      <w:r>
        <w:rPr>
          <w:rFonts w:hint="eastAsia"/>
        </w:rPr>
        <w:t xml:space="preserve">为状态切换时的跳变项。状态转移概率</w:t>
      </w:r>
      <w:r>
        <w:t xml:space="preserve"> </w:t>
      </w:r>
      <m:oMath>
        <m:sSub>
          <m:e>
            <m:r>
              <m:t>m</m:t>
            </m:r>
          </m:e>
          <m:sub>
            <m:r>
              <m:t>i</m:t>
            </m:r>
            <m:r>
              <m:t>j</m:t>
            </m:r>
          </m:sub>
        </m:sSub>
        <m:r>
          <m:rPr>
            <m:sty m:val="p"/>
          </m:rPr>
          <m:t>(</m:t>
        </m:r>
        <m:r>
          <m:t>t</m:t>
        </m:r>
        <m:r>
          <m:rPr>
            <m:sty m:val="p"/>
          </m:rPr>
          <m:t>)</m:t>
        </m:r>
      </m:oMath>
      <w:r>
        <w:t xml:space="preserve"> </w:t>
      </w:r>
      <w:r>
        <w:rPr>
          <w:rFonts w:hint="eastAsia"/>
        </w:rPr>
        <w:t xml:space="preserve">还受到</w:t>
      </w:r>
      <w:r>
        <w:t xml:space="preserve"> GPR </w:t>
      </w:r>
      <w:r>
        <w:rPr>
          <w:rFonts w:hint="eastAsia"/>
        </w:rPr>
        <w:t xml:space="preserve">与</w:t>
      </w:r>
      <w:r>
        <w:t xml:space="preserve"> OVX </w:t>
      </w:r>
      <w:r>
        <w:rPr>
          <w:rFonts w:hint="eastAsia"/>
        </w:rPr>
        <w:t xml:space="preserve">生成的综合状态转移压力约束：GPR</w:t>
      </w:r>
      <w:r>
        <w:t xml:space="preserve"> </w:t>
      </w:r>
      <w:r>
        <w:rPr>
          <w:rFonts w:hint="eastAsia"/>
        </w:rPr>
        <w:t xml:space="preserve">反映地缘风险高位，OVX</w:t>
      </w:r>
      <w:r>
        <w:t xml:space="preserve"> </w:t>
      </w:r>
      <w:r>
        <w:rPr>
          <w:rFonts w:hint="eastAsia"/>
        </w:rPr>
        <w:t xml:space="preserve">反映期权市场对未来波动的定价，二者只温和提高早中期升级概率，并随外推时间衰减。该设定的含义是：长期物理机制决定价格中枢，事件状态切换决定价格围绕中枢的震荡和局部跳变。</w:t>
      </w:r>
    </w:p>
    <w:p>
      <w:pPr>
        <w:pStyle w:val="BodyText"/>
      </w:pPr>
      <w:r>
        <w:rPr>
          <w:rFonts w:hint="eastAsia"/>
        </w:rPr>
        <w:t xml:space="preserve">本检验共生成</w:t>
      </w:r>
      <w:r>
        <w:t xml:space="preserve"> 3000 </w:t>
      </w:r>
      <w:r>
        <w:rPr>
          <w:rFonts w:hint="eastAsia"/>
        </w:rPr>
        <w:t xml:space="preserve">条状态转移路径。结果显示，第</w:t>
      </w:r>
      <w:r>
        <w:t xml:space="preserve"> 180 </w:t>
      </w:r>
      <w:r>
        <w:rPr>
          <w:rFonts w:hint="eastAsia"/>
        </w:rPr>
        <w:t xml:space="preserve">天价格中位数为</w:t>
      </w:r>
      <w:r>
        <w:t xml:space="preserve"> 89.58 </w:t>
      </w:r>
      <w:r>
        <w:rPr>
          <w:rFonts w:hint="eastAsia"/>
        </w:rPr>
        <w:t xml:space="preserve">美元/桶，5%–95%</w:t>
      </w:r>
      <w:r>
        <w:t xml:space="preserve"> </w:t>
      </w:r>
      <w:r>
        <w:rPr>
          <w:rFonts w:hint="eastAsia"/>
        </w:rPr>
        <w:t xml:space="preserve">条件区间为</w:t>
      </w:r>
      <w:r>
        <w:t xml:space="preserve"> 86.36–96.06 </w:t>
      </w:r>
      <w:r>
        <w:rPr>
          <w:rFonts w:hint="eastAsia"/>
        </w:rPr>
        <w:t xml:space="preserve">美元/桶；外推期最高价</w:t>
      </w:r>
      <w:r>
        <w:t xml:space="preserve"> P95 </w:t>
      </w:r>
      <w:r>
        <w:rPr>
          <w:rFonts w:hint="eastAsia"/>
        </w:rPr>
        <w:t xml:space="preserve">为</w:t>
      </w:r>
      <w:r>
        <w:t xml:space="preserve"> 130.51 </w:t>
      </w:r>
      <w:r>
        <w:rPr>
          <w:rFonts w:hint="eastAsia"/>
        </w:rPr>
        <w:t xml:space="preserve">美元/桶，突破</w:t>
      </w:r>
      <w:r>
        <w:t xml:space="preserve"> 120 </w:t>
      </w:r>
      <w:r>
        <w:rPr>
          <w:rFonts w:hint="eastAsia"/>
        </w:rPr>
        <w:t xml:space="preserve">美元/桶的条件概率为</w:t>
      </w:r>
      <w:r>
        <w:t xml:space="preserve"> </w:t>
      </w:r>
      <w:r>
        <w:rPr>
          <w:rFonts w:hint="eastAsia"/>
        </w:rPr>
        <w:t xml:space="preserve">38.3%，突破</w:t>
      </w:r>
      <w:r>
        <w:t xml:space="preserve"> 130 </w:t>
      </w:r>
      <w:r>
        <w:rPr>
          <w:rFonts w:hint="eastAsia"/>
        </w:rPr>
        <w:t xml:space="preserve">美元/桶的条件概率为</w:t>
      </w:r>
      <w:r>
        <w:t xml:space="preserve"> </w:t>
      </w:r>
      <w:r>
        <w:rPr>
          <w:rFonts w:hint="eastAsia"/>
        </w:rPr>
        <w:t xml:space="preserve">5.7%。这说明状态切换和市场风险约束会放大外推期局部峰值，但</w:t>
      </w:r>
      <w:r>
        <w:rPr>
          <w:rFonts w:hint="eastAsia"/>
        </w:rPr>
        <w:t xml:space="preserve">“中性平衡点回落、悲观尾部保留”</w:t>
      </w:r>
      <w:r>
        <w:rPr>
          <w:rFonts w:hint="eastAsia"/>
        </w:rPr>
        <w:t xml:space="preserve">的主结论保持稳定。中长期油价调节模型的主要输出因此是不同冲突状态下的中心、区间和尾部风险。</w:t>
      </w:r>
    </w:p>
    <w:p>
      <w:pPr>
        <w:pStyle w:val="CaptionedFigure"/>
      </w:pPr>
      <w:r>
        <w:drawing>
          <wp:inline>
            <wp:extent cx="4907280" cy="2846222"/>
            <wp:effectExtent b="0" l="0" r="0" t="0"/>
            <wp:docPr descr="" title="" id="160" name="Picture"/>
            <a:graphic>
              <a:graphicData uri="http://schemas.openxmlformats.org/drawingml/2006/picture">
                <pic:pic>
                  <pic:nvPicPr>
                    <pic:cNvPr descr="R长期状态转移扇形图.png" id="161" name="Picture"/>
                    <pic:cNvPicPr>
                      <a:picLocks noChangeArrowheads="1" noChangeAspect="1"/>
                    </pic:cNvPicPr>
                  </pic:nvPicPr>
                  <pic:blipFill>
                    <a:blip r:embed="rId159"/>
                    <a:stretch>
                      <a:fillRect/>
                    </a:stretch>
                  </pic:blipFill>
                  <pic:spPr bwMode="auto">
                    <a:xfrm>
                      <a:off x="0" y="0"/>
                      <a:ext cx="4907280" cy="2846222"/>
                    </a:xfrm>
                    <a:prstGeom prst="rect">
                      <a:avLst/>
                    </a:prstGeom>
                    <a:noFill/>
                    <a:ln w="9525">
                      <a:noFill/>
                      <a:headEnd/>
                      <a:tailEnd/>
                    </a:ln>
                  </pic:spPr>
                </pic:pic>
              </a:graphicData>
            </a:graphic>
          </wp:inline>
        </w:drawing>
      </w:r>
    </w:p>
    <w:p>
      <w:pPr>
        <w:pStyle w:val="ImageCaption"/>
      </w:pPr>
      <w:r>
        <w:t xml:space="preserve">R/ggplot2 </w:t>
      </w:r>
      <w:r>
        <w:rPr>
          <w:rFonts w:hint="eastAsia"/>
        </w:rPr>
        <w:t xml:space="preserve">长期状态转移区间预测</w:t>
      </w:r>
    </w:p>
    <w:bookmarkEnd w:id="162"/>
    <w:bookmarkStart w:id="169" w:name="滞后地缘风险指数检验"/>
    <w:p>
      <w:pPr>
        <w:pStyle w:val="Heading2"/>
      </w:pPr>
      <w:r>
        <w:rPr>
          <w:rFonts w:hint="eastAsia"/>
        </w:rPr>
        <w:t xml:space="preserve">滞后地缘风险指数检验</w:t>
      </w:r>
    </w:p>
    <w:p>
      <w:pPr>
        <w:pStyle w:val="FirstParagraph"/>
      </w:pPr>
      <w:r>
        <w:rPr>
          <w:rFonts w:hint="eastAsia"/>
        </w:rPr>
        <w:t xml:space="preserve">短期冲击模型和中长期油价调节模型中均包含地缘风险权重和恐慌衰减项。本文使用</w:t>
      </w:r>
      <w:r>
        <w:t xml:space="preserve"> Caldara-Iacoviello GPR </w:t>
      </w:r>
      <w:r>
        <w:rPr>
          <w:rFonts w:hint="eastAsia"/>
        </w:rPr>
        <w:t xml:space="preserve">月度指数做外部校验，并采用滞后一期口径处理新闻风险变量与油价之间的反馈关系。GPR</w:t>
      </w:r>
      <w:r>
        <w:t xml:space="preserve"> </w:t>
      </w:r>
      <w:r>
        <w:rPr>
          <w:rFonts w:hint="eastAsia"/>
        </w:rPr>
        <w:t xml:space="preserve">的定位是风险环境校验，而不是短期同步价格输入。</w:t>
      </w:r>
    </w:p>
    <w:p>
      <w:pPr>
        <w:pStyle w:val="TableCaption"/>
      </w:pPr>
      <w:r>
        <w:rPr>
          <w:rFonts w:hint="eastAsia"/>
        </w:rPr>
        <w:t xml:space="preserve">滞后</w:t>
      </w:r>
      <w:r>
        <w:t xml:space="preserve"> GPR </w:t>
      </w:r>
      <w:r>
        <w:rPr>
          <w:rFonts w:hint="eastAsia"/>
        </w:rPr>
        <w:t xml:space="preserve">风险检验指标</w:t>
      </w:r>
    </w:p>
    <w:tbl>
      <w:tblPr>
        <w:tblStyle w:val="Table"/>
        <w:tblW w:type="auto" w:w="0"/>
        <w:tblLook w:firstRow="1" w:lastRow="0" w:firstColumn="0" w:lastColumn="0" w:noHBand="0" w:noVBand="0" w:val="0020"/>
        <w:tblCaption w:val="滞后 GPR 风险检验指标"/>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解释</w:t>
            </w:r>
          </w:p>
        </w:tc>
      </w:tr>
      <w:tr>
        <w:tc>
          <w:tcPr/>
          <w:p>
            <w:pPr>
              <w:pStyle w:val="Compact"/>
              <w:jc w:val="left"/>
            </w:pPr>
            <w:r>
              <w:rPr>
                <w:rFonts w:hint="eastAsia"/>
              </w:rPr>
              <w:t xml:space="preserve">同期</w:t>
            </w:r>
            <w:r>
              <w:t xml:space="preserve"> GPR </w:t>
            </w:r>
            <w:r>
              <w:rPr>
                <w:rFonts w:hint="eastAsia"/>
              </w:rPr>
              <w:t xml:space="preserve">与本月油价收益相关系数</w:t>
            </w:r>
          </w:p>
        </w:tc>
        <w:tc>
          <w:tcPr/>
          <w:p>
            <w:pPr>
              <w:pStyle w:val="Compact"/>
              <w:jc w:val="right"/>
            </w:pPr>
            <w:r>
              <w:t xml:space="preserve">0.156</w:t>
            </w:r>
          </w:p>
        </w:tc>
        <w:tc>
          <w:tcPr/>
          <w:p>
            <w:pPr>
              <w:pStyle w:val="Compact"/>
              <w:jc w:val="left"/>
            </w:pPr>
            <w:r>
              <w:rPr>
                <w:rFonts w:hint="eastAsia"/>
              </w:rPr>
              <w:t xml:space="preserve">只作为描述性同步关系，不用于预测</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与本月油价收益相关系数</w:t>
            </w:r>
          </w:p>
        </w:tc>
        <w:tc>
          <w:tcPr/>
          <w:p>
            <w:pPr>
              <w:pStyle w:val="Compact"/>
              <w:jc w:val="right"/>
            </w:pPr>
            <w:r>
              <w:t xml:space="preserve">0.030</w:t>
            </w:r>
          </w:p>
        </w:tc>
        <w:tc>
          <w:tcPr/>
          <w:p>
            <w:pPr>
              <w:pStyle w:val="Compact"/>
              <w:jc w:val="left"/>
            </w:pPr>
            <w:r>
              <w:rPr>
                <w:rFonts w:hint="eastAsia"/>
              </w:rPr>
              <w:t xml:space="preserve">避免同月新闻–价格反馈循环的核心检验</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与本月实现波动率相关系数</w:t>
            </w:r>
          </w:p>
        </w:tc>
        <w:tc>
          <w:tcPr/>
          <w:p>
            <w:pPr>
              <w:pStyle w:val="Compact"/>
              <w:jc w:val="right"/>
            </w:pPr>
            <w:r>
              <w:t xml:space="preserve">0.107</w:t>
            </w:r>
          </w:p>
        </w:tc>
        <w:tc>
          <w:tcPr/>
          <w:p>
            <w:pPr>
              <w:pStyle w:val="Compact"/>
              <w:jc w:val="left"/>
            </w:pPr>
            <w:r>
              <w:rPr>
                <w:rFonts w:hint="eastAsia"/>
              </w:rPr>
              <w:t xml:space="preserve">风险指数更适合解释波动和尾部风险</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收益回归</w:t>
            </w:r>
            <w:r>
              <w:t xml:space="preserve"> </w:t>
            </w:r>
            <m:oMath>
              <m:sSup>
                <m:e>
                  <m:r>
                    <m:t>R</m:t>
                  </m:r>
                </m:e>
                <m:sup>
                  <m:r>
                    <m:t>2</m:t>
                  </m:r>
                </m:sup>
              </m:sSup>
            </m:oMath>
          </w:p>
        </w:tc>
        <w:tc>
          <w:tcPr/>
          <w:p>
            <w:pPr>
              <w:pStyle w:val="Compact"/>
              <w:jc w:val="right"/>
            </w:pPr>
            <w:r>
              <w:t xml:space="preserve">0.001</w:t>
            </w:r>
          </w:p>
        </w:tc>
        <w:tc>
          <w:tcPr/>
          <w:p>
            <w:pPr>
              <w:pStyle w:val="Compact"/>
              <w:jc w:val="left"/>
            </w:pPr>
            <w:r>
              <w:rPr>
                <w:rFonts w:hint="eastAsia"/>
              </w:rPr>
              <w:t xml:space="preserve">不支持把</w:t>
            </w:r>
            <w:r>
              <w:t xml:space="preserve"> GPR </w:t>
            </w:r>
            <w:r>
              <w:rPr>
                <w:rFonts w:hint="eastAsia"/>
              </w:rPr>
              <w:t xml:space="preserve">包装成强短期收益预测器</w:t>
            </w:r>
          </w:p>
        </w:tc>
      </w:tr>
      <w:tr>
        <w:tc>
          <w:tcPr/>
          <w:p>
            <w:pPr>
              <w:pStyle w:val="Compact"/>
              <w:jc w:val="left"/>
            </w:pPr>
            <w:r>
              <w:t xml:space="preserve">2026 </w:t>
            </w:r>
            <w:r>
              <w:rPr>
                <w:rFonts w:hint="eastAsia"/>
              </w:rPr>
              <w:t xml:space="preserve">年</w:t>
            </w:r>
            <w:r>
              <w:t xml:space="preserve"> 3 </w:t>
            </w:r>
            <w:r>
              <w:rPr>
                <w:rFonts w:hint="eastAsia"/>
              </w:rPr>
              <w:t xml:space="preserve">月</w:t>
            </w:r>
            <w:r>
              <w:t xml:space="preserve"> GPR </w:t>
            </w:r>
            <w:r>
              <w:rPr>
                <w:rFonts w:hint="eastAsia"/>
              </w:rPr>
              <w:t xml:space="preserve">历史分位数</w:t>
            </w:r>
          </w:p>
        </w:tc>
        <w:tc>
          <w:tcPr/>
          <w:p>
            <w:pPr>
              <w:pStyle w:val="Compact"/>
              <w:jc w:val="right"/>
            </w:pPr>
            <w:r>
              <w:t xml:space="preserve">98.98%</w:t>
            </w:r>
          </w:p>
        </w:tc>
        <w:tc>
          <w:tcPr/>
          <w:p>
            <w:pPr>
              <w:pStyle w:val="Compact"/>
              <w:jc w:val="left"/>
            </w:pPr>
            <w:r>
              <w:rPr>
                <w:rFonts w:hint="eastAsia"/>
              </w:rPr>
              <w:t xml:space="preserve">冲突爆发月风险读数处于罕见高位</w:t>
            </w:r>
          </w:p>
        </w:tc>
      </w:tr>
      <w:tr>
        <w:tc>
          <w:tcPr/>
          <w:p>
            <w:pPr>
              <w:pStyle w:val="Compact"/>
              <w:jc w:val="left"/>
            </w:pPr>
            <w:r>
              <w:t xml:space="preserve">2026 </w:t>
            </w:r>
            <w:r>
              <w:rPr>
                <w:rFonts w:hint="eastAsia"/>
              </w:rPr>
              <w:t xml:space="preserve">年</w:t>
            </w:r>
            <w:r>
              <w:t xml:space="preserve"> 4 </w:t>
            </w:r>
            <w:r>
              <w:rPr>
                <w:rFonts w:hint="eastAsia"/>
              </w:rPr>
              <w:t xml:space="preserve">月</w:t>
            </w:r>
            <w:r>
              <w:t xml:space="preserve"> GPR </w:t>
            </w:r>
            <w:r>
              <w:rPr>
                <w:rFonts w:hint="eastAsia"/>
              </w:rPr>
              <w:t xml:space="preserve">历史分位数</w:t>
            </w:r>
          </w:p>
        </w:tc>
        <w:tc>
          <w:tcPr/>
          <w:p>
            <w:pPr>
              <w:pStyle w:val="Compact"/>
              <w:jc w:val="right"/>
            </w:pPr>
            <w:r>
              <w:t xml:space="preserve">97.76%</w:t>
            </w:r>
          </w:p>
        </w:tc>
        <w:tc>
          <w:tcPr/>
          <w:p>
            <w:pPr>
              <w:pStyle w:val="Compact"/>
              <w:jc w:val="left"/>
            </w:pPr>
            <w:r>
              <w:rPr>
                <w:rFonts w:hint="eastAsia"/>
              </w:rPr>
              <w:t xml:space="preserve">冲突延续月风险读数仍处于历史高位</w:t>
            </w:r>
          </w:p>
        </w:tc>
      </w:tr>
    </w:tbl>
    <w:p>
      <w:pPr>
        <w:pStyle w:val="CaptionedFigure"/>
      </w:pPr>
      <w:r>
        <w:drawing>
          <wp:inline>
            <wp:extent cx="4907280" cy="2628899"/>
            <wp:effectExtent b="0" l="0" r="0" t="0"/>
            <wp:docPr descr="" title="" id="164" name="Picture"/>
            <a:graphic>
              <a:graphicData uri="http://schemas.openxmlformats.org/drawingml/2006/picture">
                <pic:pic>
                  <pic:nvPicPr>
                    <pic:cNvPr descr="地缘风险指数滞后审计.png" id="165" name="Picture"/>
                    <pic:cNvPicPr>
                      <a:picLocks noChangeArrowheads="1" noChangeAspect="1"/>
                    </pic:cNvPicPr>
                  </pic:nvPicPr>
                  <pic:blipFill>
                    <a:blip r:embed="rId163"/>
                    <a:stretch>
                      <a:fillRect/>
                    </a:stretch>
                  </pic:blipFill>
                  <pic:spPr bwMode="auto">
                    <a:xfrm>
                      <a:off x="0" y="0"/>
                      <a:ext cx="4907280" cy="2628899"/>
                    </a:xfrm>
                    <a:prstGeom prst="rect">
                      <a:avLst/>
                    </a:prstGeom>
                    <a:noFill/>
                    <a:ln w="9525">
                      <a:noFill/>
                      <a:headEnd/>
                      <a:tailEnd/>
                    </a:ln>
                  </pic:spPr>
                </pic:pic>
              </a:graphicData>
            </a:graphic>
          </wp:inline>
        </w:drawing>
      </w:r>
    </w:p>
    <w:p>
      <w:pPr>
        <w:pStyle w:val="ImageCaption"/>
      </w:pPr>
      <w:r>
        <w:rPr>
          <w:rFonts w:hint="eastAsia"/>
        </w:rPr>
        <w:t xml:space="preserve">地缘风险指数滞后检验</w:t>
      </w:r>
    </w:p>
    <w:p>
      <w:pPr>
        <w:pStyle w:val="CaptionedFigure"/>
      </w:pPr>
      <w:r>
        <w:drawing>
          <wp:inline>
            <wp:extent cx="4480560" cy="3054927"/>
            <wp:effectExtent b="0" l="0" r="0" t="0"/>
            <wp:docPr descr="" title="" id="167" name="Picture"/>
            <a:graphic>
              <a:graphicData uri="http://schemas.openxmlformats.org/drawingml/2006/picture">
                <pic:pic>
                  <pic:nvPicPr>
                    <pic:cNvPr descr="滞后GPR与布伦特收益关系.png" id="168" name="Picture"/>
                    <pic:cNvPicPr>
                      <a:picLocks noChangeArrowheads="1" noChangeAspect="1"/>
                    </pic:cNvPicPr>
                  </pic:nvPicPr>
                  <pic:blipFill>
                    <a:blip r:embed="rId166"/>
                    <a:stretch>
                      <a:fillRect/>
                    </a:stretch>
                  </pic:blipFill>
                  <pic:spPr bwMode="auto">
                    <a:xfrm>
                      <a:off x="0" y="0"/>
                      <a:ext cx="4480560" cy="3054927"/>
                    </a:xfrm>
                    <a:prstGeom prst="rect">
                      <a:avLst/>
                    </a:prstGeom>
                    <a:noFill/>
                    <a:ln w="9525">
                      <a:noFill/>
                      <a:headEnd/>
                      <a:tailEnd/>
                    </a:ln>
                  </pic:spPr>
                </pic:pic>
              </a:graphicData>
            </a:graphic>
          </wp:inline>
        </w:drawing>
      </w:r>
    </w:p>
    <w:p>
      <w:pPr>
        <w:pStyle w:val="ImageCaption"/>
      </w:pPr>
      <w:r>
        <w:rPr>
          <w:rFonts w:hint="eastAsia"/>
        </w:rPr>
        <w:t xml:space="preserve">滞后</w:t>
      </w:r>
      <w:r>
        <w:t xml:space="preserve"> 1 </w:t>
      </w:r>
      <w:r>
        <w:rPr>
          <w:rFonts w:hint="eastAsia"/>
        </w:rPr>
        <w:t xml:space="preserve">月</w:t>
      </w:r>
      <w:r>
        <w:t xml:space="preserve"> GPR </w:t>
      </w:r>
      <w:r>
        <w:rPr>
          <w:rFonts w:hint="eastAsia"/>
        </w:rPr>
        <w:t xml:space="preserve">与布伦特月度收益关系</w:t>
      </w:r>
    </w:p>
    <w:p>
      <w:pPr>
        <w:pStyle w:val="BodyText"/>
      </w:pPr>
      <w:r>
        <w:rPr>
          <w:rFonts w:hint="eastAsia"/>
        </w:rPr>
        <w:t xml:space="preserve">该结果对本文有两层含义。第一，2026</w:t>
      </w:r>
      <w:r>
        <w:t xml:space="preserve"> </w:t>
      </w:r>
      <w:r>
        <w:rPr>
          <w:rFonts w:hint="eastAsia"/>
        </w:rPr>
        <w:t xml:space="preserve">年</w:t>
      </w:r>
      <w:r>
        <w:t xml:space="preserve"> 3–4 </w:t>
      </w:r>
      <w:r>
        <w:rPr>
          <w:rFonts w:hint="eastAsia"/>
        </w:rPr>
        <w:t xml:space="preserve">月</w:t>
      </w:r>
      <w:r>
        <w:t xml:space="preserve"> GPR </w:t>
      </w:r>
      <w:r>
        <w:rPr>
          <w:rFonts w:hint="eastAsia"/>
        </w:rPr>
        <w:t xml:space="preserve">处于历史高分位，说明模型中的地缘风险溢价具有外部风险指数支撑。第二，滞后</w:t>
      </w:r>
      <w:r>
        <w:t xml:space="preserve"> GPR </w:t>
      </w:r>
      <w:r>
        <w:rPr>
          <w:rFonts w:hint="eastAsia"/>
        </w:rPr>
        <w:t xml:space="preserve">对月度收益的解释力有限，因此本文将其用于风险校验和长期状态压力约束，而不作为短期点预测变量。</w:t>
      </w:r>
    </w:p>
    <w:bookmarkEnd w:id="169"/>
    <w:bookmarkStart w:id="173" w:name="市场隐含波动率检验"/>
    <w:p>
      <w:pPr>
        <w:pStyle w:val="Heading2"/>
      </w:pPr>
      <w:r>
        <w:rPr>
          <w:rFonts w:hint="eastAsia"/>
        </w:rPr>
        <w:t xml:space="preserve">市场隐含波动率检验</w:t>
      </w:r>
    </w:p>
    <w:p>
      <w:pPr>
        <w:pStyle w:val="FirstParagraph"/>
      </w:pPr>
      <w:r>
        <w:t xml:space="preserve">GPR </w:t>
      </w:r>
      <w:r>
        <w:rPr>
          <w:rFonts w:hint="eastAsia"/>
        </w:rPr>
        <w:t xml:space="preserve">侧重地缘政治风险叙事，OVX</w:t>
      </w:r>
      <w:r>
        <w:t xml:space="preserve"> </w:t>
      </w:r>
      <w:r>
        <w:rPr>
          <w:rFonts w:hint="eastAsia"/>
        </w:rPr>
        <w:t xml:space="preserve">则更接近期权市场对未来波动的交易定价。本文接入</w:t>
      </w:r>
      <w:r>
        <w:t xml:space="preserve"> Cboe/FRED </w:t>
      </w:r>
      <w:r>
        <w:rPr>
          <w:rFonts w:hint="eastAsia"/>
        </w:rPr>
        <w:t xml:space="preserve">的</w:t>
      </w:r>
      <w:r>
        <w:t xml:space="preserve"> OVX </w:t>
      </w:r>
      <w:r>
        <w:rPr>
          <w:rFonts w:hint="eastAsia"/>
        </w:rPr>
        <w:t xml:space="preserve">原油</w:t>
      </w:r>
      <w:r>
        <w:t xml:space="preserve"> ETF </w:t>
      </w:r>
      <w:r>
        <w:rPr>
          <w:rFonts w:hint="eastAsia"/>
        </w:rPr>
        <w:t xml:space="preserve">隐含波动率日度序列，并与附件布伦特主力合约价格进行滞后检验。</w:t>
      </w:r>
    </w:p>
    <w:p>
      <w:pPr>
        <w:pStyle w:val="TableCaption"/>
      </w:pPr>
      <w:r>
        <w:t xml:space="preserve">OVX </w:t>
      </w:r>
      <w:r>
        <w:rPr>
          <w:rFonts w:hint="eastAsia"/>
        </w:rPr>
        <w:t xml:space="preserve">市场隐含波动率检验指标</w:t>
      </w:r>
    </w:p>
    <w:tbl>
      <w:tblPr>
        <w:tblStyle w:val="Table"/>
        <w:tblW w:type="auto" w:w="0"/>
        <w:tblLook w:firstRow="1" w:lastRow="0" w:firstColumn="0" w:lastColumn="0" w:noHBand="0" w:noVBand="0" w:val="0020"/>
        <w:tblCaption w:val="OVX 市场隐含波动率检验指标"/>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解释</w:t>
            </w:r>
          </w:p>
        </w:tc>
      </w:tr>
      <w:tr>
        <w:tc>
          <w:tcPr/>
          <w:p>
            <w:pPr>
              <w:pStyle w:val="Compact"/>
              <w:jc w:val="left"/>
            </w:pPr>
            <w:r>
              <w:rPr>
                <w:rFonts w:hint="eastAsia"/>
              </w:rPr>
              <w:t xml:space="preserve">冲突窗口</w:t>
            </w:r>
            <w:r>
              <w:t xml:space="preserve"> OVX </w:t>
            </w:r>
            <w:r>
              <w:rPr>
                <w:rFonts w:hint="eastAsia"/>
              </w:rPr>
              <w:t xml:space="preserve">均值</w:t>
            </w:r>
          </w:p>
        </w:tc>
        <w:tc>
          <w:tcPr/>
          <w:p>
            <w:pPr>
              <w:pStyle w:val="Compact"/>
              <w:jc w:val="right"/>
            </w:pPr>
            <w:r>
              <w:t xml:space="preserve">87.07</w:t>
            </w:r>
          </w:p>
        </w:tc>
        <w:tc>
          <w:tcPr/>
          <w:p>
            <w:pPr>
              <w:pStyle w:val="Compact"/>
              <w:jc w:val="left"/>
            </w:pPr>
            <w:r>
              <w:rPr>
                <w:rFonts w:hint="eastAsia"/>
              </w:rPr>
              <w:t xml:space="preserve">期权市场定价出的冲突窗口平均预期波动率</w:t>
            </w:r>
          </w:p>
        </w:tc>
      </w:tr>
      <w:tr>
        <w:tc>
          <w:tcPr/>
          <w:p>
            <w:pPr>
              <w:pStyle w:val="Compact"/>
              <w:jc w:val="left"/>
            </w:pPr>
            <w:r>
              <w:rPr>
                <w:rFonts w:hint="eastAsia"/>
              </w:rPr>
              <w:t xml:space="preserve">冲突窗口</w:t>
            </w:r>
            <w:r>
              <w:t xml:space="preserve"> OVX </w:t>
            </w:r>
            <w:r>
              <w:rPr>
                <w:rFonts w:hint="eastAsia"/>
              </w:rPr>
              <w:t xml:space="preserve">最大值</w:t>
            </w:r>
          </w:p>
        </w:tc>
        <w:tc>
          <w:tcPr/>
          <w:p>
            <w:pPr>
              <w:pStyle w:val="Compact"/>
              <w:jc w:val="right"/>
            </w:pPr>
            <w:r>
              <w:t xml:space="preserve">120.91</w:t>
            </w:r>
          </w:p>
        </w:tc>
        <w:tc>
          <w:tcPr/>
          <w:p>
            <w:pPr>
              <w:pStyle w:val="Compact"/>
              <w:jc w:val="left"/>
            </w:pPr>
            <w:r>
              <w:rPr>
                <w:rFonts w:hint="eastAsia"/>
              </w:rPr>
              <w:t xml:space="preserve">冲突窗口内市场隐含波动率峰值</w:t>
            </w:r>
          </w:p>
        </w:tc>
      </w:tr>
      <w:tr>
        <w:tc>
          <w:tcPr/>
          <w:p>
            <w:pPr>
              <w:pStyle w:val="Compact"/>
              <w:jc w:val="left"/>
            </w:pPr>
            <w:r>
              <w:rPr>
                <w:rFonts w:hint="eastAsia"/>
              </w:rPr>
              <w:t xml:space="preserve">冲突窗口</w:t>
            </w:r>
            <w:r>
              <w:t xml:space="preserve"> OVX </w:t>
            </w:r>
            <w:r>
              <w:rPr>
                <w:rFonts w:hint="eastAsia"/>
              </w:rPr>
              <w:t xml:space="preserve">均值历史分位</w:t>
            </w:r>
          </w:p>
        </w:tc>
        <w:tc>
          <w:tcPr/>
          <w:p>
            <w:pPr>
              <w:pStyle w:val="Compact"/>
              <w:jc w:val="right"/>
            </w:pPr>
            <w:r>
              <w:t xml:space="preserve">97.3%</w:t>
            </w:r>
          </w:p>
        </w:tc>
        <w:tc>
          <w:tcPr/>
          <w:p>
            <w:pPr>
              <w:pStyle w:val="Compact"/>
              <w:jc w:val="left"/>
            </w:pPr>
            <w:r>
              <w:rPr>
                <w:rFonts w:hint="eastAsia"/>
              </w:rPr>
              <w:t xml:space="preserve">同长度历史窗口均值口径下的异常程度</w:t>
            </w:r>
          </w:p>
        </w:tc>
      </w:tr>
      <w:tr>
        <w:tc>
          <w:tcPr/>
          <w:p>
            <w:pPr>
              <w:pStyle w:val="Compact"/>
              <w:jc w:val="left"/>
            </w:pPr>
            <w:r>
              <w:rPr>
                <w:rFonts w:hint="eastAsia"/>
              </w:rPr>
              <w:t xml:space="preserve">滞后</w:t>
            </w:r>
            <w:r>
              <w:t xml:space="preserve"> 1 </w:t>
            </w:r>
            <w:r>
              <w:rPr>
                <w:rFonts w:hint="eastAsia"/>
              </w:rPr>
              <w:t xml:space="preserve">日</w:t>
            </w:r>
            <w:r>
              <w:t xml:space="preserve"> OVX </w:t>
            </w:r>
            <w:r>
              <w:rPr>
                <w:rFonts w:hint="eastAsia"/>
              </w:rPr>
              <w:t xml:space="preserve">与绝对收益相关系数</w:t>
            </w:r>
          </w:p>
        </w:tc>
        <w:tc>
          <w:tcPr/>
          <w:p>
            <w:pPr>
              <w:pStyle w:val="Compact"/>
              <w:jc w:val="right"/>
            </w:pPr>
            <w:r>
              <w:t xml:space="preserve">0.422</w:t>
            </w:r>
          </w:p>
        </w:tc>
        <w:tc>
          <w:tcPr/>
          <w:p>
            <w:pPr>
              <w:pStyle w:val="Compact"/>
              <w:jc w:val="left"/>
            </w:pPr>
            <w:r>
              <w:rPr>
                <w:rFonts w:hint="eastAsia"/>
              </w:rPr>
              <w:t xml:space="preserve">隐含波动率对未来波动强度有解释力</w:t>
            </w:r>
          </w:p>
        </w:tc>
      </w:tr>
      <w:tr>
        <w:tc>
          <w:tcPr/>
          <w:p>
            <w:pPr>
              <w:pStyle w:val="Compact"/>
              <w:jc w:val="left"/>
            </w:pPr>
            <w:r>
              <w:rPr>
                <w:rFonts w:hint="eastAsia"/>
              </w:rPr>
              <w:t xml:space="preserve">滞后</w:t>
            </w:r>
            <w:r>
              <w:t xml:space="preserve"> 1 </w:t>
            </w:r>
            <w:r>
              <w:rPr>
                <w:rFonts w:hint="eastAsia"/>
              </w:rPr>
              <w:t xml:space="preserve">日</w:t>
            </w:r>
            <w:r>
              <w:t xml:space="preserve"> OVX </w:t>
            </w:r>
            <w:r>
              <w:rPr>
                <w:rFonts w:hint="eastAsia"/>
              </w:rPr>
              <w:t xml:space="preserve">与</w:t>
            </w:r>
            <w:r>
              <w:t xml:space="preserve"> 7 </w:t>
            </w:r>
            <w:r>
              <w:rPr>
                <w:rFonts w:hint="eastAsia"/>
              </w:rPr>
              <w:t xml:space="preserve">日实现波动率相关系数</w:t>
            </w:r>
          </w:p>
        </w:tc>
        <w:tc>
          <w:tcPr/>
          <w:p>
            <w:pPr>
              <w:pStyle w:val="Compact"/>
              <w:jc w:val="right"/>
            </w:pPr>
            <w:r>
              <w:t xml:space="preserve">0.790</w:t>
            </w:r>
          </w:p>
        </w:tc>
        <w:tc>
          <w:tcPr/>
          <w:p>
            <w:pPr>
              <w:pStyle w:val="Compact"/>
              <w:jc w:val="left"/>
            </w:pPr>
            <w:r>
              <w:t xml:space="preserve">OVX </w:t>
            </w:r>
            <w:r>
              <w:rPr>
                <w:rFonts w:hint="eastAsia"/>
              </w:rPr>
              <w:t xml:space="preserve">更适合约束波动和尾部风险</w:t>
            </w:r>
          </w:p>
        </w:tc>
      </w:tr>
      <w:tr>
        <w:tc>
          <w:tcPr/>
          <w:p>
            <w:pPr>
              <w:pStyle w:val="Compact"/>
              <w:jc w:val="left"/>
            </w:pPr>
            <w:r>
              <w:rPr>
                <w:rFonts w:hint="eastAsia"/>
              </w:rPr>
              <w:t xml:space="preserve">滞后</w:t>
            </w:r>
            <w:r>
              <w:t xml:space="preserve"> 1 </w:t>
            </w:r>
            <w:r>
              <w:rPr>
                <w:rFonts w:hint="eastAsia"/>
              </w:rPr>
              <w:t xml:space="preserve">日</w:t>
            </w:r>
            <w:r>
              <w:t xml:space="preserve"> OVX </w:t>
            </w:r>
            <w:r>
              <w:rPr>
                <w:rFonts w:hint="eastAsia"/>
              </w:rPr>
              <w:t xml:space="preserve">变化与收益相关系数</w:t>
            </w:r>
          </w:p>
        </w:tc>
        <w:tc>
          <w:tcPr/>
          <w:p>
            <w:pPr>
              <w:pStyle w:val="Compact"/>
              <w:jc w:val="right"/>
            </w:pPr>
            <w:r>
              <w:t xml:space="preserve">-0.074</w:t>
            </w:r>
          </w:p>
        </w:tc>
        <w:tc>
          <w:tcPr/>
          <w:p>
            <w:pPr>
              <w:pStyle w:val="Compact"/>
              <w:jc w:val="left"/>
            </w:pPr>
            <w:r>
              <w:rPr>
                <w:rFonts w:hint="eastAsia"/>
              </w:rPr>
              <w:t xml:space="preserve">不支持把</w:t>
            </w:r>
            <w:r>
              <w:t xml:space="preserve"> OVX </w:t>
            </w:r>
            <w:r>
              <w:rPr>
                <w:rFonts w:hint="eastAsia"/>
              </w:rPr>
              <w:t xml:space="preserve">包装成强方向预测变量</w:t>
            </w:r>
          </w:p>
        </w:tc>
      </w:tr>
    </w:tbl>
    <w:p>
      <w:pPr>
        <w:pStyle w:val="CaptionedFigure"/>
      </w:pPr>
      <w:r>
        <w:drawing>
          <wp:inline>
            <wp:extent cx="4907280" cy="3141983"/>
            <wp:effectExtent b="0" l="0" r="0" t="0"/>
            <wp:docPr descr="" title="" id="171" name="Picture"/>
            <a:graphic>
              <a:graphicData uri="http://schemas.openxmlformats.org/drawingml/2006/picture">
                <pic:pic>
                  <pic:nvPicPr>
                    <pic:cNvPr descr="OVX隐含波动率滞后检验.png" id="172" name="Picture"/>
                    <pic:cNvPicPr>
                      <a:picLocks noChangeArrowheads="1" noChangeAspect="1"/>
                    </pic:cNvPicPr>
                  </pic:nvPicPr>
                  <pic:blipFill>
                    <a:blip r:embed="rId170"/>
                    <a:stretch>
                      <a:fillRect/>
                    </a:stretch>
                  </pic:blipFill>
                  <pic:spPr bwMode="auto">
                    <a:xfrm>
                      <a:off x="0" y="0"/>
                      <a:ext cx="4907280" cy="3141983"/>
                    </a:xfrm>
                    <a:prstGeom prst="rect">
                      <a:avLst/>
                    </a:prstGeom>
                    <a:noFill/>
                    <a:ln w="9525">
                      <a:noFill/>
                      <a:headEnd/>
                      <a:tailEnd/>
                    </a:ln>
                  </pic:spPr>
                </pic:pic>
              </a:graphicData>
            </a:graphic>
          </wp:inline>
        </w:drawing>
      </w:r>
    </w:p>
    <w:p>
      <w:pPr>
        <w:pStyle w:val="ImageCaption"/>
      </w:pPr>
      <w:r>
        <w:t xml:space="preserve">OVX </w:t>
      </w:r>
      <w:r>
        <w:rPr>
          <w:rFonts w:hint="eastAsia"/>
        </w:rPr>
        <w:t xml:space="preserve">隐含波动率滞后检验</w:t>
      </w:r>
    </w:p>
    <w:p>
      <w:pPr>
        <w:pStyle w:val="BodyText"/>
      </w:pPr>
      <w:r>
        <w:t xml:space="preserve">OVX </w:t>
      </w:r>
      <w:r>
        <w:rPr>
          <w:rFonts w:hint="eastAsia"/>
        </w:rPr>
        <w:t xml:space="preserve">只作为长期风险权重和不确定性强度的附加乘数，而不进入短期同日拟合。具体而言，OVX</w:t>
      </w:r>
      <w:r>
        <w:t xml:space="preserve"> </w:t>
      </w:r>
      <w:r>
        <w:rPr>
          <w:rFonts w:hint="eastAsia"/>
        </w:rPr>
        <w:t xml:space="preserve">冲突窗口历史分位数和滞后</w:t>
      </w:r>
      <w:r>
        <w:t xml:space="preserve"> 1 </w:t>
      </w:r>
      <w:r>
        <w:rPr>
          <w:rFonts w:hint="eastAsia"/>
        </w:rPr>
        <w:t xml:space="preserve">日</w:t>
      </w:r>
      <w:r>
        <w:t xml:space="preserve"> OVX </w:t>
      </w:r>
      <w:r>
        <w:rPr>
          <w:rFonts w:hint="eastAsia"/>
        </w:rPr>
        <w:t xml:space="preserve">与实现波动率相关性共同生成市场风险压力，进而得到</w:t>
      </w:r>
      <w:r>
        <w:t xml:space="preserve"> OVX </w:t>
      </w:r>
      <w:r>
        <w:rPr>
          <w:rFonts w:hint="eastAsia"/>
        </w:rPr>
        <w:t xml:space="preserve">市场风险权重附加乘数</w:t>
      </w:r>
      <w:r>
        <w:t xml:space="preserve"> 1.0275 </w:t>
      </w:r>
      <w:r>
        <w:rPr>
          <w:rFonts w:hint="eastAsia"/>
        </w:rPr>
        <w:t xml:space="preserve">和</w:t>
      </w:r>
      <w:r>
        <w:t xml:space="preserve"> OVX </w:t>
      </w:r>
      <w:r>
        <w:rPr>
          <w:rFonts w:hint="eastAsia"/>
        </w:rPr>
        <w:t xml:space="preserve">不确定性强度附加乘数</w:t>
      </w:r>
      <w:r>
        <w:t xml:space="preserve"> </w:t>
      </w:r>
      <w:r>
        <w:rPr>
          <w:rFonts w:hint="eastAsia"/>
        </w:rPr>
        <w:t xml:space="preserve">1.0433。这样既利用了期权市场对风险的定价信息，也保持了方向预测与波动约束之间的区分。</w:t>
      </w:r>
    </w:p>
    <w:bookmarkEnd w:id="173"/>
    <w:bookmarkStart w:id="180" w:name="历史样本稳健性检验"/>
    <w:p>
      <w:pPr>
        <w:pStyle w:val="Heading2"/>
      </w:pPr>
      <w:r>
        <w:rPr>
          <w:rFonts w:hint="eastAsia"/>
        </w:rPr>
        <w:t xml:space="preserve">历史样本稳健性检验</w:t>
      </w:r>
    </w:p>
    <w:p>
      <w:pPr>
        <w:pStyle w:val="FirstParagraph"/>
      </w:pPr>
      <w:r>
        <w:rPr>
          <w:rFonts w:hint="eastAsia"/>
        </w:rPr>
        <w:t xml:space="preserve">附件数据覆盖</w:t>
      </w:r>
      <w:r>
        <w:t xml:space="preserve"> 2017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5 </w:t>
      </w:r>
      <w:r>
        <w:rPr>
          <w:rFonts w:hint="eastAsia"/>
        </w:rPr>
        <w:t xml:space="preserve">月。除用于绘制长期价格和波动背景外，完整历史数据还可以检验</w:t>
      </w:r>
      <w:r>
        <w:t xml:space="preserve"> 2026 </w:t>
      </w:r>
      <w:r>
        <w:rPr>
          <w:rFonts w:hint="eastAsia"/>
        </w:rPr>
        <w:t xml:space="preserve">冲突窗口在历史分布中的位置。本文采用与冲突窗口相同的</w:t>
      </w:r>
      <w:r>
        <w:t xml:space="preserve"> 46 </w:t>
      </w:r>
      <w:r>
        <w:rPr>
          <w:rFonts w:hint="eastAsia"/>
        </w:rPr>
        <w:t xml:space="preserve">个交易日长度，在全样本中滚动构造历史窗口，并比较累计收益率、实现波动率、价格区间、最大单日跳变和朴素上一日基准误差。</w:t>
      </w:r>
    </w:p>
    <w:p>
      <w:pPr>
        <w:pStyle w:val="TableCaption"/>
      </w:pPr>
      <w:r>
        <w:t xml:space="preserve">2026 </w:t>
      </w:r>
      <w:r>
        <w:rPr>
          <w:rFonts w:hint="eastAsia"/>
        </w:rPr>
        <w:t xml:space="preserve">冲突窗口在历史同长度窗口中的位置</w:t>
      </w:r>
    </w:p>
    <w:tbl>
      <w:tblPr>
        <w:tblStyle w:val="Table"/>
        <w:tblW w:type="auto" w:w="0"/>
        <w:tblLook w:firstRow="1" w:lastRow="0" w:firstColumn="0" w:lastColumn="0" w:noHBand="0" w:noVBand="0" w:val="0020"/>
        <w:tblCaption w:val="2026 冲突窗口在历史同长度窗口中的位置"/>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冲突窗口数值</w:t>
            </w:r>
          </w:p>
        </w:tc>
        <w:tc>
          <w:tcPr/>
          <w:p>
            <w:pPr>
              <w:pStyle w:val="Compact"/>
              <w:jc w:val="right"/>
            </w:pPr>
            <w:r>
              <w:rPr>
                <w:rFonts w:hint="eastAsia"/>
              </w:rPr>
              <w:t xml:space="preserve">历史分位数</w:t>
            </w:r>
          </w:p>
        </w:tc>
        <w:tc>
          <w:tcPr/>
          <w:p>
            <w:pPr>
              <w:pStyle w:val="Compact"/>
              <w:jc w:val="left"/>
            </w:pPr>
            <w:r>
              <w:rPr>
                <w:rFonts w:hint="eastAsia"/>
              </w:rPr>
              <w:t xml:space="preserve">含义</w:t>
            </w:r>
          </w:p>
        </w:tc>
      </w:tr>
      <w:tr>
        <w:tc>
          <w:tcPr/>
          <w:p>
            <w:pPr>
              <w:pStyle w:val="Compact"/>
              <w:jc w:val="left"/>
            </w:pPr>
            <w:r>
              <w:rPr>
                <w:rFonts w:hint="eastAsia"/>
              </w:rPr>
              <w:t xml:space="preserve">累计收益率</w:t>
            </w:r>
          </w:p>
        </w:tc>
        <w:tc>
          <w:tcPr/>
          <w:p>
            <w:pPr>
              <w:pStyle w:val="Compact"/>
              <w:jc w:val="right"/>
            </w:pPr>
            <w:r>
              <w:t xml:space="preserve">50.7%</w:t>
            </w:r>
          </w:p>
        </w:tc>
        <w:tc>
          <w:tcPr/>
          <w:p>
            <w:pPr>
              <w:pStyle w:val="Compact"/>
              <w:jc w:val="right"/>
            </w:pPr>
            <w:r>
              <w:t xml:space="preserve">99.3%</w:t>
            </w:r>
          </w:p>
        </w:tc>
        <w:tc>
          <w:tcPr/>
          <w:p>
            <w:pPr>
              <w:pStyle w:val="Compact"/>
              <w:jc w:val="left"/>
            </w:pPr>
            <w:r>
              <w:rPr>
                <w:rFonts w:hint="eastAsia"/>
              </w:rPr>
              <w:t xml:space="preserve">同长度窗口内价格上行幅度</w:t>
            </w:r>
          </w:p>
        </w:tc>
      </w:tr>
      <w:tr>
        <w:tc>
          <w:tcPr/>
          <w:p>
            <w:pPr>
              <w:pStyle w:val="Compact"/>
              <w:jc w:val="left"/>
            </w:pPr>
            <w:r>
              <w:rPr>
                <w:rFonts w:hint="eastAsia"/>
              </w:rPr>
              <w:t xml:space="preserve">实现波动率</w:t>
            </w:r>
          </w:p>
        </w:tc>
        <w:tc>
          <w:tcPr/>
          <w:p>
            <w:pPr>
              <w:pStyle w:val="Compact"/>
              <w:jc w:val="right"/>
            </w:pPr>
            <w:r>
              <w:t xml:space="preserve">30.4%</w:t>
            </w:r>
          </w:p>
        </w:tc>
        <w:tc>
          <w:tcPr/>
          <w:p>
            <w:pPr>
              <w:pStyle w:val="Compact"/>
              <w:jc w:val="right"/>
            </w:pPr>
            <w:r>
              <w:t xml:space="preserve">95.7%</w:t>
            </w:r>
          </w:p>
        </w:tc>
        <w:tc>
          <w:tcPr/>
          <w:p>
            <w:pPr>
              <w:pStyle w:val="Compact"/>
              <w:jc w:val="left"/>
            </w:pPr>
            <w:r>
              <w:rPr>
                <w:rFonts w:hint="eastAsia"/>
              </w:rPr>
              <w:t xml:space="preserve">同长度窗口内波动强度</w:t>
            </w:r>
          </w:p>
        </w:tc>
      </w:tr>
      <w:tr>
        <w:tc>
          <w:tcPr/>
          <w:p>
            <w:pPr>
              <w:pStyle w:val="Compact"/>
              <w:jc w:val="left"/>
            </w:pPr>
            <w:r>
              <w:rPr>
                <w:rFonts w:hint="eastAsia"/>
              </w:rPr>
              <w:t xml:space="preserve">平均绝对日收益率</w:t>
            </w:r>
          </w:p>
        </w:tc>
        <w:tc>
          <w:tcPr/>
          <w:p>
            <w:pPr>
              <w:pStyle w:val="Compact"/>
              <w:jc w:val="right"/>
            </w:pPr>
            <w:r>
              <w:t xml:space="preserve">3.74%</w:t>
            </w:r>
          </w:p>
        </w:tc>
        <w:tc>
          <w:tcPr/>
          <w:p>
            <w:pPr>
              <w:pStyle w:val="Compact"/>
              <w:jc w:val="right"/>
            </w:pPr>
            <w:r>
              <w:t xml:space="preserve">97.3%</w:t>
            </w:r>
          </w:p>
        </w:tc>
        <w:tc>
          <w:tcPr/>
          <w:p>
            <w:pPr>
              <w:pStyle w:val="Compact"/>
              <w:jc w:val="left"/>
            </w:pPr>
            <w:r>
              <w:rPr>
                <w:rFonts w:hint="eastAsia"/>
              </w:rPr>
              <w:t xml:space="preserve">日常波动强度</w:t>
            </w:r>
          </w:p>
        </w:tc>
      </w:tr>
      <w:tr>
        <w:tc>
          <w:tcPr/>
          <w:p>
            <w:pPr>
              <w:pStyle w:val="Compact"/>
              <w:jc w:val="left"/>
            </w:pPr>
            <w:r>
              <w:rPr>
                <w:rFonts w:hint="eastAsia"/>
              </w:rPr>
              <w:t xml:space="preserve">最大单日绝对收益</w:t>
            </w:r>
          </w:p>
        </w:tc>
        <w:tc>
          <w:tcPr/>
          <w:p>
            <w:pPr>
              <w:pStyle w:val="Compact"/>
              <w:jc w:val="right"/>
            </w:pPr>
            <w:r>
              <w:t xml:space="preserve">11.9%</w:t>
            </w:r>
          </w:p>
        </w:tc>
        <w:tc>
          <w:tcPr/>
          <w:p>
            <w:pPr>
              <w:pStyle w:val="Compact"/>
              <w:jc w:val="right"/>
            </w:pPr>
            <w:r>
              <w:t xml:space="preserve">91.4%</w:t>
            </w:r>
          </w:p>
        </w:tc>
        <w:tc>
          <w:tcPr/>
          <w:p>
            <w:pPr>
              <w:pStyle w:val="Compact"/>
              <w:jc w:val="left"/>
            </w:pPr>
            <w:r>
              <w:rPr>
                <w:rFonts w:hint="eastAsia"/>
              </w:rPr>
              <w:t xml:space="preserve">局部跳变强度</w:t>
            </w:r>
          </w:p>
        </w:tc>
      </w:tr>
      <w:tr>
        <w:tc>
          <w:tcPr/>
          <w:p>
            <w:pPr>
              <w:pStyle w:val="Compact"/>
              <w:jc w:val="left"/>
            </w:pPr>
            <w:r>
              <w:rPr>
                <w:rFonts w:hint="eastAsia"/>
              </w:rPr>
              <w:t xml:space="preserve">价格区间比例</w:t>
            </w:r>
          </w:p>
        </w:tc>
        <w:tc>
          <w:tcPr/>
          <w:p>
            <w:pPr>
              <w:pStyle w:val="Compact"/>
              <w:jc w:val="right"/>
            </w:pPr>
            <w:r>
              <w:t xml:space="preserve">36.1%</w:t>
            </w:r>
          </w:p>
        </w:tc>
        <w:tc>
          <w:tcPr/>
          <w:p>
            <w:pPr>
              <w:pStyle w:val="Compact"/>
              <w:jc w:val="right"/>
            </w:pPr>
            <w:r>
              <w:t xml:space="preserve">93.2%</w:t>
            </w:r>
          </w:p>
        </w:tc>
        <w:tc>
          <w:tcPr/>
          <w:p>
            <w:pPr>
              <w:pStyle w:val="Compact"/>
              <w:jc w:val="left"/>
            </w:pPr>
            <w:r>
              <w:rPr>
                <w:rFonts w:hint="eastAsia"/>
              </w:rPr>
              <w:t xml:space="preserve">窗口内价格振幅</w:t>
            </w:r>
          </w:p>
        </w:tc>
      </w:tr>
      <w:tr>
        <w:tc>
          <w:tcPr/>
          <w:p>
            <w:pPr>
              <w:pStyle w:val="Compact"/>
              <w:jc w:val="left"/>
            </w:pPr>
            <w:r>
              <w:rPr>
                <w:rFonts w:hint="eastAsia"/>
              </w:rPr>
              <w:t xml:space="preserve">朴素上一日基准</w:t>
            </w:r>
            <w:r>
              <w:t xml:space="preserve"> RMSE</w:t>
            </w:r>
          </w:p>
        </w:tc>
        <w:tc>
          <w:tcPr/>
          <w:p>
            <w:pPr>
              <w:pStyle w:val="Compact"/>
              <w:jc w:val="right"/>
            </w:pPr>
            <w:r>
              <w:t xml:space="preserve">4.52</w:t>
            </w:r>
          </w:p>
        </w:tc>
        <w:tc>
          <w:tcPr/>
          <w:p>
            <w:pPr>
              <w:pStyle w:val="Compact"/>
              <w:jc w:val="right"/>
            </w:pPr>
            <w:r>
              <w:t xml:space="preserve">98.5%</w:t>
            </w:r>
          </w:p>
        </w:tc>
        <w:tc>
          <w:tcPr/>
          <w:p>
            <w:pPr>
              <w:pStyle w:val="Compact"/>
              <w:jc w:val="left"/>
            </w:pPr>
            <w:r>
              <w:rPr>
                <w:rFonts w:hint="eastAsia"/>
              </w:rPr>
              <w:t xml:space="preserve">随机游走基准在该窗口是否变难</w:t>
            </w:r>
          </w:p>
        </w:tc>
      </w:tr>
      <w:tr>
        <w:tc>
          <w:tcPr/>
          <w:p>
            <w:pPr>
              <w:pStyle w:val="Compact"/>
              <w:jc w:val="left"/>
            </w:pPr>
            <w:r>
              <w:rPr>
                <w:rFonts w:hint="eastAsia"/>
              </w:rPr>
              <w:t xml:space="preserve">本文机制模型</w:t>
            </w:r>
            <w:r>
              <w:t xml:space="preserve"> RMSE</w:t>
            </w:r>
          </w:p>
        </w:tc>
        <w:tc>
          <w:tcPr/>
          <w:p>
            <w:pPr>
              <w:pStyle w:val="Compact"/>
              <w:jc w:val="right"/>
            </w:pPr>
            <w:r>
              <w:t xml:space="preserve">3.38</w:t>
            </w:r>
          </w:p>
        </w:tc>
        <w:tc>
          <w:tcPr/>
          <w:p>
            <w:pPr>
              <w:pStyle w:val="Compact"/>
              <w:jc w:val="right"/>
            </w:pPr>
            <w:r>
              <w:t xml:space="preserve">97.4%</w:t>
            </w:r>
          </w:p>
        </w:tc>
        <w:tc>
          <w:tcPr/>
          <w:p>
            <w:pPr>
              <w:pStyle w:val="Compact"/>
              <w:jc w:val="left"/>
            </w:pPr>
            <w:r>
              <w:rPr>
                <w:rFonts w:hint="eastAsia"/>
              </w:rPr>
              <w:t xml:space="preserve">对比历史朴素误差分布</w:t>
            </w:r>
          </w:p>
        </w:tc>
      </w:tr>
    </w:tbl>
    <w:p>
      <w:pPr>
        <w:pStyle w:val="CaptionedFigure"/>
      </w:pPr>
      <w:r>
        <w:drawing>
          <wp:inline>
            <wp:extent cx="4907280" cy="2685115"/>
            <wp:effectExtent b="0" l="0" r="0" t="0"/>
            <wp:docPr descr="" title="" id="175" name="Picture"/>
            <a:graphic>
              <a:graphicData uri="http://schemas.openxmlformats.org/drawingml/2006/picture">
                <pic:pic>
                  <pic:nvPicPr>
                    <pic:cNvPr descr="历史窗口极端性检验.png" id="176" name="Picture"/>
                    <pic:cNvPicPr>
                      <a:picLocks noChangeArrowheads="1" noChangeAspect="1"/>
                    </pic:cNvPicPr>
                  </pic:nvPicPr>
                  <pic:blipFill>
                    <a:blip r:embed="rId174"/>
                    <a:stretch>
                      <a:fillRect/>
                    </a:stretch>
                  </pic:blipFill>
                  <pic:spPr bwMode="auto">
                    <a:xfrm>
                      <a:off x="0" y="0"/>
                      <a:ext cx="4907280" cy="2685115"/>
                    </a:xfrm>
                    <a:prstGeom prst="rect">
                      <a:avLst/>
                    </a:prstGeom>
                    <a:noFill/>
                    <a:ln w="9525">
                      <a:noFill/>
                      <a:headEnd/>
                      <a:tailEnd/>
                    </a:ln>
                  </pic:spPr>
                </pic:pic>
              </a:graphicData>
            </a:graphic>
          </wp:inline>
        </w:drawing>
      </w:r>
    </w:p>
    <w:p>
      <w:pPr>
        <w:pStyle w:val="ImageCaption"/>
      </w:pPr>
      <w:r>
        <w:t xml:space="preserve">2026 </w:t>
      </w:r>
      <w:r>
        <w:rPr>
          <w:rFonts w:hint="eastAsia"/>
        </w:rPr>
        <w:t xml:space="preserve">冲突窗口在历史同长度窗口中的极端性</w:t>
      </w:r>
    </w:p>
    <w:p>
      <w:pPr>
        <w:pStyle w:val="CaptionedFigure"/>
      </w:pPr>
      <w:r>
        <w:drawing>
          <wp:inline>
            <wp:extent cx="4800600" cy="2351314"/>
            <wp:effectExtent b="0" l="0" r="0" t="0"/>
            <wp:docPr descr="" title="" id="178" name="Picture"/>
            <a:graphic>
              <a:graphicData uri="http://schemas.openxmlformats.org/drawingml/2006/picture">
                <pic:pic>
                  <pic:nvPicPr>
                    <pic:cNvPr descr="R历史基准误差分布图.png" id="179" name="Picture"/>
                    <pic:cNvPicPr>
                      <a:picLocks noChangeArrowheads="1" noChangeAspect="1"/>
                    </pic:cNvPicPr>
                  </pic:nvPicPr>
                  <pic:blipFill>
                    <a:blip r:embed="rId177"/>
                    <a:stretch>
                      <a:fillRect/>
                    </a:stretch>
                  </pic:blipFill>
                  <pic:spPr bwMode="auto">
                    <a:xfrm>
                      <a:off x="0" y="0"/>
                      <a:ext cx="4800600" cy="2351314"/>
                    </a:xfrm>
                    <a:prstGeom prst="rect">
                      <a:avLst/>
                    </a:prstGeom>
                    <a:noFill/>
                    <a:ln w="9525">
                      <a:noFill/>
                      <a:headEnd/>
                      <a:tailEnd/>
                    </a:ln>
                  </pic:spPr>
                </pic:pic>
              </a:graphicData>
            </a:graphic>
          </wp:inline>
        </w:drawing>
      </w:r>
    </w:p>
    <w:p>
      <w:pPr>
        <w:pStyle w:val="ImageCaption"/>
      </w:pPr>
      <w:r>
        <w:t xml:space="preserve">R/ggplot2 </w:t>
      </w:r>
      <w:r>
        <w:rPr>
          <w:rFonts w:hint="eastAsia"/>
        </w:rPr>
        <w:t xml:space="preserve">历史同长度窗口基准误差分布</w:t>
      </w:r>
    </w:p>
    <w:p>
      <w:pPr>
        <w:pStyle w:val="BodyText"/>
      </w:pPr>
      <w:r>
        <w:rPr>
          <w:rFonts w:hint="eastAsia"/>
        </w:rPr>
        <w:t xml:space="preserve">历史检验有两个作用。第一，它证明本文没有只盯着</w:t>
      </w:r>
      <w:r>
        <w:t xml:space="preserve"> 46 </w:t>
      </w:r>
      <w:r>
        <w:rPr>
          <w:rFonts w:hint="eastAsia"/>
        </w:rPr>
        <w:t xml:space="preserve">个交易日做孤立拟合：与</w:t>
      </w:r>
      <w:r>
        <w:t xml:space="preserve"> 2017–2026 </w:t>
      </w:r>
      <w:r>
        <w:rPr>
          <w:rFonts w:hint="eastAsia"/>
        </w:rPr>
        <w:t xml:space="preserve">年所有同长度窗口相比，2026</w:t>
      </w:r>
      <w:r>
        <w:t xml:space="preserve"> </w:t>
      </w:r>
      <w:r>
        <w:rPr>
          <w:rFonts w:hint="eastAsia"/>
        </w:rPr>
        <w:t xml:space="preserve">冲突窗口确实属于高涨幅、高波动和高预测难度样本。第二，它说明完整历史数据更适合作为背景分布和基准检验，而不应被用来把霍尔木兹机制参数强行拟合到所有普通时期。ADF</w:t>
      </w:r>
      <w:r>
        <w:t xml:space="preserve"> </w:t>
      </w:r>
      <w:r>
        <w:rPr>
          <w:rFonts w:hint="eastAsia"/>
        </w:rPr>
        <w:t xml:space="preserve">检验也支持这一点：收盘价水平和对数价格均不能拒绝单位根，而对数收益率可拒绝单位根，因此普通统计基准更适合在收益率或差分口径下使用。</w:t>
      </w:r>
    </w:p>
    <w:bookmarkEnd w:id="180"/>
    <w:bookmarkEnd w:id="181"/>
    <w:bookmarkStart w:id="185" w:name="模型分析"/>
    <w:p>
      <w:pPr>
        <w:pStyle w:val="Heading1"/>
      </w:pPr>
      <w:r>
        <w:rPr>
          <w:rFonts w:hint="eastAsia"/>
        </w:rPr>
        <w:t xml:space="preserve">模型分析</w:t>
      </w:r>
    </w:p>
    <w:bookmarkStart w:id="182" w:name="模型特点"/>
    <w:p>
      <w:pPr>
        <w:pStyle w:val="Heading2"/>
      </w:pPr>
      <w:r>
        <w:rPr>
          <w:rFonts w:hint="eastAsia"/>
        </w:rPr>
        <w:t xml:space="preserve">模型特点</w:t>
      </w:r>
    </w:p>
    <w:p>
      <w:pPr>
        <w:numPr>
          <w:ilvl w:val="0"/>
          <w:numId w:val="1006"/>
        </w:numPr>
      </w:pPr>
      <w:r>
        <w:rPr>
          <w:rFonts w:hint="eastAsia"/>
        </w:rPr>
        <w:t xml:space="preserve">本模型适用于解释霍尔木兹封锁这类极端地缘冲击下的条件价格路径。模型从附件真实价格出发，先用传统供需基准给出低弹性压力，再用短期冲击模型解释政策缓冲、风险溢价和预期修复如何共同改变价格平台。</w:t>
      </w:r>
    </w:p>
    <w:p>
      <w:pPr>
        <w:numPr>
          <w:ilvl w:val="0"/>
          <w:numId w:val="1006"/>
        </w:numPr>
      </w:pPr>
      <w:r>
        <w:rPr>
          <w:rFonts w:hint="eastAsia"/>
        </w:rPr>
        <w:t xml:space="preserve">短期冲击模型和中长期油价调节模型共用同一套供需缺口与市场价格形成框架。中长期部分没有另起独立预测器，而是把未来政策协调、绕道恢复、供给响应和二次升级风险扩展为情景变量、蒙特卡洛扰动和状态转移变量。</w:t>
      </w:r>
    </w:p>
    <w:p>
      <w:pPr>
        <w:numPr>
          <w:ilvl w:val="0"/>
          <w:numId w:val="1006"/>
        </w:numPr>
      </w:pPr>
      <w:r>
        <w:rPr>
          <w:rFonts w:hint="eastAsia"/>
        </w:rPr>
        <w:t xml:space="preserve">模型可信度主要来自可复现证据链：Random</w:t>
      </w:r>
      <w:r>
        <w:t xml:space="preserve"> Walk、ARIMA、DM </w:t>
      </w:r>
      <w:r>
        <w:rPr>
          <w:rFonts w:hint="eastAsia"/>
        </w:rPr>
        <w:t xml:space="preserve">检验、滞后平移、机制消融、参数扰动和历史同长度窗口共同检验模型是否优于简单基准、是否存在滞后复制以及是否依赖单一参数点。</w:t>
      </w:r>
    </w:p>
    <w:bookmarkEnd w:id="182"/>
    <w:bookmarkStart w:id="183" w:name="适用边界"/>
    <w:p>
      <w:pPr>
        <w:pStyle w:val="Heading2"/>
      </w:pPr>
      <w:r>
        <w:rPr>
          <w:rFonts w:hint="eastAsia"/>
        </w:rPr>
        <w:t xml:space="preserve">适用边界</w:t>
      </w:r>
    </w:p>
    <w:p>
      <w:pPr>
        <w:numPr>
          <w:ilvl w:val="0"/>
          <w:numId w:val="1007"/>
        </w:numPr>
      </w:pPr>
      <w:r>
        <w:rPr>
          <w:rFonts w:hint="eastAsia"/>
        </w:rPr>
        <w:t xml:space="preserve">冲突窗口共有</w:t>
      </w:r>
      <w:r>
        <w:t xml:space="preserve"> 46 </w:t>
      </w:r>
      <w:r>
        <w:rPr>
          <w:rFonts w:hint="eastAsia"/>
        </w:rPr>
        <w:t xml:space="preserve">个交易日，适合支持霍尔木兹封锁冲击下的条件路径解释，不宜直接外推为跨年份通用短线交易模型。</w:t>
      </w:r>
    </w:p>
    <w:p>
      <w:pPr>
        <w:numPr>
          <w:ilvl w:val="0"/>
          <w:numId w:val="1007"/>
        </w:numPr>
      </w:pPr>
      <w:r>
        <w:rPr>
          <w:rFonts w:hint="eastAsia"/>
        </w:rPr>
        <w:t xml:space="preserve">外部数据已经覆盖</w:t>
      </w:r>
      <w:r>
        <w:t xml:space="preserve"> EIA、JODI、OPEC、GPR </w:t>
      </w:r>
      <w:r>
        <w:rPr>
          <w:rFonts w:hint="eastAsia"/>
        </w:rPr>
        <w:t xml:space="preserve">和</w:t>
      </w:r>
      <w:r>
        <w:t xml:space="preserve"> </w:t>
      </w:r>
      <w:r>
        <w:rPr>
          <w:rFonts w:hint="eastAsia"/>
        </w:rPr>
        <w:t xml:space="preserve">OVX，但不同来源存在口径、发布频率和授权范围差异；因此外部数据用于数量级校验和长期风险约束，不反向替代附件真实价格。</w:t>
      </w:r>
    </w:p>
    <w:p>
      <w:pPr>
        <w:numPr>
          <w:ilvl w:val="0"/>
          <w:numId w:val="1007"/>
        </w:numPr>
      </w:pPr>
      <w:r>
        <w:rPr>
          <w:rFonts w:hint="eastAsia"/>
        </w:rPr>
        <w:t xml:space="preserve">蒙特卡洛情景树和状态转移情景树用于刻画参数联动风险与事件状态切换风险，其概率应解释为题面机制和当前参数约束下的条件概率。</w:t>
      </w:r>
    </w:p>
    <w:bookmarkEnd w:id="183"/>
    <w:bookmarkStart w:id="184" w:name="推广与改进"/>
    <w:p>
      <w:pPr>
        <w:pStyle w:val="Heading2"/>
      </w:pPr>
      <w:r>
        <w:rPr>
          <w:rFonts w:hint="eastAsia"/>
        </w:rPr>
        <w:t xml:space="preserve">推广与改进</w:t>
      </w:r>
    </w:p>
    <w:p>
      <w:pPr>
        <w:pStyle w:val="FirstParagraph"/>
      </w:pPr>
      <w:r>
        <w:rPr>
          <w:rFonts w:hint="eastAsia"/>
        </w:rPr>
        <w:t xml:space="preserve">若后续继续深化，可以从三个方向提高模型外推能力：第一，在现有</w:t>
      </w:r>
      <w:r>
        <w:t xml:space="preserve"> EIA、JODI </w:t>
      </w:r>
      <w:r>
        <w:rPr>
          <w:rFonts w:hint="eastAsia"/>
        </w:rPr>
        <w:t xml:space="preserve">与</w:t>
      </w:r>
      <w:r>
        <w:t xml:space="preserve"> OPEC </w:t>
      </w:r>
      <w:r>
        <w:rPr>
          <w:rFonts w:hint="eastAsia"/>
        </w:rPr>
        <w:t xml:space="preserve">校验基础上，若获得</w:t>
      </w:r>
      <w:r>
        <w:t xml:space="preserve"> IEA MODS </w:t>
      </w:r>
      <w:r>
        <w:rPr>
          <w:rFonts w:hint="eastAsia"/>
        </w:rPr>
        <w:t xml:space="preserve">等授权数据库，可进一步约束全球库存消耗速度和炼厂吞吐路径；第二，在现有</w:t>
      </w:r>
      <w:r>
        <w:t xml:space="preserve"> GPR </w:t>
      </w:r>
      <w:r>
        <w:rPr>
          <w:rFonts w:hint="eastAsia"/>
        </w:rPr>
        <w:t xml:space="preserve">和</w:t>
      </w:r>
      <w:r>
        <w:t xml:space="preserve"> OVX </w:t>
      </w:r>
      <w:r>
        <w:rPr>
          <w:rFonts w:hint="eastAsia"/>
        </w:rPr>
        <w:t xml:space="preserve">检验基础上，继续探索油轮保险费、BDTI/TD3C、期货期限结构等更接近霍尔木兹运输风险和期限定价的变量；第三，把状态转移概率从当前</w:t>
      </w:r>
      <w:r>
        <w:t xml:space="preserve"> GPR/OVX </w:t>
      </w:r>
      <w:r>
        <w:rPr>
          <w:rFonts w:hint="eastAsia"/>
        </w:rPr>
        <w:t xml:space="preserve">风险约束继续推进为由历史地缘风险、隐含波动率、期限结构和运输保险价格共同驱动的时变概率。R</w:t>
      </w:r>
      <w:r>
        <w:t xml:space="preserve"> </w:t>
      </w:r>
      <w:r>
        <w:rPr>
          <w:rFonts w:hint="eastAsia"/>
        </w:rPr>
        <w:t xml:space="preserve">语言可用于后续</w:t>
      </w:r>
      <w:r>
        <w:t xml:space="preserve"> GARCH、VAR、Granger </w:t>
      </w:r>
      <w:r>
        <w:rPr>
          <w:rFonts w:hint="eastAsia"/>
        </w:rPr>
        <w:t xml:space="preserve">和稳健标准误等计量检验，C++</w:t>
      </w:r>
      <w:r>
        <w:t xml:space="preserve"> </w:t>
      </w:r>
      <w:r>
        <w:rPr>
          <w:rFonts w:hint="eastAsia"/>
        </w:rPr>
        <w:t xml:space="preserve">多智能体仿真则只有在获得主体级行为数据时才有必要进入主线。</w:t>
      </w:r>
    </w:p>
    <w:bookmarkEnd w:id="184"/>
    <w:bookmarkEnd w:id="185"/>
    <w:bookmarkStart w:id="186" w:name="结论"/>
    <w:p>
      <w:pPr>
        <w:pStyle w:val="Heading1"/>
      </w:pPr>
      <w:r>
        <w:rPr>
          <w:rFonts w:hint="eastAsia"/>
        </w:rPr>
        <w:t xml:space="preserve">结论</w:t>
      </w:r>
    </w:p>
    <w:p>
      <w:pPr>
        <w:pStyle w:val="FirstParagraph"/>
      </w:pPr>
      <w:r>
        <w:rPr>
          <w:rFonts w:hint="eastAsia"/>
        </w:rPr>
        <w:t xml:space="preserve">本文围绕霍尔木兹海峡封锁对国际原油价格的影响，按照赛题给定的</w:t>
      </w:r>
      <w:r>
        <w:rPr>
          <w:rFonts w:hint="eastAsia"/>
        </w:rPr>
        <w:t xml:space="preserve">“短期冲击模型（0–60</w:t>
      </w:r>
      <w:r>
        <w:t xml:space="preserve"> </w:t>
      </w:r>
      <w:r>
        <w:rPr>
          <w:rFonts w:hint="eastAsia"/>
        </w:rPr>
        <w:t xml:space="preserve">天）”</w:t>
      </w:r>
      <w:r>
        <w:rPr>
          <w:rFonts w:hint="eastAsia"/>
        </w:rPr>
        <w:t xml:space="preserve">和</w:t>
      </w:r>
      <w:r>
        <w:rPr>
          <w:rFonts w:hint="eastAsia"/>
        </w:rPr>
        <w:t xml:space="preserve">“中长期油价调节模型（60–180</w:t>
      </w:r>
      <w:r>
        <w:t xml:space="preserve"> </w:t>
      </w:r>
      <w:r>
        <w:rPr>
          <w:rFonts w:hint="eastAsia"/>
        </w:rPr>
        <w:t xml:space="preserve">天）”</w:t>
      </w:r>
      <w:r>
        <w:rPr>
          <w:rFonts w:hint="eastAsia"/>
        </w:rPr>
        <w:t xml:space="preserve">组织建模。研究表明：</w:t>
      </w:r>
    </w:p>
    <w:p>
      <w:pPr>
        <w:numPr>
          <w:ilvl w:val="0"/>
          <w:numId w:val="1008"/>
        </w:numPr>
      </w:pPr>
      <w:r>
        <w:rPr>
          <w:rFonts w:hint="eastAsia"/>
        </w:rPr>
        <w:t xml:space="preserve">在赛题低短期弹性假设下，线性需求反事实基准会给出约</w:t>
      </w:r>
      <w:r>
        <w:t xml:space="preserve"> 278–337 </w:t>
      </w:r>
      <w:r>
        <w:rPr>
          <w:rFonts w:hint="eastAsia"/>
        </w:rPr>
        <w:t xml:space="preserve">美元/桶的理论压力，常弹性需求口径给出更高机械上界。该结果只表示静态低弹性框架的压力上界，不表示现实市场会到达该价格。</w:t>
      </w:r>
    </w:p>
    <w:p>
      <w:pPr>
        <w:numPr>
          <w:ilvl w:val="0"/>
          <w:numId w:val="1008"/>
        </w:numPr>
      </w:pPr>
      <w:r>
        <w:rPr>
          <w:rFonts w:hint="eastAsia"/>
        </w:rPr>
        <w:t xml:space="preserve">加入</w:t>
      </w:r>
      <w:r>
        <w:t xml:space="preserve"> </w:t>
      </w:r>
      <w:r>
        <w:rPr>
          <w:rFonts w:hint="eastAsia"/>
        </w:rPr>
        <w:t xml:space="preserve">SPR、商业库存、绕道运输、需求收缩、恐慌衰减、地缘风险溢价和预期修复后，短期冲击模型可将冲突窗口</w:t>
      </w:r>
      <w:r>
        <w:t xml:space="preserve"> RMSE </w:t>
      </w:r>
      <w:r>
        <w:rPr>
          <w:rFonts w:hint="eastAsia"/>
        </w:rPr>
        <w:t xml:space="preserve">控制在</w:t>
      </w:r>
      <w:r>
        <w:t xml:space="preserve"> 3.38 </w:t>
      </w:r>
      <w:r>
        <w:rPr>
          <w:rFonts w:hint="eastAsia"/>
        </w:rPr>
        <w:t xml:space="preserve">美元/桶，MAE</w:t>
      </w:r>
      <w:r>
        <w:t xml:space="preserve"> </w:t>
      </w:r>
      <w:r>
        <w:rPr>
          <w:rFonts w:hint="eastAsia"/>
        </w:rPr>
        <w:t xml:space="preserve">控制在</w:t>
      </w:r>
      <w:r>
        <w:t xml:space="preserve"> 2.76 </w:t>
      </w:r>
      <w:r>
        <w:rPr>
          <w:rFonts w:hint="eastAsia"/>
        </w:rPr>
        <w:t xml:space="preserve">美元/桶。</w:t>
      </w:r>
    </w:p>
    <w:p>
      <w:pPr>
        <w:numPr>
          <w:ilvl w:val="0"/>
          <w:numId w:val="1008"/>
        </w:numPr>
      </w:pPr>
      <w:r>
        <w:rPr>
          <w:rFonts w:hint="eastAsia"/>
        </w:rPr>
        <w:t xml:space="preserve">模型优于朴素上一日基准和滚动</w:t>
      </w:r>
      <w:r>
        <w:t xml:space="preserve"> ARIMA </w:t>
      </w:r>
      <w:r>
        <w:rPr>
          <w:rFonts w:hint="eastAsia"/>
        </w:rPr>
        <w:t xml:space="preserve">基准，DM</w:t>
      </w:r>
      <w:r>
        <w:t xml:space="preserve"> </w:t>
      </w:r>
      <w:r>
        <w:rPr>
          <w:rFonts w:hint="eastAsia"/>
        </w:rPr>
        <w:t xml:space="preserve">平方损失检验和方向命中检验提供支持性统计证据，且通过滞后平移检验、机制消融和参数扰动检验，具备较好的解释力和稳定性。</w:t>
      </w:r>
    </w:p>
    <w:p>
      <w:pPr>
        <w:numPr>
          <w:ilvl w:val="0"/>
          <w:numId w:val="1008"/>
        </w:numPr>
      </w:pPr>
      <w:r>
        <w:rPr>
          <w:rFonts w:hint="eastAsia"/>
        </w:rPr>
        <w:t xml:space="preserve">中长期油价调节模型显示，中性情景第</w:t>
      </w:r>
      <w:r>
        <w:t xml:space="preserve"> 180 </w:t>
      </w:r>
      <w:r>
        <w:rPr>
          <w:rFonts w:hint="eastAsia"/>
        </w:rPr>
        <w:t xml:space="preserve">天价格约为</w:t>
      </w:r>
      <w:r>
        <w:t xml:space="preserve"> 94.15 </w:t>
      </w:r>
      <w:r>
        <w:rPr>
          <w:rFonts w:hint="eastAsia"/>
        </w:rPr>
        <w:t xml:space="preserve">美元/桶；悲观情景第</w:t>
      </w:r>
      <w:r>
        <w:t xml:space="preserve"> 180 </w:t>
      </w:r>
      <w:r>
        <w:rPr>
          <w:rFonts w:hint="eastAsia"/>
        </w:rPr>
        <w:t xml:space="preserve">天约为</w:t>
      </w:r>
      <w:r>
        <w:t xml:space="preserve"> 110.16 </w:t>
      </w:r>
      <w:r>
        <w:rPr>
          <w:rFonts w:hint="eastAsia"/>
        </w:rPr>
        <w:t xml:space="preserve">美元/桶，并存在二次跳涨风险。</w:t>
      </w:r>
    </w:p>
    <w:p>
      <w:pPr>
        <w:numPr>
          <w:ilvl w:val="0"/>
          <w:numId w:val="1008"/>
        </w:numPr>
      </w:pPr>
      <w:r>
        <w:rPr>
          <w:rFonts w:hint="eastAsia"/>
        </w:rPr>
        <w:t xml:space="preserve">敏感性分析显示，封锁风险衰减速度、地缘风险权重和不确定性与制度风险强度是综合敏感度最高的三个因素；SPR</w:t>
      </w:r>
      <w:r>
        <w:t xml:space="preserve"> </w:t>
      </w:r>
      <w:r>
        <w:rPr>
          <w:rFonts w:hint="eastAsia"/>
        </w:rPr>
        <w:t xml:space="preserve">和绕道运输更偏向削峰、缺口闭合和争取恢复时间。</w:t>
      </w:r>
    </w:p>
    <w:p>
      <w:pPr>
        <w:numPr>
          <w:ilvl w:val="0"/>
          <w:numId w:val="1008"/>
        </w:numPr>
      </w:pPr>
      <w:r>
        <w:rPr>
          <w:rFonts w:hint="eastAsia"/>
        </w:rPr>
        <w:t xml:space="preserve">蒙特卡洛情景树显示，第</w:t>
      </w:r>
      <w:r>
        <w:t xml:space="preserve"> 180 </w:t>
      </w:r>
      <w:r>
        <w:rPr>
          <w:rFonts w:hint="eastAsia"/>
        </w:rPr>
        <w:t xml:space="preserve">天价格</w:t>
      </w:r>
      <w:r>
        <w:t xml:space="preserve"> 5%–95% </w:t>
      </w:r>
      <w:r>
        <w:rPr>
          <w:rFonts w:hint="eastAsia"/>
        </w:rPr>
        <w:t xml:space="preserve">区间为</w:t>
      </w:r>
      <w:r>
        <w:t xml:space="preserve"> 89.58–106.44 </w:t>
      </w:r>
      <w:r>
        <w:rPr>
          <w:rFonts w:hint="eastAsia"/>
        </w:rPr>
        <w:t xml:space="preserve">美元/桶，外推期最高价突破</w:t>
      </w:r>
      <w:r>
        <w:t xml:space="preserve"> 120 </w:t>
      </w:r>
      <w:r>
        <w:rPr>
          <w:rFonts w:hint="eastAsia"/>
        </w:rPr>
        <w:t xml:space="preserve">美元/桶的条件概率约为</w:t>
      </w:r>
      <w:r>
        <w:t xml:space="preserve"> </w:t>
      </w:r>
      <w:r>
        <w:rPr>
          <w:rFonts w:hint="eastAsia"/>
        </w:rPr>
        <w:t xml:space="preserve">16.3%，尾部风险主要来自多因素同时恶化；状态转移情景树进一步说明，若未来冲突状态在缓和、维持和升级之间切换，并受到</w:t>
      </w:r>
      <w:r>
        <w:t xml:space="preserve"> GPR/OVX </w:t>
      </w:r>
      <w:r>
        <w:rPr>
          <w:rFonts w:hint="eastAsia"/>
        </w:rPr>
        <w:t xml:space="preserve">风险读数约束，外推期最高价</w:t>
      </w:r>
      <w:r>
        <w:t xml:space="preserve"> P95 </w:t>
      </w:r>
      <w:r>
        <w:rPr>
          <w:rFonts w:hint="eastAsia"/>
        </w:rPr>
        <w:t xml:space="preserve">约为</w:t>
      </w:r>
      <w:r>
        <w:t xml:space="preserve"> 130.51 </w:t>
      </w:r>
      <w:r>
        <w:rPr>
          <w:rFonts w:hint="eastAsia"/>
        </w:rPr>
        <w:t xml:space="preserve">美元/桶，突破</w:t>
      </w:r>
      <w:r>
        <w:t xml:space="preserve"> 120 </w:t>
      </w:r>
      <w:r>
        <w:rPr>
          <w:rFonts w:hint="eastAsia"/>
        </w:rPr>
        <w:t xml:space="preserve">美元/桶的条件概率约为</w:t>
      </w:r>
      <w:r>
        <w:t xml:space="preserve"> 38.3%。</w:t>
      </w:r>
    </w:p>
    <w:p>
      <w:pPr>
        <w:numPr>
          <w:ilvl w:val="0"/>
          <w:numId w:val="1008"/>
        </w:numPr>
      </w:pPr>
      <w:r>
        <w:t xml:space="preserve">GPR </w:t>
      </w:r>
      <w:r>
        <w:rPr>
          <w:rFonts w:hint="eastAsia"/>
        </w:rPr>
        <w:t xml:space="preserve">滞后检验显示，2026</w:t>
      </w:r>
      <w:r>
        <w:t xml:space="preserve"> </w:t>
      </w:r>
      <w:r>
        <w:rPr>
          <w:rFonts w:hint="eastAsia"/>
        </w:rPr>
        <w:t xml:space="preserve">年</w:t>
      </w:r>
      <w:r>
        <w:t xml:space="preserve"> 3–4 </w:t>
      </w:r>
      <w:r>
        <w:rPr>
          <w:rFonts w:hint="eastAsia"/>
        </w:rPr>
        <w:t xml:space="preserve">月地缘风险处于历史高分位；OVX</w:t>
      </w:r>
      <w:r>
        <w:t xml:space="preserve"> </w:t>
      </w:r>
      <w:r>
        <w:rPr>
          <w:rFonts w:hint="eastAsia"/>
        </w:rPr>
        <w:t xml:space="preserve">检验显示冲突窗口隐含波动率均值处于同长度历史窗口约</w:t>
      </w:r>
      <w:r>
        <w:t xml:space="preserve"> 97.3% </w:t>
      </w:r>
      <w:r>
        <w:rPr>
          <w:rFonts w:hint="eastAsia"/>
        </w:rPr>
        <w:t xml:space="preserve">分位。二者支持风险溢价机制，但都不应包装成短期点预测因子。</w:t>
      </w:r>
    </w:p>
    <w:p>
      <w:pPr>
        <w:numPr>
          <w:ilvl w:val="0"/>
          <w:numId w:val="1008"/>
        </w:numPr>
      </w:pPr>
      <w:r>
        <w:t xml:space="preserve">2017–2026 </w:t>
      </w:r>
      <w:r>
        <w:rPr>
          <w:rFonts w:hint="eastAsia"/>
        </w:rPr>
        <w:t xml:space="preserve">历史同长度窗口检验显示，冲突窗口累计收益率、波动率和朴素基准误差均处于历史高分位，说明完整历史数据支持</w:t>
      </w:r>
      <w:r>
        <w:rPr>
          <w:rFonts w:hint="eastAsia"/>
        </w:rPr>
        <w:t xml:space="preserve">“该事件窗口确实特殊”</w:t>
      </w:r>
      <w:r>
        <w:rPr>
          <w:rFonts w:hint="eastAsia"/>
        </w:rPr>
        <w:t xml:space="preserve">的判断。</w:t>
      </w:r>
    </w:p>
    <w:p>
      <w:pPr>
        <w:pStyle w:val="FirstParagraph"/>
      </w:pPr>
      <w:r>
        <w:rPr>
          <w:rFonts w:hint="eastAsia"/>
        </w:rPr>
        <w:t xml:space="preserve">因此，霍尔木兹封锁对国际油价的影响不应被理解为简单的</w:t>
      </w:r>
      <w:r>
        <w:rPr>
          <w:rFonts w:hint="eastAsia"/>
        </w:rPr>
        <w:t xml:space="preserve">“供应缺口乘以低弹性”</w:t>
      </w:r>
      <w:r>
        <w:rPr>
          <w:rFonts w:hint="eastAsia"/>
        </w:rPr>
        <w:t xml:space="preserve">问题，而应被理解为物理缺口、政策缓冲、库存约束、替代运输和市场风险预期共同作用下的动态系统。短期价格平台来自政策缓冲与预期修复对低弹性供需压力的再定价；长期风险则不在于中性路径本身，而在于供应中断偏大、SPR</w:t>
      </w:r>
      <w:r>
        <w:t xml:space="preserve"> </w:t>
      </w:r>
      <w:r>
        <w:rPr>
          <w:rFonts w:hint="eastAsia"/>
        </w:rPr>
        <w:t xml:space="preserve">不足、绕道恢复缓慢和制度风险溢价持续时形成的尾部组合。</w:t>
      </w:r>
    </w:p>
    <w:bookmarkEnd w:id="186"/>
    <w:bookmarkStart w:id="196" w:name="参考文献"/>
    <w:p>
      <w:pPr>
        <w:pStyle w:val="Heading1"/>
      </w:pPr>
      <w:r>
        <w:rPr>
          <w:rFonts w:hint="eastAsia"/>
        </w:rPr>
        <w:t xml:space="preserve">参考文献</w:t>
      </w:r>
    </w:p>
    <w:p>
      <w:pPr>
        <w:pStyle w:val="FirstParagraph"/>
      </w:pPr>
      <w:r>
        <w:t xml:space="preserve">Kilian, L. (2009). Not All Oil Price Shocks Are Alike: Disentangling Demand and Supply Shocks in the Crude Oil Market.</w:t>
      </w:r>
      <w:r>
        <w:t xml:space="preserve"> </w:t>
      </w:r>
      <w:r>
        <w:rPr>
          <w:i/>
          <w:iCs/>
        </w:rPr>
        <w:t xml:space="preserve">American Economic Review</w:t>
      </w:r>
      <w:r>
        <w:t xml:space="preserve">, 99(3), 1053–1069.</w:t>
      </w:r>
    </w:p>
    <w:p>
      <w:pPr>
        <w:pStyle w:val="BodyText"/>
      </w:pPr>
      <w:r>
        <w:t xml:space="preserve">Hamilton, J. D. (2009). Causes and Consequences of the Oil Shock of 2007–08.</w:t>
      </w:r>
      <w:r>
        <w:t xml:space="preserve"> </w:t>
      </w:r>
      <w:r>
        <w:rPr>
          <w:i/>
          <w:iCs/>
        </w:rPr>
        <w:t xml:space="preserve">Brookings Papers on Economic Activity</w:t>
      </w:r>
      <w:r>
        <w:t xml:space="preserve">, Spring 2009, 215–261.</w:t>
      </w:r>
    </w:p>
    <w:p>
      <w:pPr>
        <w:pStyle w:val="BodyText"/>
      </w:pPr>
      <w:r>
        <w:t xml:space="preserve">Kilian, L., &amp; Murphy, D. P. (2014). The Role of Inventories and Speculative Trading in the Global Market for Crude Oil.</w:t>
      </w:r>
      <w:r>
        <w:t xml:space="preserve"> </w:t>
      </w:r>
      <w:r>
        <w:rPr>
          <w:i/>
          <w:iCs/>
        </w:rPr>
        <w:t xml:space="preserve">Journal of Applied Econometrics</w:t>
      </w:r>
      <w:r>
        <w:t xml:space="preserve">, 29(3), 454–478.</w:t>
      </w:r>
    </w:p>
    <w:p>
      <w:pPr>
        <w:pStyle w:val="BodyText"/>
      </w:pPr>
      <w:r>
        <w:t xml:space="preserve">Baumeister, C., &amp; Kilian, L. (2016). Understanding the Decline in the Price of Oil since June 2014.</w:t>
      </w:r>
      <w:r>
        <w:t xml:space="preserve"> </w:t>
      </w:r>
      <w:r>
        <w:rPr>
          <w:i/>
          <w:iCs/>
        </w:rPr>
        <w:t xml:space="preserve">Journal of the Association of Environmental and Resource Economists</w:t>
      </w:r>
      <w:r>
        <w:t xml:space="preserve">, 3(1), 131–158.</w:t>
      </w:r>
    </w:p>
    <w:p>
      <w:pPr>
        <w:pStyle w:val="BodyText"/>
      </w:pPr>
      <w:r>
        <w:t xml:space="preserve">Caldara, D., &amp; Iacoviello, M. (2022). Measuring Geopolitical Risk.</w:t>
      </w:r>
      <w:r>
        <w:t xml:space="preserve"> </w:t>
      </w:r>
      <w:r>
        <w:rPr>
          <w:i/>
          <w:iCs/>
        </w:rPr>
        <w:t xml:space="preserve">American Economic Review</w:t>
      </w:r>
      <w:r>
        <w:t xml:space="preserve">, 112(4), 1194–1225.</w:t>
      </w:r>
    </w:p>
    <w:p>
      <w:pPr>
        <w:pStyle w:val="BodyText"/>
      </w:pPr>
      <w:r>
        <w:t xml:space="preserve">Cooper, J. C. B. (2003). Price elasticity of demand for crude oil: estimates for 23 countries.</w:t>
      </w:r>
      <w:r>
        <w:t xml:space="preserve"> </w:t>
      </w:r>
      <w:r>
        <w:rPr>
          <w:i/>
          <w:iCs/>
        </w:rPr>
        <w:t xml:space="preserve">OPEC Review</w:t>
      </w:r>
      <w:r>
        <w:t xml:space="preserve">, 27(1), 1–8.</w:t>
      </w:r>
    </w:p>
    <w:p>
      <w:pPr>
        <w:pStyle w:val="BodyText"/>
      </w:pPr>
      <w:r>
        <w:t xml:space="preserve">Stevens, P., &amp; Zhang, D. (2021). The asymmetric impact of strategic petroleum reserve releases on crude oil prices.</w:t>
      </w:r>
      <w:r>
        <w:t xml:space="preserve"> </w:t>
      </w:r>
      <w:r>
        <w:rPr>
          <w:i/>
          <w:iCs/>
        </w:rPr>
        <w:t xml:space="preserve">Energy Economics</w:t>
      </w:r>
      <w:r>
        <w:t xml:space="preserve">, 102, 105474.</w:t>
      </w:r>
    </w:p>
    <w:p>
      <w:pPr>
        <w:pStyle w:val="BodyText"/>
      </w:pPr>
      <w:r>
        <w:t xml:space="preserve">Newell, R. G., &amp; Prest, B. C. (2017). Informing SPR Policy Through Oil Futures and Inventory Dynamics.</w:t>
      </w:r>
      <w:r>
        <w:t xml:space="preserve"> </w:t>
      </w:r>
      <w:r>
        <w:rPr>
          <w:i/>
          <w:iCs/>
        </w:rPr>
        <w:t xml:space="preserve">NBER Working Paper</w:t>
      </w:r>
      <w:r>
        <w:t xml:space="preserve">, No. 23974.</w:t>
      </w:r>
    </w:p>
    <w:p>
      <w:pPr>
        <w:pStyle w:val="BodyText"/>
      </w:pPr>
      <w:r>
        <w:t xml:space="preserve">Kilian, L., &amp; Zhou, X. (2019). Does drawing down the U.S. Strategic Petroleum Reserve help stabilize oil prices?</w:t>
      </w:r>
      <w:r>
        <w:t xml:space="preserve"> </w:t>
      </w:r>
      <w:r>
        <w:rPr>
          <w:i/>
          <w:iCs/>
        </w:rPr>
        <w:t xml:space="preserve">Federal Reserve Bank of Dallas Working Paper</w:t>
      </w:r>
      <w:r>
        <w:t xml:space="preserve">, No. 1916.</w:t>
      </w:r>
    </w:p>
    <w:p>
      <w:pPr>
        <w:pStyle w:val="BodyText"/>
      </w:pPr>
      <w:r>
        <w:t xml:space="preserve">Baumeister, C., &amp; Kilian, L. (2012). Real-Time Forecasts of the Real Price of Oil.</w:t>
      </w:r>
      <w:r>
        <w:t xml:space="preserve"> </w:t>
      </w:r>
      <w:r>
        <w:rPr>
          <w:i/>
          <w:iCs/>
        </w:rPr>
        <w:t xml:space="preserve">Journal of Business &amp; Economic Statistics</w:t>
      </w:r>
      <w:r>
        <w:t xml:space="preserve">, 30(2), 326–336.</w:t>
      </w:r>
    </w:p>
    <w:p>
      <w:pPr>
        <w:pStyle w:val="BodyText"/>
      </w:pPr>
      <w:r>
        <w:t xml:space="preserve">Alquist, R., &amp; Kilian, L. (2010). What Do We Learn from the Price of Crude Oil Futures?</w:t>
      </w:r>
      <w:r>
        <w:t xml:space="preserve"> </w:t>
      </w:r>
      <w:r>
        <w:rPr>
          <w:i/>
          <w:iCs/>
        </w:rPr>
        <w:t xml:space="preserve">Journal of Applied Econometrics</w:t>
      </w:r>
      <w:r>
        <w:t xml:space="preserve">, 25(4), 539–573.</w:t>
      </w:r>
    </w:p>
    <w:p>
      <w:pPr>
        <w:pStyle w:val="BodyText"/>
      </w:pPr>
      <w:r>
        <w:t xml:space="preserve">Alquist, R., Kilian, L., &amp; Vigfusson, R. J. (2013). Forecasting the Price of Oil.</w:t>
      </w:r>
      <w:r>
        <w:t xml:space="preserve"> </w:t>
      </w:r>
      <w:r>
        <w:rPr>
          <w:i/>
          <w:iCs/>
        </w:rPr>
        <w:t xml:space="preserve">Handbook of Economic Forecasting</w:t>
      </w:r>
      <w:r>
        <w:t xml:space="preserve">, 2, 427–507.</w:t>
      </w:r>
    </w:p>
    <w:p>
      <w:pPr>
        <w:pStyle w:val="BodyText"/>
      </w:pPr>
      <w:r>
        <w:t xml:space="preserve">Mei, D., Ma, F., Liao, Y., &amp; Wang, L. (2020). Geopolitical risk uncertainty and oil future volatility: Evidence from MIDAS models.</w:t>
      </w:r>
      <w:r>
        <w:t xml:space="preserve"> </w:t>
      </w:r>
      <w:r>
        <w:rPr>
          <w:i/>
          <w:iCs/>
        </w:rPr>
        <w:t xml:space="preserve">Energy Economics</w:t>
      </w:r>
      <w:r>
        <w:t xml:space="preserve">, 86, 104624.</w:t>
      </w:r>
    </w:p>
    <w:p>
      <w:pPr>
        <w:pStyle w:val="BodyText"/>
      </w:pPr>
      <w:r>
        <w:t xml:space="preserve">Liu, J., Ma, F., Tang, Y., &amp; Zhang, Y. (2019). Geopolitical risk and oil volatility: A new insight.</w:t>
      </w:r>
      <w:r>
        <w:t xml:space="preserve"> </w:t>
      </w:r>
      <w:r>
        <w:rPr>
          <w:i/>
          <w:iCs/>
        </w:rPr>
        <w:t xml:space="preserve">Energy Economics</w:t>
      </w:r>
      <w:r>
        <w:t xml:space="preserve">, 84, 104548.</w:t>
      </w:r>
    </w:p>
    <w:p>
      <w:pPr>
        <w:pStyle w:val="BodyText"/>
      </w:pPr>
      <w:r>
        <w:t xml:space="preserve">ter Ellen, S., &amp; Zwinkels, R. C. J. (2010). Oil price dynamics: A behavioral finance approach with heterogeneous agents.</w:t>
      </w:r>
      <w:r>
        <w:t xml:space="preserve"> </w:t>
      </w:r>
      <w:r>
        <w:rPr>
          <w:i/>
          <w:iCs/>
        </w:rPr>
        <w:t xml:space="preserve">Energy Economics</w:t>
      </w:r>
      <w:r>
        <w:t xml:space="preserve">, 32(6), 1427–1434.</w:t>
      </w:r>
    </w:p>
    <w:p>
      <w:pPr>
        <w:pStyle w:val="BodyText"/>
      </w:pPr>
      <w:r>
        <w:t xml:space="preserve">U.S. Energy Information Administration. World Oil Transit Chokepoints.</w:t>
      </w:r>
      <w:r>
        <w:t xml:space="preserve"> </w:t>
      </w:r>
      <w:hyperlink r:id="rId187">
        <w:r>
          <w:rPr>
            <w:rStyle w:val="Hyperlink"/>
          </w:rPr>
          <w:t xml:space="preserve">EIA special topic page</w:t>
        </w:r>
      </w:hyperlink>
      <w:r>
        <w:t xml:space="preserve">.</w:t>
      </w:r>
    </w:p>
    <w:p>
      <w:pPr>
        <w:pStyle w:val="BodyText"/>
      </w:pPr>
      <w:r>
        <w:t xml:space="preserve">International Energy Agency. Strait of Hormuz Factsheet.</w:t>
      </w:r>
      <w:r>
        <w:t xml:space="preserve"> </w:t>
      </w:r>
      <w:hyperlink r:id="rId188">
        <w:r>
          <w:rPr>
            <w:rStyle w:val="Hyperlink"/>
          </w:rPr>
          <w:t xml:space="preserve">IEA oil security factsheet</w:t>
        </w:r>
      </w:hyperlink>
      <w:r>
        <w:t xml:space="preserve">.</w:t>
      </w:r>
    </w:p>
    <w:p>
      <w:pPr>
        <w:pStyle w:val="BodyText"/>
      </w:pPr>
      <w:r>
        <w:t xml:space="preserve">International Energy Agency. IEA Governing Board concludes 2022 collective actions.</w:t>
      </w:r>
      <w:r>
        <w:t xml:space="preserve"> </w:t>
      </w:r>
      <w:hyperlink r:id="rId189">
        <w:r>
          <w:rPr>
            <w:rStyle w:val="Hyperlink"/>
          </w:rPr>
          <w:t xml:space="preserve">IEA emergency stock release record</w:t>
        </w:r>
      </w:hyperlink>
      <w:r>
        <w:t xml:space="preserve">.</w:t>
      </w:r>
    </w:p>
    <w:p>
      <w:pPr>
        <w:pStyle w:val="BodyText"/>
      </w:pPr>
      <w:r>
        <w:t xml:space="preserve">U.S. Energy Information Administration. Weekly U.S. Ending Stocks of Crude Oil in SPR, Weekly U.S. Ending Stocks excluding SPR of Crude Oil, and Weekly U.S. Field Production of Crude Oil.</w:t>
      </w:r>
      <w:r>
        <w:t xml:space="preserve"> </w:t>
      </w:r>
      <w:hyperlink r:id="rId190">
        <w:r>
          <w:rPr>
            <w:rStyle w:val="Hyperlink"/>
          </w:rPr>
          <w:t xml:space="preserve">EIA petroleum weekly data</w:t>
        </w:r>
      </w:hyperlink>
      <w:r>
        <w:t xml:space="preserve">.</w:t>
      </w:r>
    </w:p>
    <w:p>
      <w:pPr>
        <w:pStyle w:val="BodyText"/>
      </w:pPr>
      <w:r>
        <w:t xml:space="preserve">Joint Organisations Data Initiative. JODI Oil World Database.</w:t>
      </w:r>
      <w:r>
        <w:t xml:space="preserve"> </w:t>
      </w:r>
      <w:hyperlink r:id="rId191">
        <w:r>
          <w:rPr>
            <w:rStyle w:val="Hyperlink"/>
          </w:rPr>
          <w:t xml:space="preserve">JODI oil data</w:t>
        </w:r>
      </w:hyperlink>
      <w:r>
        <w:t xml:space="preserve">.</w:t>
      </w:r>
    </w:p>
    <w:p>
      <w:pPr>
        <w:pStyle w:val="BodyText"/>
      </w:pPr>
      <w:r>
        <w:t xml:space="preserve">Organization of the Petroleum Exporting Countries. Monthly Oil Market Report, Balance of supply and demand tables.</w:t>
      </w:r>
      <w:r>
        <w:t xml:space="preserve"> </w:t>
      </w:r>
      <w:hyperlink r:id="rId192">
        <w:r>
          <w:rPr>
            <w:rStyle w:val="Hyperlink"/>
          </w:rPr>
          <w:t xml:space="preserve">OPEC MOMR digital publication</w:t>
        </w:r>
      </w:hyperlink>
      <w:r>
        <w:t xml:space="preserve">.</w:t>
      </w:r>
    </w:p>
    <w:p>
      <w:pPr>
        <w:pStyle w:val="BodyText"/>
      </w:pPr>
      <w:r>
        <w:t xml:space="preserve">Caldara-Iacoviello Geopolitical Risk Index. Monthly GPR data.</w:t>
      </w:r>
      <w:r>
        <w:t xml:space="preserve"> </w:t>
      </w:r>
      <w:hyperlink r:id="rId193">
        <w:r>
          <w:rPr>
            <w:rStyle w:val="Hyperlink"/>
          </w:rPr>
          <w:t xml:space="preserve">GPR data page</w:t>
        </w:r>
      </w:hyperlink>
      <w:r>
        <w:t xml:space="preserve">.</w:t>
      </w:r>
    </w:p>
    <w:p>
      <w:pPr>
        <w:pStyle w:val="BodyText"/>
      </w:pPr>
      <w:r>
        <w:t xml:space="preserve">Federal Reserve Bank of St. Louis. CBOE Crude Oil ETF Volatility Index (OVXCLS).</w:t>
      </w:r>
      <w:r>
        <w:t xml:space="preserve"> </w:t>
      </w:r>
      <w:hyperlink r:id="rId194">
        <w:r>
          <w:rPr>
            <w:rStyle w:val="Hyperlink"/>
          </w:rPr>
          <w:t xml:space="preserve">FRED data page</w:t>
        </w:r>
      </w:hyperlink>
      <w:r>
        <w:t xml:space="preserve">.</w:t>
      </w:r>
    </w:p>
    <w:p>
      <w:pPr>
        <w:pStyle w:val="BodyText"/>
      </w:pPr>
      <w:r>
        <w:t xml:space="preserve">Intercontinental Exchange. ICE Report Center, End of Day and futures settlement reports.</w:t>
      </w:r>
      <w:r>
        <w:t xml:space="preserve"> </w:t>
      </w:r>
      <w:hyperlink r:id="rId195">
        <w:r>
          <w:rPr>
            <w:rStyle w:val="Hyperlink"/>
          </w:rPr>
          <w:t xml:space="preserve">ICE report center</w:t>
        </w:r>
      </w:hyperlink>
      <w:r>
        <w:t xml:space="preserve">.</w:t>
      </w:r>
    </w:p>
    <w:bookmarkEnd w:id="196"/>
    <w:bookmarkStart w:id="208" w:name="附录"/>
    <w:p>
      <w:pPr>
        <w:pStyle w:val="Heading1"/>
      </w:pPr>
      <w:r>
        <w:rPr>
          <w:rFonts w:hint="eastAsia"/>
        </w:rPr>
        <w:t xml:space="preserve">附录</w:t>
      </w:r>
    </w:p>
    <w:p>
      <w:pPr>
        <w:pStyle w:val="FirstParagraph"/>
      </w:pPr>
      <w:r>
        <w:rPr>
          <w:rFonts w:hint="eastAsia"/>
          <w:b/>
          <w:bCs/>
        </w:rPr>
        <w:t xml:space="preserve">结论</w:t>
      </w:r>
      <w:r>
        <w:rPr>
          <w:rFonts w:hint="eastAsia"/>
        </w:rPr>
        <w:t xml:space="preserve">附录只保留复现路径、核心模型实现和关键检验代码。完整</w:t>
      </w:r>
      <w:r>
        <w:t xml:space="preserve"> Python/R </w:t>
      </w:r>
      <w:r>
        <w:rPr>
          <w:rFonts w:hint="eastAsia"/>
        </w:rPr>
        <w:t xml:space="preserve">程序随项目文件提交，避免大段源码削弱论文主体可读性。</w:t>
      </w:r>
    </w:p>
    <w:bookmarkStart w:id="197" w:name="a-项目材料说明"/>
    <w:p>
      <w:pPr>
        <w:pStyle w:val="Heading2"/>
      </w:pPr>
      <w:r>
        <w:t xml:space="preserve">A </w:t>
      </w:r>
      <w:r>
        <w:rPr>
          <w:rFonts w:hint="eastAsia"/>
        </w:rPr>
        <w:t xml:space="preserve">项目材料说明</w:t>
      </w:r>
    </w:p>
    <w:p>
      <w:pPr>
        <w:pStyle w:val="FirstParagraph"/>
      </w:pPr>
      <w:r>
        <w:rPr>
          <w:rFonts w:hint="eastAsia"/>
        </w:rPr>
        <w:t xml:space="preserve">本文的建模、校验、绘图和论文生成均保存在同一项目目录中。附录只列出与论文结果直接相关的核心目录和关键代码；完整程序、配置文件和中间结果随项目文件提交。项目核心结构如下。</w:t>
      </w:r>
    </w:p>
    <w:p>
      <w:pPr>
        <w:pStyle w:val="SourceCode"/>
      </w:pPr>
      <w:r>
        <w:rPr>
          <w:rStyle w:val="VerbatimChar"/>
          <w:rFonts w:hint="eastAsia"/>
        </w:rPr>
        <w:t xml:space="preserve">数模/</w:t>
      </w:r>
      <w:r>
        <w:br/>
      </w:r>
      <w:r>
        <w:rPr>
          <w:rStyle w:val="VerbatimChar"/>
        </w:rPr>
        <w:t xml:space="preserve">|-- data/                 </w:t>
      </w:r>
      <w:r>
        <w:rPr>
          <w:rStyle w:val="VerbatimChar"/>
          <w:rFonts w:hint="eastAsia"/>
        </w:rPr>
        <w:t xml:space="preserve">原始数据、清洗数据和外部校验数据</w:t>
      </w:r>
      <w:r>
        <w:br/>
      </w:r>
      <w:r>
        <w:rPr>
          <w:rStyle w:val="VerbatimChar"/>
        </w:rPr>
        <w:t xml:space="preserve">|-- src/</w:t>
      </w:r>
      <w:r>
        <w:br/>
      </w:r>
      <w:r>
        <w:rPr>
          <w:rStyle w:val="VerbatimChar"/>
        </w:rPr>
        <w:t xml:space="preserve">|   |-- pipeline/         </w:t>
      </w:r>
      <w:r>
        <w:rPr>
          <w:rStyle w:val="VerbatimChar"/>
          <w:rFonts w:hint="eastAsia"/>
        </w:rPr>
        <w:t xml:space="preserve">数据清洗与校验</w:t>
      </w:r>
      <w:r>
        <w:br/>
      </w:r>
      <w:r>
        <w:rPr>
          <w:rStyle w:val="VerbatimChar"/>
        </w:rPr>
        <w:t xml:space="preserve">|   |-- models/           </w:t>
      </w:r>
      <w:r>
        <w:rPr>
          <w:rStyle w:val="VerbatimChar"/>
          <w:rFonts w:hint="eastAsia"/>
        </w:rPr>
        <w:t xml:space="preserve">传统供需基准与短期冲击模型</w:t>
      </w:r>
      <w:r>
        <w:br/>
      </w:r>
      <w:r>
        <w:rPr>
          <w:rStyle w:val="VerbatimChar"/>
        </w:rPr>
        <w:t xml:space="preserve">|   |-- calibration/      </w:t>
      </w:r>
      <w:r>
        <w:rPr>
          <w:rStyle w:val="VerbatimChar"/>
          <w:rFonts w:hint="eastAsia"/>
        </w:rPr>
        <w:t xml:space="preserve">短期模型参数搜索与评价</w:t>
      </w:r>
      <w:r>
        <w:br/>
      </w:r>
      <w:r>
        <w:rPr>
          <w:rStyle w:val="VerbatimChar"/>
        </w:rPr>
        <w:t xml:space="preserve">|   |-- scenarios/        60--180 </w:t>
      </w:r>
      <w:r>
        <w:rPr>
          <w:rStyle w:val="VerbatimChar"/>
          <w:rFonts w:hint="eastAsia"/>
        </w:rPr>
        <w:t xml:space="preserve">天长期三情景预测</w:t>
      </w:r>
      <w:r>
        <w:br/>
      </w:r>
      <w:r>
        <w:rPr>
          <w:rStyle w:val="VerbatimChar"/>
        </w:rPr>
        <w:t xml:space="preserve">|   |-- analysis/         </w:t>
      </w:r>
      <w:r>
        <w:rPr>
          <w:rStyle w:val="VerbatimChar"/>
          <w:rFonts w:hint="eastAsia"/>
        </w:rPr>
        <w:t xml:space="preserve">敏感性、稳健性、GPR、OVX</w:t>
      </w:r>
      <w:r>
        <w:rPr>
          <w:rStyle w:val="VerbatimChar"/>
        </w:rPr>
        <w:t xml:space="preserve"> </w:t>
      </w:r>
      <w:r>
        <w:rPr>
          <w:rStyle w:val="VerbatimChar"/>
          <w:rFonts w:hint="eastAsia"/>
        </w:rPr>
        <w:t xml:space="preserve">与统计检验</w:t>
      </w:r>
      <w:r>
        <w:br/>
      </w:r>
      <w:r>
        <w:rPr>
          <w:rStyle w:val="VerbatimChar"/>
        </w:rPr>
        <w:t xml:space="preserve">|   |-- visualization/    </w:t>
      </w:r>
      <w:r>
        <w:rPr>
          <w:rStyle w:val="VerbatimChar"/>
          <w:rFonts w:hint="eastAsia"/>
        </w:rPr>
        <w:t xml:space="preserve">论文正式图表生成</w:t>
      </w:r>
      <w:r>
        <w:br/>
      </w:r>
      <w:r>
        <w:rPr>
          <w:rStyle w:val="VerbatimChar"/>
        </w:rPr>
        <w:t xml:space="preserve">|-- scripts/              </w:t>
      </w:r>
      <w:r>
        <w:rPr>
          <w:rStyle w:val="VerbatimChar"/>
          <w:rFonts w:hint="eastAsia"/>
        </w:rPr>
        <w:t xml:space="preserve">一键构建、R</w:t>
      </w:r>
      <w:r>
        <w:rPr>
          <w:rStyle w:val="VerbatimChar"/>
        </w:rPr>
        <w:t xml:space="preserve"> </w:t>
      </w:r>
      <w:r>
        <w:rPr>
          <w:rStyle w:val="VerbatimChar"/>
          <w:rFonts w:hint="eastAsia"/>
        </w:rPr>
        <w:t xml:space="preserve">审计与</w:t>
      </w:r>
      <w:r>
        <w:rPr>
          <w:rStyle w:val="VerbatimChar"/>
        </w:rPr>
        <w:t xml:space="preserve"> DOCX </w:t>
      </w:r>
      <w:r>
        <w:rPr>
          <w:rStyle w:val="VerbatimChar"/>
          <w:rFonts w:hint="eastAsia"/>
        </w:rPr>
        <w:t xml:space="preserve">后处理脚本</w:t>
      </w:r>
      <w:r>
        <w:br/>
      </w:r>
      <w:r>
        <w:rPr>
          <w:rStyle w:val="VerbatimChar"/>
        </w:rPr>
        <w:t xml:space="preserve">|-- paper/                </w:t>
      </w:r>
      <w:r>
        <w:rPr>
          <w:rStyle w:val="VerbatimChar"/>
          <w:rFonts w:hint="eastAsia"/>
        </w:rPr>
        <w:t xml:space="preserve">总论文</w:t>
      </w:r>
      <w:r>
        <w:rPr>
          <w:rStyle w:val="VerbatimChar"/>
        </w:rPr>
        <w:t xml:space="preserve"> LaTeX </w:t>
      </w:r>
      <w:r>
        <w:rPr>
          <w:rStyle w:val="VerbatimChar"/>
          <w:rFonts w:hint="eastAsia"/>
        </w:rPr>
        <w:t xml:space="preserve">源码、章节和正式图表</w:t>
      </w:r>
      <w:r>
        <w:br/>
      </w:r>
      <w:r>
        <w:rPr>
          <w:rStyle w:val="VerbatimChar"/>
        </w:rPr>
        <w:t xml:space="preserve">|-- output/               </w:t>
      </w:r>
      <w:r>
        <w:rPr>
          <w:rStyle w:val="VerbatimChar"/>
          <w:rFonts w:hint="eastAsia"/>
        </w:rPr>
        <w:t xml:space="preserve">模型结果、校验报告和最终</w:t>
      </w:r>
      <w:r>
        <w:rPr>
          <w:rStyle w:val="VerbatimChar"/>
        </w:rPr>
        <w:t xml:space="preserve"> PDF/DOCX</w:t>
      </w:r>
    </w:p>
    <w:bookmarkEnd w:id="197"/>
    <w:bookmarkStart w:id="198" w:name="b-数据口径"/>
    <w:p>
      <w:pPr>
        <w:pStyle w:val="Heading2"/>
      </w:pPr>
      <w:r>
        <w:t xml:space="preserve">B </w:t>
      </w:r>
      <w:r>
        <w:rPr>
          <w:rFonts w:hint="eastAsia"/>
        </w:rPr>
        <w:t xml:space="preserve">数据口径</w:t>
      </w:r>
    </w:p>
    <w:p>
      <w:pPr>
        <w:pStyle w:val="FirstParagraph"/>
      </w:pPr>
      <w:r>
        <w:rPr>
          <w:rFonts w:hint="eastAsia"/>
        </w:rPr>
        <w:t xml:space="preserve">本文真实价格数据只来自赛题附件，并经清洗后形成中文命名数据文件。短期拟合使用附件中</w:t>
      </w:r>
      <w:r>
        <w:t xml:space="preserve"> 2026 </w:t>
      </w:r>
      <w:r>
        <w:rPr>
          <w:rFonts w:hint="eastAsia"/>
        </w:rPr>
        <w:t xml:space="preserve">年</w:t>
      </w:r>
      <w:r>
        <w:t xml:space="preserve"> 3 </w:t>
      </w:r>
      <w:r>
        <w:rPr>
          <w:rFonts w:hint="eastAsia"/>
        </w:rPr>
        <w:t xml:space="preserve">月</w:t>
      </w:r>
      <w:r>
        <w:t xml:space="preserve"> 3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日的冲突窗口；2017–2026</w:t>
      </w:r>
      <w:r>
        <w:t xml:space="preserve"> </w:t>
      </w:r>
      <w:r>
        <w:rPr>
          <w:rFonts w:hint="eastAsia"/>
        </w:rPr>
        <w:t xml:space="preserve">年完整价格序列仅用于历史同长度窗口、基准模型分布和事件极端性检验。EIA</w:t>
      </w:r>
      <w:r>
        <w:t xml:space="preserve"> </w:t>
      </w:r>
      <w:r>
        <w:rPr>
          <w:rFonts w:hint="eastAsia"/>
        </w:rPr>
        <w:t xml:space="preserve">周度</w:t>
      </w:r>
      <w:r>
        <w:t xml:space="preserve"> </w:t>
      </w:r>
      <w:r>
        <w:rPr>
          <w:rFonts w:hint="eastAsia"/>
        </w:rPr>
        <w:t xml:space="preserve">SPR、商业库存和原油产量数据、JODI</w:t>
      </w:r>
      <w:r>
        <w:t xml:space="preserve"> </w:t>
      </w:r>
      <w:r>
        <w:rPr>
          <w:rFonts w:hint="eastAsia"/>
        </w:rPr>
        <w:t xml:space="preserve">多国月度产量、库存、进出口、需求和炼厂数据、OPEC</w:t>
      </w:r>
      <w:r>
        <w:t xml:space="preserve"> </w:t>
      </w:r>
      <w:r>
        <w:rPr>
          <w:rFonts w:hint="eastAsia"/>
        </w:rPr>
        <w:t xml:space="preserve">全球供需平衡表、GPR</w:t>
      </w:r>
      <w:r>
        <w:t xml:space="preserve"> </w:t>
      </w:r>
      <w:r>
        <w:rPr>
          <w:rFonts w:hint="eastAsia"/>
        </w:rPr>
        <w:t xml:space="preserve">月度指数和</w:t>
      </w:r>
      <w:r>
        <w:t xml:space="preserve"> OVX </w:t>
      </w:r>
      <w:r>
        <w:rPr>
          <w:rFonts w:hint="eastAsia"/>
        </w:rPr>
        <w:t xml:space="preserve">隐含波动率用于外部合理性校验，不反向替代附件真实价格。</w:t>
      </w:r>
    </w:p>
    <w:bookmarkEnd w:id="198"/>
    <w:bookmarkStart w:id="199" w:name="c-短期冲击模型核心代码"/>
    <w:p>
      <w:pPr>
        <w:pStyle w:val="Heading2"/>
      </w:pPr>
      <w:r>
        <w:t xml:space="preserve">C </w:t>
      </w:r>
      <w:r>
        <w:rPr>
          <w:rFonts w:hint="eastAsia"/>
        </w:rPr>
        <w:t xml:space="preserve">短期冲击模型核心代码</w:t>
      </w:r>
    </w:p>
    <w:p>
      <w:pPr>
        <w:pStyle w:val="FirstParagraph"/>
      </w:pPr>
      <w:r>
        <w:rPr>
          <w:rFonts w:hint="eastAsia"/>
        </w:rPr>
        <w:t xml:space="preserve">代码</w:t>
      </w:r>
      <w:r>
        <w:t xml:space="preserve"> </w:t>
      </w:r>
      <w:hyperlink w:anchor="lst:dynamic-recursion">
        <w:r>
          <w:rPr>
            <w:rStyle w:val="Hyperlink"/>
          </w:rPr>
          <w:t xml:space="preserve">[lst:dynamic-recursion]</w:t>
        </w:r>
      </w:hyperlink>
      <w:r>
        <w:t xml:space="preserve"> </w:t>
      </w:r>
      <w:r>
        <w:rPr>
          <w:rFonts w:hint="eastAsia"/>
        </w:rPr>
        <w:t xml:space="preserve">展示短期冲击模型的核心实现。模型逐日计算有效需求、有效供应、剩余缺口、风险溢价和缓冲折价，并由目标价格递推得到模拟价格。</w:t>
      </w:r>
    </w:p>
    <w:p>
      <w:pPr>
        <w:pStyle w:val="BodyText"/>
      </w:pPr>
      <w:r>
        <w:t xml:space="preserve">lst:dynamic-recursion</w:t>
      </w:r>
      <w:r>
        <w:t xml:space="preserve">python</w:t>
      </w:r>
      <w:r>
        <w:rPr>
          <w:rFonts w:hint="eastAsia"/>
        </w:rPr>
        <w:t xml:space="preserve">短期冲击模型核心实现</w:t>
      </w:r>
      <w:r>
        <w:t xml:space="preserve"> </w:t>
      </w:r>
      <w:r>
        <w:t xml:space="preserve">def simulate_dynamic_model(event_df, assumptions, behavior):</w:t>
      </w:r>
      <w:r>
        <w:t xml:space="preserve"> </w:t>
      </w:r>
      <w:r>
        <w:t xml:space="preserve">base_price = float(event_df.iloc[0]["pre_close"])</w:t>
      </w:r>
      <w:r>
        <w:t xml:space="preserve"> </w:t>
      </w:r>
      <w:r>
        <w:t xml:space="preserve">previous_price = base_price</w:t>
      </w:r>
      <w:r>
        <w:t xml:space="preserve"> </w:t>
      </w:r>
      <w:r>
        <w:t xml:space="preserve">previous_fear_excess = assumptions.fear_initial</w:t>
      </w:r>
      <w:r>
        <w:t xml:space="preserve"> </w:t>
      </w:r>
      <w:r>
        <w:t xml:space="preserve">inventory_remaining = assumptions.commercial_inventory</w:t>
      </w:r>
      <w:r>
        <w:t xml:space="preserve"> </w:t>
      </w:r>
      <w:r>
        <w:t xml:space="preserve">gap_closure_day = None</w:t>
      </w:r>
      <w:r>
        <w:t xml:space="preserve"> </w:t>
      </w:r>
      <w:r>
        <w:t xml:space="preserve">rows = []</w:t>
      </w:r>
    </w:p>
    <w:p>
      <w:pPr>
        <w:pStyle w:val="BodyText"/>
      </w:pPr>
      <w:r>
        <w:t xml:space="preserve">for step_index, actual_row in enumerate(event_df.itertuples(index=False)):</w:t>
      </w:r>
      <w:r>
        <w:t xml:space="preserve"> </w:t>
      </w:r>
      <w:r>
        <w:t xml:space="preserve">day_index = int((actual_row.trade_date - event_df["trade_date"].min()).days)</w:t>
      </w:r>
      <w:r>
        <w:t xml:space="preserve"> </w:t>
      </w:r>
      <w:r>
        <w:t xml:space="preserve">elasticity = interpolate_elasticity(day_index, assumptions)</w:t>
      </w:r>
      <w:r>
        <w:t xml:space="preserve"> </w:t>
      </w:r>
      <w:r>
        <w:t xml:space="preserve">price_ratio = max(previous_price / base_price, 0.1)</w:t>
      </w:r>
    </w:p>
    <w:p>
      <w:pPr>
        <w:pStyle w:val="BodyText"/>
      </w:pPr>
      <w:r>
        <w:t xml:space="preserve"># </w:t>
      </w:r>
      <w:r>
        <w:rPr>
          <w:rFonts w:hint="eastAsia"/>
        </w:rPr>
        <w:t xml:space="preserve">需求侧：价格弹性与高油价需求收缩共同作用</w:t>
      </w:r>
      <w:r>
        <w:t xml:space="preserve"> </w:t>
      </w:r>
      <w:r>
        <w:t xml:space="preserve">price_adjusted_demand = assumptions.base_demand * (price_ratio ** elasticity)</w:t>
      </w:r>
      <w:r>
        <w:t xml:space="preserve"> </w:t>
      </w:r>
      <w:r>
        <w:t xml:space="preserve">demand_decline = ramp(day_index, 0, assumptions.demand_decline_ramp_days,</w:t>
      </w:r>
      <w:r>
        <w:t xml:space="preserve"> </w:t>
      </w:r>
      <w:r>
        <w:t xml:space="preserve">assumptions.observed_demand_decline)</w:t>
      </w:r>
      <w:r>
        <w:t xml:space="preserve"> </w:t>
      </w:r>
      <w:r>
        <w:t xml:space="preserve">effective_demand = max(price_adjusted_demand - demand_decline,</w:t>
      </w:r>
      <w:r>
        <w:t xml:space="preserve"> </w:t>
      </w:r>
      <w:r>
        <w:t xml:space="preserve">assumptions.base_demand * 0.70)</w:t>
      </w:r>
    </w:p>
    <w:p>
      <w:pPr>
        <w:pStyle w:val="BodyText"/>
      </w:pPr>
      <w:r>
        <w:t xml:space="preserve"># </w:t>
      </w:r>
      <w:r>
        <w:rPr>
          <w:rFonts w:hint="eastAsia"/>
        </w:rPr>
        <w:t xml:space="preserve">供给侧：基础供应扣除中断后，加入</w:t>
      </w:r>
      <w:r>
        <w:t xml:space="preserve"> </w:t>
      </w:r>
      <w:r>
        <w:rPr>
          <w:rFonts w:hint="eastAsia"/>
        </w:rPr>
        <w:t xml:space="preserve">SPR、绕道运输和库存缓冲</w:t>
      </w:r>
      <w:r>
        <w:t xml:space="preserve"> </w:t>
      </w:r>
      <w:r>
        <w:t xml:space="preserve">spr_release = ramp(day_index, assumptions.spr_delay_days,</w:t>
      </w:r>
      <w:r>
        <w:t xml:space="preserve"> </w:t>
      </w:r>
      <w:r>
        <w:t xml:space="preserve">assumptions.spr_ramp_days, assumptions.spr_max_release)</w:t>
      </w:r>
      <w:r>
        <w:t xml:space="preserve"> </w:t>
      </w:r>
      <w:r>
        <w:t xml:space="preserve">route_supply = ramp(day_index, assumptions.route_start_day,</w:t>
      </w:r>
      <w:r>
        <w:t xml:space="preserve"> </w:t>
      </w:r>
      <w:r>
        <w:t xml:space="preserve">assumptions.route_ramp_days, assumptions.route_max_capacity)</w:t>
      </w:r>
      <w:r>
        <w:t xml:space="preserve"> </w:t>
      </w:r>
      <w:r>
        <w:t xml:space="preserve">supply_without_inventory = (assumptions.base_supply</w:t>
      </w:r>
      <w:r>
        <w:t xml:space="preserve"> </w:t>
      </w:r>
      <w:r>
        <w:t xml:space="preserve">- assumptions.supply_interruption</w:t>
      </w:r>
      <w:r>
        <w:t xml:space="preserve"> </w:t>
      </w:r>
      <w:r>
        <w:t xml:space="preserve">+ spr_release + route_supply)</w:t>
      </w:r>
    </w:p>
    <w:p>
      <w:pPr>
        <w:pStyle w:val="BodyText"/>
      </w:pPr>
      <w:r>
        <w:t xml:space="preserve">raw_gap = max(effective_demand - supply_without_inventory, 0.0)</w:t>
      </w:r>
      <w:r>
        <w:t xml:space="preserve"> </w:t>
      </w:r>
      <w:r>
        <w:t xml:space="preserve">inventory_buffer = min(raw_gap * behavior.inventory_response,</w:t>
      </w:r>
      <w:r>
        <w:t xml:space="preserve"> </w:t>
      </w:r>
      <w:r>
        <w:t xml:space="preserve">assumptions.inventory_daily_cap,</w:t>
      </w:r>
      <w:r>
        <w:t xml:space="preserve"> </w:t>
      </w:r>
      <w:r>
        <w:t xml:space="preserve">inventory_remaining)</w:t>
      </w:r>
      <w:r>
        <w:t xml:space="preserve"> </w:t>
      </w:r>
      <w:r>
        <w:t xml:space="preserve">inventory_remaining -= inventory_buffer</w:t>
      </w:r>
      <w:r>
        <w:t xml:space="preserve"> </w:t>
      </w:r>
      <w:r>
        <w:t xml:space="preserve">effective_supply = supply_without_inventory + inventory_buffer</w:t>
      </w:r>
      <w:r>
        <w:t xml:space="preserve"> </w:t>
      </w:r>
      <w:r>
        <w:t xml:space="preserve">residual_gap = max(effective_demand - effective_supply, 0.0)</w:t>
      </w:r>
      <w:r>
        <w:t xml:space="preserve"> </w:t>
      </w:r>
      <w:r>
        <w:t xml:space="preserve">if gap_closure_day is None and residual_gap &lt;= assumptions.base_demand * 0.005:</w:t>
      </w:r>
      <w:r>
        <w:t xml:space="preserve"> </w:t>
      </w:r>
      <w:r>
        <w:t xml:space="preserve">gap_closure_day = day_index</w:t>
      </w:r>
    </w:p>
    <w:p>
      <w:pPr>
        <w:pStyle w:val="BodyText"/>
      </w:pPr>
      <w:r>
        <w:t xml:space="preserve"># </w:t>
      </w:r>
      <w:r>
        <w:rPr>
          <w:rFonts w:hint="eastAsia"/>
        </w:rPr>
        <w:t xml:space="preserve">价格形成层：物理缺口、地缘风险、恐慌溢价与市场缓冲折价</w:t>
      </w:r>
      <w:r>
        <w:t xml:space="preserve"> </w:t>
      </w:r>
      <w:r>
        <w:t xml:space="preserve">fear_excess = assumptions.fear_initial * np.exp(-assumptions.fear_decay * day_index)</w:t>
      </w:r>
      <w:r>
        <w:t xml:space="preserve"> </w:t>
      </w:r>
      <w:r>
        <w:t xml:space="preserve">shortage_pressure = (base_price * behavior.pressure_scale</w:t>
      </w:r>
      <w:r>
        <w:t xml:space="preserve"> </w:t>
      </w:r>
      <w:r>
        <w:t xml:space="preserve">* (residual_gap / assumptions.base_demand)</w:t>
      </w:r>
      <w:r>
        <w:t xml:space="preserve"> </w:t>
      </w:r>
      <w:r>
        <w:t xml:space="preserve">/ max(abs(elasticity), 0.01))</w:t>
      </w:r>
      <w:r>
        <w:t xml:space="preserve"> </w:t>
      </w:r>
      <w:r>
        <w:t xml:space="preserve">blockade_risk_premium = (base_price * behavior.risk_weight</w:t>
      </w:r>
      <w:r>
        <w:t xml:space="preserve"> </w:t>
      </w:r>
      <w:r>
        <w:t xml:space="preserve">* (assumptions.supply_interruption / assumptions.base_demand)</w:t>
      </w:r>
      <w:r>
        <w:t xml:space="preserve"> </w:t>
      </w:r>
      <w:r>
        <w:t xml:space="preserve">* (1 - np.exp(-day_index / 7))</w:t>
      </w:r>
      <w:r>
        <w:t xml:space="preserve"> </w:t>
      </w:r>
      <w:r>
        <w:t xml:space="preserve">* np.exp(-BLOCKADE_RISK_DECAY * day_index))</w:t>
      </w:r>
      <w:r>
        <w:t xml:space="preserve"> </w:t>
      </w:r>
      <w:r>
        <w:t xml:space="preserve">panic_premium = base_price * 0.45 * fear_excess</w:t>
      </w:r>
    </w:p>
    <w:p>
      <w:pPr>
        <w:pStyle w:val="BodyText"/>
      </w:pPr>
      <w:r>
        <w:t xml:space="preserve">target_price = (base_price + shortage_pressure + blockade_risk_premium</w:t>
      </w:r>
      <w:r>
        <w:t xml:space="preserve"> </w:t>
      </w:r>
      <w:r>
        <w:t xml:space="preserve">+ panic_premium</w:t>
      </w:r>
      <w:r>
        <w:t xml:space="preserve"> </w:t>
      </w:r>
      <w:r>
        <w:t xml:space="preserve">- buffer_confirmation_discount(day_index, gap_closure_day,</w:t>
      </w:r>
      <w:r>
        <w:t xml:space="preserve"> </w:t>
      </w:r>
      <w:r>
        <w:t xml:space="preserve">base_price, behavior)</w:t>
      </w:r>
      <w:r>
        <w:t xml:space="preserve"> </w:t>
      </w:r>
      <w:r>
        <w:t xml:space="preserve">- expectation_relief_discount(day_index, base_price, behavior))</w:t>
      </w:r>
    </w:p>
    <w:p>
      <w:pPr>
        <w:pStyle w:val="BodyText"/>
      </w:pPr>
      <w:r>
        <w:t xml:space="preserve">simulated_price = previous_price + behavior.adjustment_speed * (target_price - previous_price)</w:t>
      </w:r>
      <w:r>
        <w:t xml:space="preserve"> </w:t>
      </w:r>
      <w:r>
        <w:t xml:space="preserve">simulated_price += 2.5 * (fear_excess - previous_fear_excess)</w:t>
      </w:r>
      <w:r>
        <w:t xml:space="preserve"> </w:t>
      </w:r>
      <w:r>
        <w:t xml:space="preserve">rows.append(</w:t>
      </w:r>
      <w:r>
        <w:t xml:space="preserve">"day_index": day_index, "simulated_price": simulated_price</w:t>
      </w:r>
      <w:r>
        <w:t xml:space="preserve">)</w:t>
      </w:r>
      <w:r>
        <w:t xml:space="preserve"> </w:t>
      </w:r>
      <w:r>
        <w:t xml:space="preserve">previous_price = simulated_price</w:t>
      </w:r>
      <w:r>
        <w:t xml:space="preserve"> </w:t>
      </w:r>
      <w:r>
        <w:t xml:space="preserve">previous_fear_excess = fear_excess</w:t>
      </w:r>
    </w:p>
    <w:p>
      <w:pPr>
        <w:pStyle w:val="BodyText"/>
      </w:pPr>
      <w:r>
        <w:t xml:space="preserve">return pd.DataFrame(rows)</w:t>
      </w:r>
    </w:p>
    <w:bookmarkEnd w:id="199"/>
    <w:bookmarkStart w:id="200" w:name="d-参数校准模块"/>
    <w:p>
      <w:pPr>
        <w:pStyle w:val="Heading2"/>
      </w:pPr>
      <w:r>
        <w:t xml:space="preserve">D </w:t>
      </w:r>
      <w:r>
        <w:rPr>
          <w:rFonts w:hint="eastAsia"/>
        </w:rPr>
        <w:t xml:space="preserve">参数校准模块</w:t>
      </w:r>
    </w:p>
    <w:p>
      <w:pPr>
        <w:pStyle w:val="FirstParagraph"/>
      </w:pPr>
      <w:r>
        <w:rPr>
          <w:rFonts w:hint="eastAsia"/>
        </w:rPr>
        <w:t xml:space="preserve">代码</w:t>
      </w:r>
      <w:r>
        <w:t xml:space="preserve"> </w:t>
      </w:r>
      <w:hyperlink w:anchor="lst:calibration">
        <w:r>
          <w:rPr>
            <w:rStyle w:val="Hyperlink"/>
          </w:rPr>
          <w:t xml:space="preserve">[lst:calibration]</w:t>
        </w:r>
      </w:hyperlink>
      <w:r>
        <w:t xml:space="preserve"> </w:t>
      </w:r>
      <w:r>
        <w:rPr>
          <w:rFonts w:hint="eastAsia"/>
        </w:rPr>
        <w:t xml:space="preserve">给出参数校准流程。本文不是手工指定最优参数，而是在固定机制结构下，综合使用差分进化、局部稳定性搜索和拟合质量精修选择代表性参数。</w:t>
      </w:r>
    </w:p>
    <w:p>
      <w:pPr>
        <w:pStyle w:val="BodyText"/>
      </w:pPr>
      <w:r>
        <w:t xml:space="preserve">lst:calibration</w:t>
      </w:r>
      <w:r>
        <w:t xml:space="preserve">python</w:t>
      </w:r>
      <w:r>
        <w:rPr>
          <w:rFonts w:hint="eastAsia"/>
        </w:rPr>
        <w:t xml:space="preserve">参数校准与局部稳健性搜索</w:t>
      </w:r>
      <w:r>
        <w:t xml:space="preserve"> </w:t>
      </w:r>
      <w:r>
        <w:t xml:space="preserve">def refine_with_continuous_search(event_df, base_assumptions):</w:t>
      </w:r>
      <w:r>
        <w:t xml:space="preserve"> </w:t>
      </w:r>
      <w:r>
        <w:t xml:space="preserve">def objective(values):</w:t>
      </w:r>
      <w:r>
        <w:t xml:space="preserve"> </w:t>
      </w:r>
      <w:r>
        <w:t xml:space="preserve">assumptions, behavior = decode_continuous_parameters(values, base_assumptions)</w:t>
      </w:r>
      <w:r>
        <w:t xml:space="preserve"> </w:t>
      </w:r>
      <w:r>
        <w:t xml:space="preserve">simulation = dynamic.simulate_dynamic_model(event_df, assumptions, behavior)</w:t>
      </w:r>
      <w:r>
        <w:t xml:space="preserve"> </w:t>
      </w:r>
      <w:r>
        <w:t xml:space="preserve">metrics = evaluate_simulation(simulation)</w:t>
      </w:r>
    </w:p>
    <w:p>
      <w:pPr>
        <w:pStyle w:val="BodyText"/>
      </w:pPr>
      <w:r>
        <w:t xml:space="preserve"># </w:t>
      </w:r>
      <w:r>
        <w:rPr>
          <w:rFonts w:hint="eastAsia"/>
        </w:rPr>
        <w:t xml:space="preserve">综合得分同时考虑整体误差、峰值误差、末日误差和平台解释能力</w:t>
      </w:r>
      <w:r>
        <w:t xml:space="preserve"> </w:t>
      </w:r>
      <w:r>
        <w:t xml:space="preserve">return </w:t>
      </w:r>
      <w:r>
        <w:rPr>
          <w:rFonts w:hint="eastAsia"/>
        </w:rPr>
        <w:t xml:space="preserve">metrics["综合得分"]</w:t>
      </w:r>
      <w:r>
        <w:t xml:space="preserve"> + excellence_penalty(metrics)</w:t>
      </w:r>
    </w:p>
    <w:p>
      <w:pPr>
        <w:pStyle w:val="BodyText"/>
      </w:pPr>
      <w:r>
        <w:t xml:space="preserve">result = differential_evolution(</w:t>
      </w:r>
      <w:r>
        <w:t xml:space="preserve"> </w:t>
      </w:r>
      <w:r>
        <w:t xml:space="preserve">objective,</w:t>
      </w:r>
      <w:r>
        <w:t xml:space="preserve"> </w:t>
      </w:r>
      <w:r>
        <w:t xml:space="preserve">CONTINUOUS_PARAMETER_BOUNDS,</w:t>
      </w:r>
      <w:r>
        <w:t xml:space="preserve"> </w:t>
      </w:r>
      <w:r>
        <w:t xml:space="preserve">seed=RANDOM_SEED,</w:t>
      </w:r>
      <w:r>
        <w:t xml:space="preserve"> </w:t>
      </w:r>
      <w:r>
        <w:t xml:space="preserve">maxiter=LOCAL_REFINEMENT_MAXITER,</w:t>
      </w:r>
      <w:r>
        <w:t xml:space="preserve"> </w:t>
      </w:r>
      <w:r>
        <w:t xml:space="preserve">popsize=LOCAL_REFINEMENT_POPSIZE,</w:t>
      </w:r>
      <w:r>
        <w:t xml:space="preserve"> </w:t>
      </w:r>
      <w:r>
        <w:t xml:space="preserve">polish=True,</w:t>
      </w:r>
      <w:r>
        <w:t xml:space="preserve"> </w:t>
      </w:r>
      <w:r>
        <w:t xml:space="preserve">workers=1,</w:t>
      </w:r>
      <w:r>
        <w:t xml:space="preserve"> </w:t>
      </w:r>
      <w:r>
        <w:t xml:space="preserve">tol=0.002,</w:t>
      </w:r>
      <w:r>
        <w:t xml:space="preserve"> </w:t>
      </w:r>
      <w:r>
        <w:t xml:space="preserve">)</w:t>
      </w:r>
    </w:p>
    <w:p>
      <w:pPr>
        <w:pStyle w:val="BodyText"/>
      </w:pPr>
      <w:r>
        <w:t xml:space="preserve">assumptions, behavior = decode_continuous_parameters(result.x, base_assumptions)</w:t>
      </w:r>
      <w:r>
        <w:t xml:space="preserve"> </w:t>
      </w:r>
      <w:r>
        <w:t xml:space="preserve">simulation = dynamic.simulate_dynamic_model(event_df, assumptions, behavior)</w:t>
      </w:r>
      <w:r>
        <w:t xml:space="preserve"> </w:t>
      </w:r>
      <w:r>
        <w:t xml:space="preserve">metrics = evaluate_simulation(simulation)</w:t>
      </w:r>
      <w:r>
        <w:t xml:space="preserve"> </w:t>
      </w:r>
      <w:r>
        <w:rPr>
          <w:rFonts w:hint="eastAsia"/>
        </w:rPr>
        <w:t xml:space="preserve">metrics["局部精修目标值"]</w:t>
      </w:r>
      <w:r>
        <w:t xml:space="preserve"> = float(result.fun)</w:t>
      </w:r>
      <w:r>
        <w:t xml:space="preserve"> </w:t>
      </w:r>
      <w:r>
        <w:t xml:space="preserve">return assumptions, behavior, simulation, metrics</w:t>
      </w:r>
    </w:p>
    <w:p>
      <w:pPr>
        <w:pStyle w:val="BodyText"/>
      </w:pPr>
      <w:r>
        <w:t xml:space="preserve">def calibrate(event_df, base_assumptions):</w:t>
      </w:r>
      <w:r>
        <w:t xml:space="preserve"> </w:t>
      </w:r>
      <w:r>
        <w:t xml:space="preserve">rows, simulations = [],</w:t>
      </w:r>
      <w:r>
        <w:t xml:space="preserve"> </w:t>
      </w:r>
      <w:r>
        <w:t xml:space="preserve">for candidate_id, (assumptions, behavior) in enumerate(sampled_parameter_sets(base_assumptions)):</w:t>
      </w:r>
      <w:r>
        <w:t xml:space="preserve"> </w:t>
      </w:r>
      <w:r>
        <w:t xml:space="preserve">simulation = dynamic.simulate_dynamic_model(event_df, assumptions, behavior)</w:t>
      </w:r>
      <w:r>
        <w:t xml:space="preserve"> </w:t>
      </w:r>
      <w:r>
        <w:t xml:space="preserve">metrics = evaluate_simulation(simulation)</w:t>
      </w:r>
      <w:r>
        <w:t xml:space="preserve"> </w:t>
      </w:r>
      <w:r>
        <w:t xml:space="preserve">rows.append(</w:t>
      </w:r>
      <w:r>
        <w:t xml:space="preserve">"candidate_id": candidate_id, "candidate_source": "seeded_random",</w:t>
      </w:r>
      <w:r>
        <w:t xml:space="preserve"> </w:t>
      </w:r>
      <w:r>
        <w:t xml:space="preserve">**metrics</w:t>
      </w:r>
      <w:r>
        <w:t xml:space="preserve">)</w:t>
      </w:r>
      <w:r>
        <w:t xml:space="preserve"> </w:t>
      </w:r>
      <w:r>
        <w:t xml:space="preserve">simulations[candidate_id] = simulation</w:t>
      </w:r>
    </w:p>
    <w:p>
      <w:pPr>
        <w:pStyle w:val="BodyText"/>
      </w:pPr>
      <w:r>
        <w:t xml:space="preserve"># </w:t>
      </w:r>
      <w:r>
        <w:rPr>
          <w:rFonts w:hint="eastAsia"/>
        </w:rPr>
        <w:t xml:space="preserve">在随机搜索基础上继续做连续精修、局部稳健性搜索和拟合质量精修</w:t>
      </w:r>
      <w:r>
        <w:t xml:space="preserve"> </w:t>
      </w:r>
      <w:r>
        <w:t xml:space="preserve">refined = refine_with_continuous_search(event_df, base_assumptions)</w:t>
      </w:r>
      <w:r>
        <w:t xml:space="preserve"> </w:t>
      </w:r>
      <w:r>
        <w:t xml:space="preserve">stable = refine_with_local_stability_search(event_df, base_assumptions,</w:t>
      </w:r>
      <w:r>
        <w:t xml:space="preserve"> </w:t>
      </w:r>
      <w:r>
        <w:t xml:space="preserve">refined[0], refined[1])</w:t>
      </w:r>
      <w:r>
        <w:t xml:space="preserve"> </w:t>
      </w:r>
      <w:r>
        <w:t xml:space="preserve">final = refine_with_fit_quality_search(event_df, base_assumptions,</w:t>
      </w:r>
      <w:r>
        <w:t xml:space="preserve"> </w:t>
      </w:r>
      <w:r>
        <w:t xml:space="preserve">stable[0], stable[1])</w:t>
      </w:r>
      <w:r>
        <w:t xml:space="preserve"> </w:t>
      </w:r>
      <w:r>
        <w:t xml:space="preserve">return select_representative_candidates(rows, simulations, final)</w:t>
      </w:r>
    </w:p>
    <w:bookmarkEnd w:id="200"/>
    <w:bookmarkStart w:id="201" w:name="e-中长期油价调节模型递推与政策缓冲"/>
    <w:p>
      <w:pPr>
        <w:pStyle w:val="Heading2"/>
      </w:pPr>
      <w:r>
        <w:t xml:space="preserve">E </w:t>
      </w:r>
      <w:r>
        <w:rPr>
          <w:rFonts w:hint="eastAsia"/>
        </w:rPr>
        <w:t xml:space="preserve">中长期油价调节模型递推与政策缓冲</w:t>
      </w:r>
    </w:p>
    <w:p>
      <w:pPr>
        <w:pStyle w:val="FirstParagraph"/>
      </w:pPr>
      <w:r>
        <w:rPr>
          <w:rFonts w:hint="eastAsia"/>
        </w:rPr>
        <w:t xml:space="preserve">代码</w:t>
      </w:r>
      <w:r>
        <w:t xml:space="preserve"> </w:t>
      </w:r>
      <w:hyperlink w:anchor="lst:future-recursion">
        <w:r>
          <w:rPr>
            <w:rStyle w:val="Hyperlink"/>
          </w:rPr>
          <w:t xml:space="preserve">[lst:future-recursion]</w:t>
        </w:r>
      </w:hyperlink>
      <w:r>
        <w:t xml:space="preserve"> </w:t>
      </w:r>
      <w:r>
        <w:rPr>
          <w:rFonts w:hint="eastAsia"/>
        </w:rPr>
        <w:t xml:space="preserve">展示长期外推中</w:t>
      </w:r>
      <w:r>
        <w:t xml:space="preserve"> SPR </w:t>
      </w:r>
      <w:r>
        <w:rPr>
          <w:rFonts w:hint="eastAsia"/>
        </w:rPr>
        <w:t xml:space="preserve">自适应释放与供需再平衡的处理。该模块避免把战略储备释放机械设为满额，而是根据剩余缺口、价格压力和时间衰减动态收缩释放强度。</w:t>
      </w:r>
    </w:p>
    <w:p>
      <w:pPr>
        <w:pStyle w:val="BodyText"/>
      </w:pPr>
      <w:r>
        <w:t xml:space="preserve">lst:future-recursion</w:t>
      </w:r>
      <w:r>
        <w:t xml:space="preserve">python</w:t>
      </w:r>
      <w:r>
        <w:rPr>
          <w:rFonts w:hint="eastAsia"/>
        </w:rPr>
        <w:t xml:space="preserve">中长期油价调节模型中的</w:t>
      </w:r>
      <w:r>
        <w:t xml:space="preserve"> SPR </w:t>
      </w:r>
      <w:r>
        <w:rPr>
          <w:rFonts w:hint="eastAsia"/>
        </w:rPr>
        <w:t xml:space="preserve">自适应释放</w:t>
      </w:r>
      <w:r>
        <w:t xml:space="preserve"> </w:t>
      </w:r>
      <w:r>
        <w:t xml:space="preserve">def adaptive_spr_release(day_index, scheduled_spr, gross_gap_before_spr,</w:t>
      </w:r>
      <w:r>
        <w:t xml:space="preserve"> </w:t>
      </w:r>
      <w:r>
        <w:t xml:space="preserve">previous_price, base_price, assumptions):</w:t>
      </w:r>
      <w:r>
        <w:t xml:space="preserve"> </w:t>
      </w:r>
      <w:r>
        <w:t xml:space="preserve">if scheduled_spr &lt;= 0:</w:t>
      </w:r>
      <w:r>
        <w:t xml:space="preserve"> </w:t>
      </w:r>
      <w:r>
        <w:t xml:space="preserve">return 0.0, 0.0</w:t>
      </w:r>
    </w:p>
    <w:p>
      <w:pPr>
        <w:pStyle w:val="BodyText"/>
      </w:pPr>
      <w:r>
        <w:t xml:space="preserve"># </w:t>
      </w:r>
      <w:r>
        <w:rPr>
          <w:rFonts w:hint="eastAsia"/>
        </w:rPr>
        <w:t xml:space="preserve">当物理缺口已基本覆盖时，SPR</w:t>
      </w:r>
      <w:r>
        <w:t xml:space="preserve"> </w:t>
      </w:r>
      <w:r>
        <w:rPr>
          <w:rFonts w:hint="eastAsia"/>
        </w:rPr>
        <w:t xml:space="preserve">不再机械满额释放</w:t>
      </w:r>
      <w:r>
        <w:t xml:space="preserve"> </w:t>
      </w:r>
      <w:r>
        <w:t xml:space="preserve">reserve_buffer = assumptions.base_demand * GAP_CLOSURE_SHARE</w:t>
      </w:r>
      <w:r>
        <w:t xml:space="preserve"> </w:t>
      </w:r>
      <w:r>
        <w:t xml:space="preserve">coverage_need = max(gross_gap_before_spr + reserve_buffer, 0.0)</w:t>
      </w:r>
      <w:r>
        <w:t xml:space="preserve"> </w:t>
      </w:r>
      <w:r>
        <w:t xml:space="preserve">demand_based_release = min(scheduled_spr, coverage_need)</w:t>
      </w:r>
    </w:p>
    <w:p>
      <w:pPr>
        <w:pStyle w:val="BodyText"/>
      </w:pPr>
      <w:r>
        <w:t xml:space="preserve">stress_ratio = np.clip(gross_gap_before_spr / max(assumptions.supply_interruption, 1.0),</w:t>
      </w:r>
      <w:r>
        <w:t xml:space="preserve"> </w:t>
      </w:r>
      <w:r>
        <w:t xml:space="preserve">0.0, 1.0)</w:t>
      </w:r>
      <w:r>
        <w:t xml:space="preserve"> </w:t>
      </w:r>
      <w:r>
        <w:t xml:space="preserve">price_stress = np.clip((previous_price / base_price - SPR_PRICE_STRESS_START_RATIO)</w:t>
      </w:r>
      <w:r>
        <w:t xml:space="preserve"> </w:t>
      </w:r>
      <w:r>
        <w:t xml:space="preserve">/ SPR_PRICE_STRESS_WIDTH, 0.0, 1.0)</w:t>
      </w:r>
      <w:r>
        <w:t xml:space="preserve"> </w:t>
      </w:r>
      <w:r>
        <w:t xml:space="preserve">minimum_policy_share = SPR_MIN_POLICY_SHARE + SPR_PRICE_POLICY_SHARE * price_stress</w:t>
      </w:r>
      <w:r>
        <w:t xml:space="preserve"> </w:t>
      </w:r>
      <w:r>
        <w:t xml:space="preserve">stress_share = max(minimum_policy_share, stress_ratio)</w:t>
      </w:r>
    </w:p>
    <w:p>
      <w:pPr>
        <w:pStyle w:val="BodyText"/>
      </w:pPr>
      <w:r>
        <w:t xml:space="preserve">time_taper = 1.0</w:t>
      </w:r>
      <w:r>
        <w:t xml:space="preserve"> </w:t>
      </w:r>
      <w:r>
        <w:t xml:space="preserve">if day_index &gt; SPR_TAPER_START_DAY:</w:t>
      </w:r>
      <w:r>
        <w:t xml:space="preserve"> </w:t>
      </w:r>
      <w:r>
        <w:t xml:space="preserve">time_taper = SPR_TAPER_FLOOR + (1 - SPR_TAPER_FLOOR) * np.exp(</w:t>
      </w:r>
      <w:r>
        <w:t xml:space="preserve"> </w:t>
      </w:r>
      <w:r>
        <w:t xml:space="preserve">-(day_index - SPR_TAPER_START_DAY) / SPR_TAPER_DECAY_DAYS</w:t>
      </w:r>
      <w:r>
        <w:t xml:space="preserve"> </w:t>
      </w:r>
      <w:r>
        <w:t xml:space="preserve">)</w:t>
      </w:r>
    </w:p>
    <w:p>
      <w:pPr>
        <w:pStyle w:val="BodyText"/>
      </w:pPr>
      <w:r>
        <w:t xml:space="preserve">actual_release = max(demand_based_release, scheduled_spr * stress_share * time_taper)</w:t>
      </w:r>
      <w:r>
        <w:t xml:space="preserve"> </w:t>
      </w:r>
      <w:r>
        <w:t xml:space="preserve">actual_release = float(min(scheduled_spr, actual_release))</w:t>
      </w:r>
      <w:r>
        <w:t xml:space="preserve"> </w:t>
      </w:r>
      <w:r>
        <w:t xml:space="preserve">return actual_release, actual_release / scheduled_spr</w:t>
      </w:r>
    </w:p>
    <w:bookmarkEnd w:id="201"/>
    <w:bookmarkStart w:id="202" w:name="f-长期状态转移递推"/>
    <w:p>
      <w:pPr>
        <w:pStyle w:val="Heading2"/>
      </w:pPr>
      <w:r>
        <w:t xml:space="preserve">F </w:t>
      </w:r>
      <w:r>
        <w:rPr>
          <w:rFonts w:hint="eastAsia"/>
        </w:rPr>
        <w:t xml:space="preserve">长期状态转移递推</w:t>
      </w:r>
    </w:p>
    <w:p>
      <w:pPr>
        <w:pStyle w:val="FirstParagraph"/>
      </w:pPr>
      <w:r>
        <w:rPr>
          <w:rFonts w:hint="eastAsia"/>
        </w:rPr>
        <w:t xml:space="preserve">代码</w:t>
      </w:r>
      <w:r>
        <w:t xml:space="preserve"> </w:t>
      </w:r>
      <w:hyperlink w:anchor="lst:state-transition-probability">
        <w:r>
          <w:rPr>
            <w:rStyle w:val="Hyperlink"/>
          </w:rPr>
          <w:t xml:space="preserve">[lst:state-transition-probability]</w:t>
        </w:r>
      </w:hyperlink>
      <w:r>
        <w:t xml:space="preserve"> </w:t>
      </w:r>
      <w:r>
        <w:rPr>
          <w:rFonts w:hint="eastAsia"/>
        </w:rPr>
        <w:t xml:space="preserve">展示长期预测中状态转移概率的递推方式。基础矩阵先给出缓和、维持、升级三类状态之间的常规切换概率，再由</w:t>
      </w:r>
      <w:r>
        <w:t xml:space="preserve"> GPR </w:t>
      </w:r>
      <w:r>
        <w:rPr>
          <w:rFonts w:hint="eastAsia"/>
        </w:rPr>
        <w:t xml:space="preserve">和</w:t>
      </w:r>
      <w:r>
        <w:t xml:space="preserve"> OVX </w:t>
      </w:r>
      <w:r>
        <w:rPr>
          <w:rFonts w:hint="eastAsia"/>
        </w:rPr>
        <w:t xml:space="preserve">形成的综合风险压力对升级概率进行温和修正，并在后期加入风险缓和项。</w:t>
      </w:r>
    </w:p>
    <w:p>
      <w:pPr>
        <w:pStyle w:val="BodyText"/>
      </w:pPr>
      <w:r>
        <w:t xml:space="preserve">lst:state-transition-probability</w:t>
      </w:r>
      <w:r>
        <w:t xml:space="preserve">python</w:t>
      </w:r>
      <w:r>
        <w:rPr>
          <w:rFonts w:hint="eastAsia"/>
        </w:rPr>
        <w:t xml:space="preserve">长期状态转移概率递推</w:t>
      </w:r>
      <w:r>
        <w:t xml:space="preserve"> </w:t>
      </w:r>
      <w:r>
        <w:t xml:space="preserve">def transition_probabilities(current_state, day_index, risk_constraints):</w:t>
      </w:r>
      <w:r>
        <w:t xml:space="preserve"> </w:t>
      </w:r>
      <w:r>
        <w:t xml:space="preserve">probs = TRANSITION_MATRIX[STATE_INDEX[current_state]].copy()</w:t>
      </w:r>
    </w:p>
    <w:p>
      <w:pPr>
        <w:pStyle w:val="BodyText"/>
      </w:pPr>
      <w:r>
        <w:t xml:space="preserve"># GPR/OVX </w:t>
      </w:r>
      <w:r>
        <w:rPr>
          <w:rFonts w:hint="eastAsia"/>
        </w:rPr>
        <w:t xml:space="preserve">风险主要影响外推早中期；随封锁持续和缓冲证据积累而衰减</w:t>
      </w:r>
      <w:r>
        <w:t xml:space="preserve"> </w:t>
      </w:r>
      <w:r>
        <w:t xml:space="preserve">early_risk_decay = np.clip(1.0 - max(day_index - 60, 0) / 140.0,</w:t>
      </w:r>
      <w:r>
        <w:t xml:space="preserve"> </w:t>
      </w:r>
      <w:r>
        <w:t xml:space="preserve">0.18, 1.0)</w:t>
      </w:r>
      <w:r>
        <w:t xml:space="preserve"> </w:t>
      </w:r>
      <w:r>
        <w:t xml:space="preserve">risk_shift = risk_constraints.combined_pressure * early_risk_decay</w:t>
      </w:r>
      <w:r>
        <w:t xml:space="preserve"> </w:t>
      </w:r>
      <w:r>
        <w:t xml:space="preserve">probs[STATE_INDEX["escalation"]] += 0.020 * risk_shift</w:t>
      </w:r>
      <w:r>
        <w:t xml:space="preserve"> </w:t>
      </w:r>
      <w:r>
        <w:t xml:space="preserve">probs[STATE_INDEX["easing"]] -= 0.014 * risk_shift</w:t>
      </w:r>
    </w:p>
    <w:p>
      <w:pPr>
        <w:pStyle w:val="BodyText"/>
      </w:pPr>
      <w:r>
        <w:t xml:space="preserve">if current_state == "escalation":</w:t>
      </w:r>
      <w:r>
        <w:t xml:space="preserve"> </w:t>
      </w:r>
      <w:r>
        <w:t xml:space="preserve">probs[STATE_INDEX["escalation"]] += 0.010 * risk_shift</w:t>
      </w:r>
      <w:r>
        <w:t xml:space="preserve"> </w:t>
      </w:r>
      <w:r>
        <w:t xml:space="preserve">probs[STATE_INDEX["neutral"]] -= 0.004 * risk_shift</w:t>
      </w:r>
      <w:r>
        <w:t xml:space="preserve"> </w:t>
      </w:r>
      <w:r>
        <w:t xml:space="preserve">elif current_state == "easing":</w:t>
      </w:r>
      <w:r>
        <w:t xml:space="preserve"> </w:t>
      </w:r>
      <w:r>
        <w:t xml:space="preserve">probs[STATE_INDEX["neutral"]] += 0.006 * risk_shift</w:t>
      </w:r>
    </w:p>
    <w:p>
      <w:pPr>
        <w:pStyle w:val="BodyText"/>
      </w:pPr>
      <w:r>
        <w:t xml:space="preserve"># </w:t>
      </w:r>
      <w:r>
        <w:rPr>
          <w:rFonts w:hint="eastAsia"/>
        </w:rPr>
        <w:t xml:space="preserve">后期政策缓冲和替代运输逐渐被市场确认，状态概率向缓和侧移动</w:t>
      </w:r>
      <w:r>
        <w:t xml:space="preserve"> </w:t>
      </w:r>
      <w:r>
        <w:t xml:space="preserve">if day_index &gt;= 120:</w:t>
      </w:r>
      <w:r>
        <w:t xml:space="preserve"> </w:t>
      </w:r>
      <w:r>
        <w:t xml:space="preserve">probs[STATE_INDEX["easing"]] += 0.04</w:t>
      </w:r>
      <w:r>
        <w:t xml:space="preserve"> </w:t>
      </w:r>
      <w:r>
        <w:t xml:space="preserve">probs[STATE_INDEX["escalation"]] -= 0.04</w:t>
      </w:r>
      <w:r>
        <w:t xml:space="preserve"> </w:t>
      </w:r>
      <w:r>
        <w:t xml:space="preserve">if day_index &gt;= 150:</w:t>
      </w:r>
      <w:r>
        <w:t xml:space="preserve"> </w:t>
      </w:r>
      <w:r>
        <w:t xml:space="preserve">probs[STATE_INDEX["easing"]] += 0.03</w:t>
      </w:r>
      <w:r>
        <w:t xml:space="preserve"> </w:t>
      </w:r>
      <w:r>
        <w:t xml:space="preserve">probs[STATE_INDEX["neutral"]] -= 0.02</w:t>
      </w:r>
      <w:r>
        <w:t xml:space="preserve"> </w:t>
      </w:r>
      <w:r>
        <w:t xml:space="preserve">probs[STATE_INDEX["escalation"]] -= 0.01</w:t>
      </w:r>
    </w:p>
    <w:p>
      <w:pPr>
        <w:pStyle w:val="BodyText"/>
      </w:pPr>
      <w:r>
        <w:t xml:space="preserve">probs = np.clip(probs, 0.01, 0.98)</w:t>
      </w:r>
      <w:r>
        <w:t xml:space="preserve"> </w:t>
      </w:r>
      <w:r>
        <w:t xml:space="preserve">return probs / probs.sum()</w:t>
      </w:r>
    </w:p>
    <w:p>
      <w:pPr>
        <w:pStyle w:val="BodyText"/>
      </w:pPr>
      <w:r>
        <w:rPr>
          <w:rFonts w:hint="eastAsia"/>
        </w:rPr>
        <w:t xml:space="preserve">代码</w:t>
      </w:r>
      <w:r>
        <w:t xml:space="preserve"> </w:t>
      </w:r>
      <w:hyperlink w:anchor="lst:state-transition-path">
        <w:r>
          <w:rPr>
            <w:rStyle w:val="Hyperlink"/>
          </w:rPr>
          <w:t xml:space="preserve">[lst:state-transition-path]</w:t>
        </w:r>
      </w:hyperlink>
      <w:r>
        <w:t xml:space="preserve"> </w:t>
      </w:r>
      <w:r>
        <w:rPr>
          <w:rFonts w:hint="eastAsia"/>
        </w:rPr>
        <w:t xml:space="preserve">展示状态转移路径的价格递推。每条样本路径先抽取下一期市场状态，再根据状态选择对应中心情景，并叠加历史波动率约束下的扰动和状态切换跳跃，由此得到长期条件区间和尾部风险。</w:t>
      </w:r>
    </w:p>
    <w:p>
      <w:pPr>
        <w:pStyle w:val="BodyText"/>
      </w:pPr>
      <w:r>
        <w:t xml:space="preserve">lst:state-transition-path</w:t>
      </w:r>
      <w:r>
        <w:t xml:space="preserve">python</w:t>
      </w:r>
      <w:r>
        <w:rPr>
          <w:rFonts w:hint="eastAsia"/>
        </w:rPr>
        <w:t xml:space="preserve">状态转移路径价格递推</w:t>
      </w:r>
      <w:r>
        <w:t xml:space="preserve"> </w:t>
      </w:r>
      <w:r>
        <w:t xml:space="preserve">def simulate_path(rng, sample_id, centers, start_price, daily_sigma,</w:t>
      </w:r>
      <w:r>
        <w:t xml:space="preserve"> </w:t>
      </w:r>
      <w:r>
        <w:t xml:space="preserve">transition_jump_sigma_scale, risk_constraints):</w:t>
      </w:r>
      <w:r>
        <w:t xml:space="preserve"> </w:t>
      </w:r>
      <w:r>
        <w:t xml:space="preserve">state = "neutral"</w:t>
      </w:r>
      <w:r>
        <w:t xml:space="preserve"> </w:t>
      </w:r>
      <w:r>
        <w:t xml:space="preserve">previous_price = start_price</w:t>
      </w:r>
      <w:r>
        <w:t xml:space="preserve"> </w:t>
      </w:r>
      <w:r>
        <w:t xml:space="preserve">previous_noise = 0.0</w:t>
      </w:r>
      <w:r>
        <w:t xml:space="preserve"> </w:t>
      </w:r>
      <w:r>
        <w:t xml:space="preserve">rows = []</w:t>
      </w:r>
      <w:r>
        <w:t xml:space="preserve"> </w:t>
      </w:r>
      <w:r>
        <w:t xml:space="preserve">dates = centers["neutral"][["day_index", "trade_date"]]</w:t>
      </w:r>
    </w:p>
    <w:p>
      <w:pPr>
        <w:pStyle w:val="BodyText"/>
      </w:pPr>
      <w:r>
        <w:t xml:space="preserve">for _, base_row in dates.iterrows():</w:t>
      </w:r>
      <w:r>
        <w:t xml:space="preserve"> </w:t>
      </w:r>
      <w:r>
        <w:t xml:space="preserve">day_index = int(base_row["day_index"])</w:t>
      </w:r>
      <w:r>
        <w:t xml:space="preserve"> </w:t>
      </w:r>
      <w:r>
        <w:t xml:space="preserve">next_state = sample_next_state(rng, state, day_index, risk_constraints)</w:t>
      </w:r>
      <w:r>
        <w:t xml:space="preserve"> </w:t>
      </w:r>
      <w:r>
        <w:t xml:space="preserve">spec = STATES[STATE_INDEX[next_state]]</w:t>
      </w:r>
      <w:r>
        <w:t xml:space="preserve"> </w:t>
      </w:r>
      <w:r>
        <w:t xml:space="preserve">center_row = centers[spec.center_scenario]</w:t>
      </w:r>
      <w:r>
        <w:t xml:space="preserve"> </w:t>
      </w:r>
      <w:r>
        <w:t xml:space="preserve">target_price = float(center_row.loc[</w:t>
      </w:r>
      <w:r>
        <w:t xml:space="preserve"> </w:t>
      </w:r>
      <w:r>
        <w:t xml:space="preserve">center_row["day_index"] == day_index, "forecast_price"</w:t>
      </w:r>
      <w:r>
        <w:t xml:space="preserve"> </w:t>
      </w:r>
      <w:r>
        <w:t xml:space="preserve">].iloc[0])</w:t>
      </w:r>
    </w:p>
    <w:p>
      <w:pPr>
        <w:pStyle w:val="BodyText"/>
      </w:pPr>
      <w:r>
        <w:t xml:space="preserve">noise_scale = max(previous_price * daily_sigma</w:t>
      </w:r>
      <w:r>
        <w:t xml:space="preserve"> </w:t>
      </w:r>
      <w:r>
        <w:t xml:space="preserve">* spec.volatility_multiplier, 0.15)</w:t>
      </w:r>
      <w:r>
        <w:t xml:space="preserve"> </w:t>
      </w:r>
      <w:r>
        <w:t xml:space="preserve">innovation = rng.normal(0.0, noise_scale)</w:t>
      </w:r>
      <w:r>
        <w:t xml:space="preserve"> </w:t>
      </w:r>
      <w:r>
        <w:t xml:space="preserve">previous_noise = 0.30 * previous_noise + innovation</w:t>
      </w:r>
      <w:r>
        <w:t xml:space="preserve"> </w:t>
      </w:r>
      <w:r>
        <w:t xml:space="preserve">transition_jump = 0.0</w:t>
      </w:r>
      <w:r>
        <w:t xml:space="preserve"> </w:t>
      </w:r>
      <w:r>
        <w:t xml:space="preserve">if next_state != state:</w:t>
      </w:r>
      <w:r>
        <w:t xml:space="preserve"> </w:t>
      </w:r>
      <w:r>
        <w:t xml:space="preserve">transition_jump = rng.normal(spec.transition_jump_mean,</w:t>
      </w:r>
      <w:r>
        <w:t xml:space="preserve"> </w:t>
      </w:r>
      <w:r>
        <w:t xml:space="preserve">spec.transition_jump_sigma</w:t>
      </w:r>
      <w:r>
        <w:t xml:space="preserve"> </w:t>
      </w:r>
      <w:r>
        <w:t xml:space="preserve">* transition_jump_sigma_scale)</w:t>
      </w:r>
    </w:p>
    <w:p>
      <w:pPr>
        <w:pStyle w:val="BodyText"/>
      </w:pPr>
      <w:r>
        <w:t xml:space="preserve">price = 0.82 * previous_price + 0.18 * target_price</w:t>
      </w:r>
      <w:r>
        <w:t xml:space="preserve"> </w:t>
      </w:r>
      <w:r>
        <w:t xml:space="preserve">price = np.clip(price + previous_noise + transition_jump, 70.0, 145.0)</w:t>
      </w:r>
      <w:r>
        <w:t xml:space="preserve"> </w:t>
      </w:r>
      <w:r>
        <w:t xml:space="preserve">rows.append(</w:t>
      </w:r>
      <w:r>
        <w:t xml:space="preserve">"sample_id": sample_id, "day_index": day_index,</w:t>
      </w:r>
      <w:r>
        <w:t xml:space="preserve"> </w:t>
      </w:r>
      <w:r>
        <w:t xml:space="preserve">"trade_date": base_row["trade_date"], </w:t>
      </w:r>
      <w:r>
        <w:rPr>
          <w:rFonts w:hint="eastAsia"/>
        </w:rPr>
        <w:t xml:space="preserve">"状态":</w:t>
      </w:r>
      <w:r>
        <w:t xml:space="preserve"> spec.label,</w:t>
      </w:r>
      <w:r>
        <w:t xml:space="preserve"> </w:t>
      </w:r>
      <w:r>
        <w:t xml:space="preserve">"forecast_price": price</w:t>
      </w:r>
      <w:r>
        <w:t xml:space="preserve">)</w:t>
      </w:r>
      <w:r>
        <w:t xml:space="preserve"> </w:t>
      </w:r>
      <w:r>
        <w:t xml:space="preserve">state = next_state</w:t>
      </w:r>
      <w:r>
        <w:t xml:space="preserve"> </w:t>
      </w:r>
      <w:r>
        <w:t xml:space="preserve">previous_price = price</w:t>
      </w:r>
    </w:p>
    <w:p>
      <w:pPr>
        <w:pStyle w:val="BodyText"/>
      </w:pPr>
      <w:r>
        <w:t xml:space="preserve">return pd.DataFrame(rows)</w:t>
      </w:r>
    </w:p>
    <w:bookmarkEnd w:id="202"/>
    <w:bookmarkStart w:id="203" w:name="g-蒙特卡洛情景预测"/>
    <w:p>
      <w:pPr>
        <w:pStyle w:val="Heading2"/>
      </w:pPr>
      <w:r>
        <w:t xml:space="preserve">G </w:t>
      </w:r>
      <w:r>
        <w:rPr>
          <w:rFonts w:hint="eastAsia"/>
        </w:rPr>
        <w:t xml:space="preserve">蒙特卡洛情景预测</w:t>
      </w:r>
    </w:p>
    <w:p>
      <w:pPr>
        <w:pStyle w:val="FirstParagraph"/>
      </w:pPr>
      <w:r>
        <w:rPr>
          <w:rFonts w:hint="eastAsia"/>
        </w:rPr>
        <w:t xml:space="preserve">代码</w:t>
      </w:r>
      <w:r>
        <w:t xml:space="preserve"> </w:t>
      </w:r>
      <w:hyperlink w:anchor="lst:monte-carlo">
        <w:r>
          <w:rPr>
            <w:rStyle w:val="Hyperlink"/>
          </w:rPr>
          <w:t xml:space="preserve">[lst:monte-carlo]</w:t>
        </w:r>
      </w:hyperlink>
      <w:r>
        <w:t xml:space="preserve"> </w:t>
      </w:r>
      <w:r>
        <w:rPr>
          <w:rFonts w:hint="eastAsia"/>
        </w:rPr>
        <w:t xml:space="preserve">展示长期蒙特卡洛情景树的核心思想。模型以压力指数为主轴，同时扰动供应中断、SPR</w:t>
      </w:r>
      <w:r>
        <w:t xml:space="preserve"> </w:t>
      </w:r>
      <w:r>
        <w:rPr>
          <w:rFonts w:hint="eastAsia"/>
        </w:rPr>
        <w:t xml:space="preserve">释放、绕道能力、需求弹性、风险权重和不确定性溢价，由此得到长期价格区间和尾部风险概率。</w:t>
      </w:r>
    </w:p>
    <w:p>
      <w:pPr>
        <w:pStyle w:val="BodyText"/>
      </w:pPr>
      <w:r>
        <w:t xml:space="preserve">lst:monte-carlo</w:t>
      </w:r>
      <w:r>
        <w:t xml:space="preserve">python</w:t>
      </w:r>
      <w:r>
        <w:rPr>
          <w:rFonts w:hint="eastAsia"/>
        </w:rPr>
        <w:t xml:space="preserve">蒙特卡洛情景树参数抽样</w:t>
      </w:r>
      <w:r>
        <w:t xml:space="preserve"> </w:t>
      </w:r>
      <w:r>
        <w:t xml:space="preserve">def sample_parameters(rng, base_assumptions, base_behavior, historical_factors):</w:t>
      </w:r>
      <w:r>
        <w:t xml:space="preserve"> </w:t>
      </w:r>
      <w:r>
        <w:t xml:space="preserve">raw_stress = float(rng.beta(2.1, 2.3))</w:t>
      </w:r>
      <w:r>
        <w:t xml:space="preserve"> </w:t>
      </w:r>
      <w:r>
        <w:t xml:space="preserve">stress = float(np.clip(raw_stress + rng.normal(</w:t>
      </w:r>
      <w:r>
        <w:t xml:space="preserve"> </w:t>
      </w:r>
      <w:r>
        <w:t xml:space="preserve">0.0, historical_factors.monte_carlo_stress_noise_sigma), 0.0, 1.0))</w:t>
      </w:r>
    </w:p>
    <w:p>
      <w:pPr>
        <w:pStyle w:val="BodyText"/>
      </w:pPr>
      <w:r>
        <w:t xml:space="preserve">supply_interruption = np.clip(1400 + 400 * stress + rng.normal(0, 35), 1400, 1800)</w:t>
      </w:r>
      <w:r>
        <w:t xml:space="preserve"> </w:t>
      </w:r>
      <w:r>
        <w:t xml:space="preserve">spr_max_release = np.clip(700 - 500 * (stress ** 1.08) + rng.normal(0, 30), 200, 700)</w:t>
      </w:r>
      <w:r>
        <w:t xml:space="preserve"> </w:t>
      </w:r>
      <w:r>
        <w:t xml:space="preserve">route_max_capacity = np.clip(360 - 210 * stress + rng.normal(0, 22), 150, 420)</w:t>
      </w:r>
      <w:r>
        <w:t xml:space="preserve"> </w:t>
      </w:r>
      <w:r>
        <w:t xml:space="preserve">long_elasticity = np.clip(-0.35 + 0.25 * stress + rng.normal(0, 0.018),</w:t>
      </w:r>
      <w:r>
        <w:t xml:space="preserve"> </w:t>
      </w:r>
      <w:r>
        <w:t xml:space="preserve">-0.35, -0.10)</w:t>
      </w:r>
    </w:p>
    <w:p>
      <w:pPr>
        <w:pStyle w:val="BodyText"/>
      </w:pPr>
      <w:r>
        <w:t xml:space="preserve">risk_weight = np.clip(base_behavior.risk_weight * (0.74 + 0.62 * stress</w:t>
      </w:r>
      <w:r>
        <w:t xml:space="preserve"> </w:t>
      </w:r>
      <w:r>
        <w:t xml:space="preserve">+ rng.normal(0, 0.06)),</w:t>
      </w:r>
      <w:r>
        <w:t xml:space="preserve"> </w:t>
      </w:r>
      <w:r>
        <w:t xml:space="preserve">1.65, 3.35)</w:t>
      </w:r>
      <w:r>
        <w:t xml:space="preserve"> </w:t>
      </w:r>
      <w:r>
        <w:t xml:space="preserve">uncertainty_scale = 0.64 + 0.78 * stress + rng.normal(0, 0.06)</w:t>
      </w:r>
      <w:r>
        <w:t xml:space="preserve"> </w:t>
      </w:r>
      <w:r>
        <w:t xml:space="preserve">uncertainty_floor = np.clip(base_behavior.uncertainty_floor * uncertainty_scale,</w:t>
      </w:r>
      <w:r>
        <w:t xml:space="preserve"> </w:t>
      </w:r>
      <w:r>
        <w:t xml:space="preserve">0.13, 0.36)</w:t>
      </w:r>
    </w:p>
    <w:p>
      <w:pPr>
        <w:pStyle w:val="BodyText"/>
      </w:pPr>
      <w:r>
        <w:t xml:space="preserve">assumptions = replace(base_assumptions,</w:t>
      </w:r>
      <w:r>
        <w:t xml:space="preserve"> </w:t>
      </w:r>
      <w:r>
        <w:t xml:space="preserve">supply_interruption=supply_interruption,</w:t>
      </w:r>
      <w:r>
        <w:t xml:space="preserve"> </w:t>
      </w:r>
      <w:r>
        <w:t xml:space="preserve">spr_max_release=spr_max_release,</w:t>
      </w:r>
      <w:r>
        <w:t xml:space="preserve"> </w:t>
      </w:r>
      <w:r>
        <w:t xml:space="preserve">route_max_capacity=route_max_capacity,</w:t>
      </w:r>
      <w:r>
        <w:t xml:space="preserve"> </w:t>
      </w:r>
      <w:r>
        <w:t xml:space="preserve">long_elasticity=long_elasticity)</w:t>
      </w:r>
      <w:r>
        <w:t xml:space="preserve"> </w:t>
      </w:r>
      <w:r>
        <w:t xml:space="preserve">behavior = replace(base_behavior,</w:t>
      </w:r>
      <w:r>
        <w:t xml:space="preserve"> </w:t>
      </w:r>
      <w:r>
        <w:t xml:space="preserve">risk_weight=risk_weight,</w:t>
      </w:r>
      <w:r>
        <w:t xml:space="preserve"> </w:t>
      </w:r>
      <w:r>
        <w:t xml:space="preserve">uncertainty_floor=uncertainty_floor)</w:t>
      </w:r>
      <w:r>
        <w:t xml:space="preserve"> </w:t>
      </w:r>
      <w:r>
        <w:t xml:space="preserve">return assumptions, behavior,</w:t>
      </w:r>
      <w:r>
        <w:t xml:space="preserve"> </w:t>
      </w:r>
      <w:r>
        <w:t xml:space="preserve">"stress_index": stress</w:t>
      </w:r>
    </w:p>
    <w:p>
      <w:pPr>
        <w:pStyle w:val="BodyText"/>
      </w:pPr>
      <w:r>
        <w:t xml:space="preserve">def run_monte_carlo(n_samples):</w:t>
      </w:r>
      <w:r>
        <w:t xml:space="preserve"> </w:t>
      </w:r>
      <w:r>
        <w:t xml:space="preserve">forecast_frame, prefix, base_assumptions, base_behavior = load_baseline()</w:t>
      </w:r>
      <w:r>
        <w:t xml:space="preserve"> </w:t>
      </w:r>
      <w:r>
        <w:t xml:space="preserve">historical_factors = load_historical_model_factors()</w:t>
      </w:r>
      <w:r>
        <w:t xml:space="preserve"> </w:t>
      </w:r>
      <w:r>
        <w:t xml:space="preserve">rng = np.random.default_rng(RANDOM_SEED)</w:t>
      </w:r>
      <w:r>
        <w:t xml:space="preserve"> </w:t>
      </w:r>
      <w:r>
        <w:t xml:space="preserve">paths, metric_rows = [], []</w:t>
      </w:r>
    </w:p>
    <w:p>
      <w:pPr>
        <w:pStyle w:val="BodyText"/>
      </w:pPr>
      <w:r>
        <w:t xml:space="preserve">for sample_id in range(1, n_samples + 1):</w:t>
      </w:r>
      <w:r>
        <w:t xml:space="preserve"> </w:t>
      </w:r>
      <w:r>
        <w:t xml:space="preserve">assumptions, behavior, meta = sample_parameters(</w:t>
      </w:r>
      <w:r>
        <w:t xml:space="preserve"> </w:t>
      </w:r>
      <w:r>
        <w:t xml:space="preserve">rng, base_assumptions, base_behavior, historical_factors)</w:t>
      </w:r>
      <w:r>
        <w:t xml:space="preserve"> </w:t>
      </w:r>
      <w:r>
        <w:t xml:space="preserve">path = simulate_one_sample(forecast_frame, prefix, assumptions, behavior)</w:t>
      </w:r>
      <w:r>
        <w:t xml:space="preserve"> </w:t>
      </w:r>
      <w:r>
        <w:t xml:space="preserve">paths.append(path)</w:t>
      </w:r>
      <w:r>
        <w:t xml:space="preserve"> </w:t>
      </w:r>
      <w:r>
        <w:t xml:space="preserve">metric_rows.append(summarize_sample(path, prefix, meta))</w:t>
      </w:r>
    </w:p>
    <w:p>
      <w:pPr>
        <w:pStyle w:val="BodyText"/>
      </w:pPr>
      <w:r>
        <w:t xml:space="preserve">metrics = pd.DataFrame(metric_rows)</w:t>
      </w:r>
      <w:r>
        <w:t xml:space="preserve"> </w:t>
      </w:r>
      <w:r>
        <w:t xml:space="preserve">return metrics, build_quantiles(paths), build_tail_risk(metrics)</w:t>
      </w:r>
    </w:p>
    <w:bookmarkEnd w:id="203"/>
    <w:bookmarkStart w:id="204" w:name="h-机制消融与统计检验"/>
    <w:p>
      <w:pPr>
        <w:pStyle w:val="Heading2"/>
      </w:pPr>
      <w:r>
        <w:t xml:space="preserve">H </w:t>
      </w:r>
      <w:r>
        <w:rPr>
          <w:rFonts w:hint="eastAsia"/>
        </w:rPr>
        <w:t xml:space="preserve">机制消融与统计检验</w:t>
      </w:r>
    </w:p>
    <w:p>
      <w:pPr>
        <w:pStyle w:val="FirstParagraph"/>
      </w:pPr>
      <w:r>
        <w:rPr>
          <w:rFonts w:hint="eastAsia"/>
        </w:rPr>
        <w:t xml:space="preserve">代码</w:t>
      </w:r>
      <w:r>
        <w:t xml:space="preserve"> </w:t>
      </w:r>
      <w:hyperlink w:anchor="lst:ablation">
        <w:r>
          <w:rPr>
            <w:rStyle w:val="Hyperlink"/>
          </w:rPr>
          <w:t xml:space="preserve">[lst:ablation]</w:t>
        </w:r>
      </w:hyperlink>
      <w:r>
        <w:t xml:space="preserve"> </w:t>
      </w:r>
      <w:r>
        <w:rPr>
          <w:rFonts w:hint="eastAsia"/>
        </w:rPr>
        <w:t xml:space="preserve">用于逐项关闭模型机制，检验主结论是否依赖某一个单独设定。若去除风险溢价、缓冲折价或预期修复后误差显著上升，则说明这些机制对解释价格平台具有实质贡献。</w:t>
      </w:r>
    </w:p>
    <w:p>
      <w:pPr>
        <w:pStyle w:val="BodyText"/>
      </w:pPr>
      <w:r>
        <w:t xml:space="preserve">lst:ablation</w:t>
      </w:r>
      <w:r>
        <w:t xml:space="preserve">python</w:t>
      </w:r>
      <w:r>
        <w:rPr>
          <w:rFonts w:hint="eastAsia"/>
        </w:rPr>
        <w:t xml:space="preserve">机制消融实验设计</w:t>
      </w:r>
      <w:r>
        <w:t xml:space="preserve"> </w:t>
      </w:r>
      <w:r>
        <w:t xml:space="preserve">VARIANTS = [</w:t>
      </w:r>
      <w:r>
        <w:t xml:space="preserve"> </w:t>
      </w:r>
      <w:r>
        <w:rPr>
          <w:rFonts w:hint="eastAsia"/>
        </w:rPr>
        <w:t xml:space="preserve">("完整统一模型",</w:t>
      </w:r>
      <w:r>
        <w:t xml:space="preserve"> </w:t>
      </w:r>
      <w:r>
        <w:rPr>
          <w:rFonts w:hint="eastAsia"/>
        </w:rPr>
        <w:t xml:space="preserve">"题面物理机制</w:t>
      </w:r>
      <w:r>
        <w:t xml:space="preserve"> + </w:t>
      </w:r>
      <w:r>
        <w:rPr>
          <w:rFonts w:hint="eastAsia"/>
        </w:rPr>
        <w:t xml:space="preserve">市场价格形成机制",</w:t>
      </w:r>
      <w:r>
        <w:t xml:space="preserve"> base_variant),</w:t>
      </w:r>
      <w:r>
        <w:t xml:space="preserve"> </w:t>
      </w:r>
      <w:r>
        <w:rPr>
          <w:rFonts w:hint="eastAsia"/>
        </w:rPr>
        <w:t xml:space="preserve">("去除SPR释放",</w:t>
      </w:r>
      <w:r>
        <w:t xml:space="preserve"> </w:t>
      </w:r>
      <w:r>
        <w:rPr>
          <w:rFonts w:hint="eastAsia"/>
        </w:rPr>
        <w:t xml:space="preserve">"关闭战略石油储备释放",</w:t>
      </w:r>
      <w:r>
        <w:t xml:space="preserve"> no_spr),</w:t>
      </w:r>
      <w:r>
        <w:t xml:space="preserve"> </w:t>
      </w:r>
      <w:r>
        <w:rPr>
          <w:rFonts w:hint="eastAsia"/>
        </w:rPr>
        <w:t xml:space="preserve">("去除商业库存缓冲",</w:t>
      </w:r>
      <w:r>
        <w:t xml:space="preserve"> </w:t>
      </w:r>
      <w:r>
        <w:rPr>
          <w:rFonts w:hint="eastAsia"/>
        </w:rPr>
        <w:t xml:space="preserve">"关闭库存吸收缺口能力",</w:t>
      </w:r>
      <w:r>
        <w:t xml:space="preserve"> no_inventory),</w:t>
      </w:r>
      <w:r>
        <w:t xml:space="preserve"> </w:t>
      </w:r>
      <w:r>
        <w:rPr>
          <w:rFonts w:hint="eastAsia"/>
        </w:rPr>
        <w:t xml:space="preserve">("去除绕道运输",</w:t>
      </w:r>
      <w:r>
        <w:t xml:space="preserve"> </w:t>
      </w:r>
      <w:r>
        <w:rPr>
          <w:rFonts w:hint="eastAsia"/>
        </w:rPr>
        <w:t xml:space="preserve">"关闭绕道运输恢复能力",</w:t>
      </w:r>
      <w:r>
        <w:t xml:space="preserve"> no_reroute),</w:t>
      </w:r>
      <w:r>
        <w:t xml:space="preserve"> </w:t>
      </w:r>
      <w:r>
        <w:rPr>
          <w:rFonts w:hint="eastAsia"/>
        </w:rPr>
        <w:t xml:space="preserve">("去除需求收缩",</w:t>
      </w:r>
      <w:r>
        <w:t xml:space="preserve"> </w:t>
      </w:r>
      <w:r>
        <w:rPr>
          <w:rFonts w:hint="eastAsia"/>
        </w:rPr>
        <w:t xml:space="preserve">"关闭高油价需求下降",</w:t>
      </w:r>
      <w:r>
        <w:t xml:space="preserve"> no_demand_contraction),</w:t>
      </w:r>
      <w:r>
        <w:t xml:space="preserve"> </w:t>
      </w:r>
      <w:r>
        <w:rPr>
          <w:rFonts w:hint="eastAsia"/>
        </w:rPr>
        <w:t xml:space="preserve">("去除风险与不确定性溢价",</w:t>
      </w:r>
      <w:r>
        <w:t xml:space="preserve"> </w:t>
      </w:r>
      <w:r>
        <w:rPr>
          <w:rFonts w:hint="eastAsia"/>
        </w:rPr>
        <w:t xml:space="preserve">"关闭地缘风险和不确定性平台",</w:t>
      </w:r>
      <w:r>
        <w:t xml:space="preserve"> no_risk_uncertainty),</w:t>
      </w:r>
      <w:r>
        <w:t xml:space="preserve"> </w:t>
      </w:r>
      <w:r>
        <w:rPr>
          <w:rFonts w:hint="eastAsia"/>
        </w:rPr>
        <w:t xml:space="preserve">("去除缓冲确认折价",</w:t>
      </w:r>
      <w:r>
        <w:t xml:space="preserve"> </w:t>
      </w:r>
      <w:r>
        <w:rPr>
          <w:rFonts w:hint="eastAsia"/>
        </w:rPr>
        <w:t xml:space="preserve">"关闭市场确认缓冲后的降温",</w:t>
      </w:r>
      <w:r>
        <w:t xml:space="preserve"> no_buffer_confirmation),</w:t>
      </w:r>
      <w:r>
        <w:t xml:space="preserve"> </w:t>
      </w:r>
      <w:r>
        <w:rPr>
          <w:rFonts w:hint="eastAsia"/>
        </w:rPr>
        <w:t xml:space="preserve">("去除预期修复折价",</w:t>
      </w:r>
      <w:r>
        <w:t xml:space="preserve"> </w:t>
      </w:r>
      <w:r>
        <w:rPr>
          <w:rFonts w:hint="eastAsia"/>
        </w:rPr>
        <w:t xml:space="preserve">"关闭中后期预期修复再定价",</w:t>
      </w:r>
      <w:r>
        <w:t xml:space="preserve"> no_expectation_relief),</w:t>
      </w:r>
      <w:r>
        <w:t xml:space="preserve"> </w:t>
      </w:r>
      <w:r>
        <w:t xml:space="preserve">]</w:t>
      </w:r>
    </w:p>
    <w:p>
      <w:pPr>
        <w:pStyle w:val="BodyText"/>
      </w:pPr>
      <w:r>
        <w:t xml:space="preserve">def run_ablation(event_df, base_assumptions, base_behavior):</w:t>
      </w:r>
      <w:r>
        <w:t xml:space="preserve"> </w:t>
      </w:r>
      <w:r>
        <w:t xml:space="preserve">rows = []</w:t>
      </w:r>
      <w:r>
        <w:t xml:space="preserve"> </w:t>
      </w:r>
      <w:r>
        <w:t xml:space="preserve">for name, note, variant_fn in VARIANTS:</w:t>
      </w:r>
      <w:r>
        <w:t xml:space="preserve"> </w:t>
      </w:r>
      <w:r>
        <w:t xml:space="preserve">assumptions, behavior = variant_fn(base_assumptions, base_behavior)</w:t>
      </w:r>
      <w:r>
        <w:t xml:space="preserve"> </w:t>
      </w:r>
      <w:r>
        <w:t xml:space="preserve">simulation = dynamic.simulate_dynamic_model(event_df, assumptions, behavior)</w:t>
      </w:r>
      <w:r>
        <w:t xml:space="preserve"> </w:t>
      </w:r>
      <w:r>
        <w:t xml:space="preserve">metrics = evaluate_simulation(simulation)</w:t>
      </w:r>
      <w:r>
        <w:t xml:space="preserve"> </w:t>
      </w:r>
      <w:r>
        <w:t xml:space="preserve">rows.append(</w:t>
      </w:r>
      <w:r>
        <w:t xml:space="preserve"> </w:t>
      </w:r>
      <w:r>
        <w:rPr>
          <w:rFonts w:hint="eastAsia"/>
        </w:rPr>
        <w:t xml:space="preserve">"消融实验":</w:t>
      </w:r>
      <w:r>
        <w:t xml:space="preserve"> name,</w:t>
      </w:r>
      <w:r>
        <w:t xml:space="preserve"> </w:t>
      </w:r>
      <w:r>
        <w:rPr>
          <w:rFonts w:hint="eastAsia"/>
        </w:rPr>
        <w:t xml:space="preserve">"说明":</w:t>
      </w:r>
      <w:r>
        <w:t xml:space="preserve"> note,</w:t>
      </w:r>
      <w:r>
        <w:t xml:space="preserve"> </w:t>
      </w:r>
      <w:r>
        <w:t xml:space="preserve">"RMSE": metrics["RMSE"],</w:t>
      </w:r>
      <w:r>
        <w:t xml:space="preserve"> </w:t>
      </w:r>
      <w:r>
        <w:t xml:space="preserve">"MAE": metrics["MAE"],</w:t>
      </w:r>
      <w:r>
        <w:t xml:space="preserve"> </w:t>
      </w:r>
      <w:r>
        <w:rPr>
          <w:rFonts w:hint="eastAsia"/>
        </w:rPr>
        <w:t xml:space="preserve">"峰值误差":</w:t>
      </w:r>
      <w:r>
        <w:t xml:space="preserve"> </w:t>
      </w:r>
      <w:r>
        <w:rPr>
          <w:rFonts w:hint="eastAsia"/>
        </w:rPr>
        <w:t xml:space="preserve">metrics["峰值误差"],</w:t>
      </w:r>
      <w:r>
        <w:t xml:space="preserve"> </w:t>
      </w:r>
      <w:r>
        <w:t xml:space="preserve">)</w:t>
      </w:r>
      <w:r>
        <w:t xml:space="preserve"> </w:t>
      </w:r>
      <w:r>
        <w:t xml:space="preserve">return pd.DataFrame(rows)</w:t>
      </w:r>
    </w:p>
    <w:bookmarkEnd w:id="204"/>
    <w:bookmarkStart w:id="205" w:name="i-关键结果核查表"/>
    <w:p>
      <w:pPr>
        <w:pStyle w:val="Heading2"/>
      </w:pPr>
      <w:r>
        <w:t xml:space="preserve">I </w:t>
      </w:r>
      <w:r>
        <w:rPr>
          <w:rFonts w:hint="eastAsia"/>
        </w:rPr>
        <w:t xml:space="preserve">关键结果核查表</w:t>
      </w:r>
    </w:p>
    <w:p>
      <w:pPr>
        <w:pStyle w:val="TableCaption"/>
      </w:pPr>
      <w:r>
        <w:rPr>
          <w:rFonts w:hint="eastAsia"/>
        </w:rPr>
        <w:t xml:space="preserve">附表</w:t>
      </w:r>
      <w:r>
        <w:t xml:space="preserve"> </w:t>
      </w:r>
      <w:r>
        <w:rPr>
          <w:rFonts w:hint="eastAsia"/>
        </w:rPr>
        <w:t xml:space="preserve">1：关键结果核查</w:t>
      </w:r>
    </w:p>
    <w:tbl>
      <w:tblPr>
        <w:tblStyle w:val="Table"/>
        <w:tblW w:type="auto" w:w="0"/>
        <w:tblLook w:firstRow="1" w:lastRow="0" w:firstColumn="0" w:lastColumn="0" w:noHBand="0" w:noVBand="0" w:val="0020"/>
        <w:tblCaption w:val="附表 1：关键结果核查"/>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核查结果</w:t>
            </w:r>
          </w:p>
        </w:tc>
      </w:tr>
      <w:tr>
        <w:tc>
          <w:tcPr/>
          <w:p>
            <w:pPr>
              <w:pStyle w:val="Compact"/>
              <w:jc w:val="left"/>
            </w:pPr>
            <w:r>
              <w:rPr>
                <w:rFonts w:hint="eastAsia"/>
              </w:rPr>
              <w:t xml:space="preserve">真实数据来源</w:t>
            </w:r>
          </w:p>
        </w:tc>
        <w:tc>
          <w:tcPr/>
          <w:p>
            <w:pPr>
              <w:pStyle w:val="Compact"/>
              <w:jc w:val="left"/>
            </w:pPr>
            <w:r>
              <w:rPr>
                <w:rFonts w:hint="eastAsia"/>
              </w:rPr>
              <w:t xml:space="preserve">所有真实价格均来自赛题附件</w:t>
            </w:r>
            <w:r>
              <w:t xml:space="preserve"> </w:t>
            </w:r>
            <w:r>
              <w:rPr>
                <w:rFonts w:hint="eastAsia"/>
              </w:rPr>
              <w:t xml:space="preserve">CSV，外部数据只用于合理性校验</w:t>
            </w:r>
          </w:p>
        </w:tc>
      </w:tr>
      <w:tr>
        <w:tc>
          <w:tcPr/>
          <w:p>
            <w:pPr>
              <w:pStyle w:val="Compact"/>
              <w:jc w:val="left"/>
            </w:pPr>
            <w:r>
              <w:rPr>
                <w:rFonts w:hint="eastAsia"/>
              </w:rPr>
              <w:t xml:space="preserve">短期窗口</w:t>
            </w:r>
          </w:p>
        </w:tc>
        <w:tc>
          <w:tcPr/>
          <w:p>
            <w:pPr>
              <w:pStyle w:val="Compact"/>
              <w:jc w:val="left"/>
            </w:pPr>
            <w:r>
              <w:t xml:space="preserve">2026 </w:t>
            </w:r>
            <w:r>
              <w:rPr>
                <w:rFonts w:hint="eastAsia"/>
              </w:rPr>
              <w:t xml:space="preserve">年</w:t>
            </w:r>
            <w:r>
              <w:t xml:space="preserve"> 3 </w:t>
            </w:r>
            <w:r>
              <w:rPr>
                <w:rFonts w:hint="eastAsia"/>
              </w:rPr>
              <w:t xml:space="preserve">月</w:t>
            </w:r>
            <w:r>
              <w:t xml:space="preserve"> 3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日，共</w:t>
            </w:r>
            <w:r>
              <w:t xml:space="preserve"> 46 </w:t>
            </w:r>
            <w:r>
              <w:rPr>
                <w:rFonts w:hint="eastAsia"/>
              </w:rPr>
              <w:t xml:space="preserve">个交易日</w:t>
            </w:r>
          </w:p>
        </w:tc>
      </w:tr>
      <w:tr>
        <w:tc>
          <w:tcPr/>
          <w:p>
            <w:pPr>
              <w:pStyle w:val="Compact"/>
              <w:jc w:val="left"/>
            </w:pPr>
            <w:r>
              <w:rPr>
                <w:rFonts w:hint="eastAsia"/>
              </w:rPr>
              <w:t xml:space="preserve">短期拟合误差</w:t>
            </w:r>
          </w:p>
        </w:tc>
        <w:tc>
          <w:tcPr/>
          <w:p>
            <w:pPr>
              <w:pStyle w:val="Compact"/>
              <w:jc w:val="left"/>
            </w:pPr>
            <w:r>
              <w:t xml:space="preserve">RMSE = 3.38 </w:t>
            </w:r>
            <w:r>
              <w:rPr>
                <w:rFonts w:hint="eastAsia"/>
              </w:rPr>
              <w:t xml:space="preserve">美元/桶，MAE</w:t>
            </w:r>
            <w:r>
              <w:t xml:space="preserve"> = 2.76 </w:t>
            </w:r>
            <w:r>
              <w:rPr>
                <w:rFonts w:hint="eastAsia"/>
              </w:rPr>
              <w:t xml:space="preserve">美元/桶，MAPE</w:t>
            </w:r>
            <w:r>
              <w:t xml:space="preserve"> = 2.76%</w:t>
            </w:r>
          </w:p>
        </w:tc>
      </w:tr>
      <w:tr>
        <w:tc>
          <w:tcPr/>
          <w:p>
            <w:pPr>
              <w:pStyle w:val="Compact"/>
              <w:jc w:val="left"/>
            </w:pPr>
            <w:r>
              <w:rPr>
                <w:rFonts w:hint="eastAsia"/>
              </w:rPr>
              <w:t xml:space="preserve">峰值误差</w:t>
            </w:r>
          </w:p>
        </w:tc>
        <w:tc>
          <w:tcPr/>
          <w:p>
            <w:pPr>
              <w:pStyle w:val="Compact"/>
              <w:jc w:val="left"/>
            </w:pPr>
            <w:r>
              <w:rPr>
                <w:rFonts w:hint="eastAsia"/>
              </w:rPr>
              <w:t xml:space="preserve">模拟峰值</w:t>
            </w:r>
            <w:r>
              <w:t xml:space="preserve"> 110.42 </w:t>
            </w:r>
            <w:r>
              <w:rPr>
                <w:rFonts w:hint="eastAsia"/>
              </w:rPr>
              <w:t xml:space="preserve">美元/桶，实际最高收盘价</w:t>
            </w:r>
            <w:r>
              <w:t xml:space="preserve"> 114.06 </w:t>
            </w:r>
            <w:r>
              <w:rPr>
                <w:rFonts w:hint="eastAsia"/>
              </w:rPr>
              <w:t xml:space="preserve">美元/桶</w:t>
            </w:r>
          </w:p>
        </w:tc>
      </w:tr>
      <w:tr>
        <w:tc>
          <w:tcPr/>
          <w:p>
            <w:pPr>
              <w:pStyle w:val="Compact"/>
              <w:jc w:val="left"/>
            </w:pPr>
            <w:r>
              <w:rPr>
                <w:rFonts w:hint="eastAsia"/>
              </w:rPr>
              <w:t xml:space="preserve">基准对比</w:t>
            </w:r>
          </w:p>
        </w:tc>
        <w:tc>
          <w:tcPr/>
          <w:p>
            <w:pPr>
              <w:pStyle w:val="Compact"/>
              <w:jc w:val="left"/>
            </w:pPr>
            <w:r>
              <w:rPr>
                <w:rFonts w:hint="eastAsia"/>
              </w:rPr>
              <w:t xml:space="preserve">主模型优于朴素上一日基准和滚动</w:t>
            </w:r>
            <w:r>
              <w:t xml:space="preserve"> ARIMA </w:t>
            </w:r>
            <w:r>
              <w:rPr>
                <w:rFonts w:hint="eastAsia"/>
              </w:rPr>
              <w:t xml:space="preserve">基准</w:t>
            </w:r>
          </w:p>
        </w:tc>
      </w:tr>
      <w:tr>
        <w:tc>
          <w:tcPr/>
          <w:p>
            <w:pPr>
              <w:pStyle w:val="Compact"/>
              <w:jc w:val="left"/>
            </w:pPr>
            <w:r>
              <w:rPr>
                <w:rFonts w:hint="eastAsia"/>
              </w:rPr>
              <w:t xml:space="preserve">长期中性结果</w:t>
            </w:r>
          </w:p>
        </w:tc>
        <w:tc>
          <w:tcPr/>
          <w:p>
            <w:pPr>
              <w:pStyle w:val="Compact"/>
              <w:jc w:val="left"/>
            </w:pPr>
            <w:r>
              <w:rPr>
                <w:rFonts w:hint="eastAsia"/>
              </w:rPr>
              <w:t xml:space="preserve">第</w:t>
            </w:r>
            <w:r>
              <w:t xml:space="preserve"> 180 </w:t>
            </w:r>
            <w:r>
              <w:rPr>
                <w:rFonts w:hint="eastAsia"/>
              </w:rPr>
              <w:t xml:space="preserve">天价格约</w:t>
            </w:r>
            <w:r>
              <w:t xml:space="preserve"> 94.15 </w:t>
            </w:r>
            <w:r>
              <w:rPr>
                <w:rFonts w:hint="eastAsia"/>
              </w:rPr>
              <w:t xml:space="preserve">美元/桶</w:t>
            </w:r>
          </w:p>
        </w:tc>
      </w:tr>
      <w:tr>
        <w:tc>
          <w:tcPr/>
          <w:p>
            <w:pPr>
              <w:pStyle w:val="Compact"/>
              <w:jc w:val="left"/>
            </w:pPr>
            <w:r>
              <w:rPr>
                <w:rFonts w:hint="eastAsia"/>
              </w:rPr>
              <w:t xml:space="preserve">长期悲观结果</w:t>
            </w:r>
          </w:p>
        </w:tc>
        <w:tc>
          <w:tcPr/>
          <w:p>
            <w:pPr>
              <w:pStyle w:val="Compact"/>
              <w:jc w:val="left"/>
            </w:pPr>
            <w:r>
              <w:rPr>
                <w:rFonts w:hint="eastAsia"/>
              </w:rPr>
              <w:t xml:space="preserve">第</w:t>
            </w:r>
            <w:r>
              <w:t xml:space="preserve"> 180 </w:t>
            </w:r>
            <w:r>
              <w:rPr>
                <w:rFonts w:hint="eastAsia"/>
              </w:rPr>
              <w:t xml:space="preserve">天价格约</w:t>
            </w:r>
            <w:r>
              <w:t xml:space="preserve"> 110.16 </w:t>
            </w:r>
            <w:r>
              <w:rPr>
                <w:rFonts w:hint="eastAsia"/>
              </w:rPr>
              <w:t xml:space="preserve">美元/桶，外推期保留二次跳涨风险</w:t>
            </w:r>
          </w:p>
        </w:tc>
      </w:tr>
      <w:tr>
        <w:tc>
          <w:tcPr/>
          <w:p>
            <w:pPr>
              <w:pStyle w:val="Compact"/>
              <w:jc w:val="left"/>
            </w:pPr>
            <w:r>
              <w:rPr>
                <w:rFonts w:hint="eastAsia"/>
              </w:rPr>
              <w:t xml:space="preserve">尾部风险</w:t>
            </w:r>
          </w:p>
        </w:tc>
        <w:tc>
          <w:tcPr/>
          <w:p>
            <w:pPr>
              <w:pStyle w:val="Compact"/>
              <w:jc w:val="left"/>
            </w:pPr>
            <w:r>
              <w:rPr>
                <w:rFonts w:hint="eastAsia"/>
              </w:rPr>
              <w:t xml:space="preserve">蒙特卡洛显示外推期最高价突破</w:t>
            </w:r>
            <w:r>
              <w:t xml:space="preserve"> 120 </w:t>
            </w:r>
            <w:r>
              <w:rPr>
                <w:rFonts w:hint="eastAsia"/>
              </w:rPr>
              <w:t xml:space="preserve">美元/桶的条件概率约</w:t>
            </w:r>
            <w:r>
              <w:t xml:space="preserve"> 16.3%</w:t>
            </w:r>
          </w:p>
        </w:tc>
      </w:tr>
      <w:tr>
        <w:tc>
          <w:tcPr/>
          <w:p>
            <w:pPr>
              <w:pStyle w:val="Compact"/>
              <w:jc w:val="left"/>
            </w:pPr>
            <w:r>
              <w:rPr>
                <w:rFonts w:hint="eastAsia"/>
              </w:rPr>
              <w:t xml:space="preserve">最敏感因素</w:t>
            </w:r>
          </w:p>
        </w:tc>
        <w:tc>
          <w:tcPr/>
          <w:p>
            <w:pPr>
              <w:pStyle w:val="Compact"/>
              <w:jc w:val="left"/>
            </w:pPr>
            <w:r>
              <w:rPr>
                <w:rFonts w:hint="eastAsia"/>
              </w:rPr>
              <w:t xml:space="preserve">封锁风险衰减速度、地缘风险权重、不确定性与制度风险强度</w:t>
            </w:r>
          </w:p>
        </w:tc>
      </w:tr>
    </w:tbl>
    <w:bookmarkEnd w:id="205"/>
    <w:bookmarkStart w:id="206" w:name="j-独立计量检验补充"/>
    <w:p>
      <w:pPr>
        <w:pStyle w:val="Heading2"/>
      </w:pPr>
      <w:r>
        <w:t xml:space="preserve">J </w:t>
      </w:r>
      <w:r>
        <w:rPr>
          <w:rFonts w:hint="eastAsia"/>
        </w:rPr>
        <w:t xml:space="preserve">独立计量检验补充</w:t>
      </w:r>
    </w:p>
    <w:p>
      <w:pPr>
        <w:pStyle w:val="FirstParagraph"/>
      </w:pPr>
      <w:r>
        <w:rPr>
          <w:rFonts w:hint="eastAsia"/>
        </w:rPr>
        <w:t xml:space="preserve">代码</w:t>
      </w:r>
      <w:r>
        <w:t xml:space="preserve"> </w:t>
      </w:r>
      <w:hyperlink w:anchor="lst:r-audit">
        <w:r>
          <w:rPr>
            <w:rStyle w:val="Hyperlink"/>
          </w:rPr>
          <w:t xml:space="preserve">[lst:r-audit]</w:t>
        </w:r>
      </w:hyperlink>
      <w:r>
        <w:t xml:space="preserve"> </w:t>
      </w:r>
      <w:r>
        <w:rPr>
          <w:rFonts w:hint="eastAsia"/>
        </w:rPr>
        <w:t xml:space="preserve">给出</w:t>
      </w:r>
      <w:r>
        <w:t xml:space="preserve"> R </w:t>
      </w:r>
      <w:r>
        <w:rPr>
          <w:rFonts w:hint="eastAsia"/>
        </w:rPr>
        <w:t xml:space="preserve">语言独立计量检验的核心逻辑。Python</w:t>
      </w:r>
      <w:r>
        <w:t xml:space="preserve"> </w:t>
      </w:r>
      <w:r>
        <w:rPr>
          <w:rFonts w:hint="eastAsia"/>
        </w:rPr>
        <w:t xml:space="preserve">负责机制递推和情景生成，R</w:t>
      </w:r>
      <w:r>
        <w:t xml:space="preserve"> </w:t>
      </w:r>
      <w:r>
        <w:rPr>
          <w:rFonts w:hint="eastAsia"/>
        </w:rPr>
        <w:t xml:space="preserve">侧用于复核主模型相对朴素基准的误差优势、残差相关性和稳健标准误结果，从而降低单一实现口径带来的偏差风险。</w:t>
      </w:r>
    </w:p>
    <w:p>
      <w:pPr>
        <w:pStyle w:val="BodyText"/>
      </w:pPr>
      <w:r>
        <w:t xml:space="preserve">lst:r-audit</w:t>
      </w:r>
      <w:r>
        <w:t xml:space="preserve">r</w:t>
      </w:r>
      <w:r>
        <w:t xml:space="preserve">R </w:t>
      </w:r>
      <w:r>
        <w:rPr>
          <w:rFonts w:hint="eastAsia"/>
        </w:rPr>
        <w:t xml:space="preserve">语言计量审计核心代码</w:t>
      </w:r>
      <w:r>
        <w:t xml:space="preserve"> </w:t>
      </w:r>
      <w:r>
        <w:t xml:space="preserve">model_df &lt;- read_csv(calibrated_path, show_col_types = FALSE)</w:t>
      </w:r>
      <w:r>
        <w:t xml:space="preserve"> </w:t>
      </w:r>
      <w:r>
        <w:t xml:space="preserve">arrange(trade_date)</w:t>
      </w:r>
      <w:r>
        <w:t xml:space="preserve"> </w:t>
      </w:r>
      <w:r>
        <w:t xml:space="preserve">mutate(</w:t>
      </w:r>
      <w:r>
        <w:t xml:space="preserve"> </w:t>
      </w:r>
      <w:r>
        <w:t xml:space="preserve">naive_forecast = lag(actual_price),</w:t>
      </w:r>
      <w:r>
        <w:t xml:space="preserve"> </w:t>
      </w:r>
      <w:r>
        <w:t xml:space="preserve">model_error = simulated_price - actual_price,</w:t>
      </w:r>
      <w:r>
        <w:t xml:space="preserve"> </w:t>
      </w:r>
      <w:r>
        <w:t xml:space="preserve">naive_error = naive_forecast - actual_price</w:t>
      </w:r>
      <w:r>
        <w:t xml:space="preserve"> </w:t>
      </w:r>
      <w:r>
        <w:t xml:space="preserve">)</w:t>
      </w:r>
      <w:r>
        <w:t xml:space="preserve"> </w:t>
      </w:r>
      <w:r>
        <w:t xml:space="preserve">filter(!is.na(naive_forecast))</w:t>
      </w:r>
    </w:p>
    <w:p>
      <w:pPr>
        <w:pStyle w:val="BodyText"/>
      </w:pPr>
      <w:r>
        <w:t xml:space="preserve">model_error &lt;- model_df</w:t>
      </w:r>
      <m:oMath>
        <m:r>
          <m:t>m</m:t>
        </m:r>
        <m:r>
          <m:t>o</m:t>
        </m:r>
        <m:r>
          <m:t>d</m:t>
        </m:r>
        <m:r>
          <m:t>e</m:t>
        </m:r>
        <m:sSub>
          <m:e>
            <m:r>
              <m:t>l</m:t>
            </m:r>
          </m:e>
          <m:sub>
            <m:r>
              <m:t>e</m:t>
            </m:r>
          </m:sub>
        </m:sSub>
        <m:r>
          <m:t>r</m:t>
        </m:r>
        <m:r>
          <m:t>r</m:t>
        </m:r>
        <m:r>
          <m:t>o</m:t>
        </m:r>
        <m:r>
          <m:t>r</m:t>
        </m:r>
        <m:r>
          <m:t>n</m:t>
        </m:r>
        <m:r>
          <m:t>a</m:t>
        </m:r>
        <m:r>
          <m:t>i</m:t>
        </m:r>
        <m:r>
          <m:t>v</m:t>
        </m:r>
        <m:sSub>
          <m:e>
            <m:r>
              <m:t>e</m:t>
            </m:r>
          </m:e>
          <m:sub>
            <m:r>
              <m:t>e</m:t>
            </m:r>
          </m:sub>
        </m:sSub>
        <m:r>
          <m:t>r</m:t>
        </m:r>
        <m:r>
          <m:t>r</m:t>
        </m:r>
        <m:r>
          <m:t>o</m:t>
        </m:r>
        <m:r>
          <m:t>r</m:t>
        </m:r>
        <m:r>
          <m:rPr>
            <m:sty m:val="p"/>
          </m:rPr>
          <m:t>&lt;</m:t>
        </m:r>
        <m:r>
          <m:rPr>
            <m:sty m:val="p"/>
          </m:rPr>
          <m:t>−</m:t>
        </m:r>
        <m:r>
          <m:t>m</m:t>
        </m:r>
        <m:r>
          <m:t>o</m:t>
        </m:r>
        <m:r>
          <m:t>d</m:t>
        </m:r>
        <m:r>
          <m:t>e</m:t>
        </m:r>
        <m:sSub>
          <m:e>
            <m:r>
              <m:t>l</m:t>
            </m:r>
          </m:e>
          <m:sub>
            <m:r>
              <m:t>d</m:t>
            </m:r>
          </m:sub>
        </m:sSub>
        <m:r>
          <m:t>f</m:t>
        </m:r>
      </m:oMath>
      <w:r>
        <w:t xml:space="preserve">naive_error</w:t>
      </w:r>
    </w:p>
    <w:p>
      <w:pPr>
        <w:pStyle w:val="BodyText"/>
      </w:pPr>
      <w:r>
        <w:t xml:space="preserve"># Diebold-Mariano </w:t>
      </w:r>
      <w:r>
        <w:rPr>
          <w:rFonts w:hint="eastAsia"/>
        </w:rPr>
        <w:t xml:space="preserve">检验：模型损失是否显著低于朴素上一日基准</w:t>
      </w:r>
      <w:r>
        <w:t xml:space="preserve"> </w:t>
      </w:r>
      <w:r>
        <w:t xml:space="preserve">dm_sq &lt;- forecast::dm.test(model_error, naive_error,</w:t>
      </w:r>
      <w:r>
        <w:t xml:space="preserve"> </w:t>
      </w:r>
      <w:r>
        <w:t xml:space="preserve">alternative = "less", h = 1, power = 2)</w:t>
      </w:r>
      <w:r>
        <w:t xml:space="preserve"> </w:t>
      </w:r>
      <w:r>
        <w:t xml:space="preserve">dm_abs &lt;- forecast::dm.test(model_error, naive_error,</w:t>
      </w:r>
      <w:r>
        <w:t xml:space="preserve"> </w:t>
      </w:r>
      <w:r>
        <w:t xml:space="preserve">alternative = "less", h = 1, power = 1)</w:t>
      </w:r>
    </w:p>
    <w:p>
      <w:pPr>
        <w:pStyle w:val="BodyText"/>
      </w:pPr>
      <w:r>
        <w:t xml:space="preserve"># </w:t>
      </w:r>
      <w:r>
        <w:rPr>
          <w:rFonts w:hint="eastAsia"/>
        </w:rPr>
        <w:t xml:space="preserve">校准回归与</w:t>
      </w:r>
      <w:r>
        <w:t xml:space="preserve"> Newey-West </w:t>
      </w:r>
      <w:r>
        <w:rPr>
          <w:rFonts w:hint="eastAsia"/>
        </w:rPr>
        <w:t xml:space="preserve">稳健标准误</w:t>
      </w:r>
      <w:r>
        <w:t xml:space="preserve"> </w:t>
      </w:r>
      <w:r>
        <w:t xml:space="preserve">calibration_lm &lt;- lm(actual_price   simulated_price, data = model_df)</w:t>
      </w:r>
      <w:r>
        <w:t xml:space="preserve"> </w:t>
      </w:r>
      <w:r>
        <w:t xml:space="preserve">calibration_hac &lt;- lmtest::coeftest(</w:t>
      </w:r>
      <w:r>
        <w:t xml:space="preserve"> </w:t>
      </w:r>
      <w:r>
        <w:t xml:space="preserve">calibration_lm,</w:t>
      </w:r>
      <w:r>
        <w:t xml:space="preserve"> </w:t>
      </w:r>
      <w:r>
        <w:t xml:space="preserve">vcov. = sandwich::NeweyWest(calibration_lm, lag = 3,</w:t>
      </w:r>
      <w:r>
        <w:t xml:space="preserve"> </w:t>
      </w:r>
      <w:r>
        <w:t xml:space="preserve">prewhite = FALSE, adjust = TRUE)</w:t>
      </w:r>
      <w:r>
        <w:t xml:space="preserve"> </w:t>
      </w:r>
      <w:r>
        <w:t xml:space="preserve">)</w:t>
      </w:r>
    </w:p>
    <w:p>
      <w:pPr>
        <w:pStyle w:val="BodyText"/>
      </w:pPr>
      <w:r>
        <w:t xml:space="preserve"># </w:t>
      </w:r>
      <w:r>
        <w:rPr>
          <w:rFonts w:hint="eastAsia"/>
        </w:rPr>
        <w:t xml:space="preserve">残差自相关、条件异方差和波动聚集检验</w:t>
      </w:r>
      <w:r>
        <w:t xml:space="preserve"> </w:t>
      </w:r>
      <w:r>
        <w:t xml:space="preserve">lb_resid_5 &lt;- Box.test(model_error, lag = 5, type = "Ljung-Box")</w:t>
      </w:r>
      <w:r>
        <w:t xml:space="preserve"> </w:t>
      </w:r>
      <w:r>
        <w:t xml:space="preserve">lb_sq_5 &lt;- Box.test(model_error^2, lag = 5, type = "Ljung-Box")</w:t>
      </w:r>
      <w:r>
        <w:t xml:space="preserve"> </w:t>
      </w:r>
      <w:r>
        <w:t xml:space="preserve">arch_test &lt;- FinTS::ArchTest(model_error, lags = 5)</w:t>
      </w:r>
    </w:p>
    <w:p>
      <w:pPr>
        <w:pStyle w:val="BodyText"/>
      </w:pPr>
      <w:r>
        <w:rPr>
          <w:rFonts w:hint="eastAsia"/>
        </w:rPr>
        <w:t xml:space="preserve">代码</w:t>
      </w:r>
      <w:r>
        <w:t xml:space="preserve"> </w:t>
      </w:r>
      <w:hyperlink w:anchor="lst:sensitivity-specs">
        <w:r>
          <w:rPr>
            <w:rStyle w:val="Hyperlink"/>
          </w:rPr>
          <w:t xml:space="preserve">[lst:sensitivity-specs]</w:t>
        </w:r>
      </w:hyperlink>
      <w:r>
        <w:t xml:space="preserve"> </w:t>
      </w:r>
      <w:r>
        <w:rPr>
          <w:rFonts w:hint="eastAsia"/>
        </w:rPr>
        <w:t xml:space="preserve">展示敏感性分析的扰动设置。扰动对象覆盖题面物理层、政策缓冲层、需求层、行为层和长期机制透明层，用于说明本文的稳健性检验不是只改变单个便利参数，而是围绕主要不确定来源系统展开。</w:t>
      </w:r>
    </w:p>
    <w:p>
      <w:pPr>
        <w:pStyle w:val="BodyText"/>
      </w:pPr>
      <w:r>
        <w:t xml:space="preserve">lst:sensitivity-specs</w:t>
      </w:r>
      <w:r>
        <w:t xml:space="preserve">python</w:t>
      </w:r>
      <w:r>
        <w:rPr>
          <w:rFonts w:hint="eastAsia"/>
        </w:rPr>
        <w:t xml:space="preserve">敏感性分析扰动参数设置</w:t>
      </w:r>
      <w:r>
        <w:t xml:space="preserve"> </w:t>
      </w:r>
      <w:r>
        <w:t xml:space="preserve">SENSITIVITY_SPECS = [</w:t>
      </w:r>
      <w:r>
        <w:t xml:space="preserve"> </w:t>
      </w:r>
      <w:r>
        <w:t xml:space="preserve">"key": "supply_interruption", </w:t>
      </w:r>
      <w:r>
        <w:rPr>
          <w:rFonts w:hint="eastAsia"/>
        </w:rPr>
        <w:t xml:space="preserve">"参数":</w:t>
      </w:r>
      <w:r>
        <w:t xml:space="preserve"> </w:t>
      </w:r>
      <w:r>
        <w:rPr>
          <w:rFonts w:hint="eastAsia"/>
        </w:rPr>
        <w:t xml:space="preserve">"供应中断量",</w:t>
      </w:r>
      <w:r>
        <w:t xml:space="preserve"> </w:t>
      </w:r>
      <w:r>
        <w:rPr>
          <w:rFonts w:hint="eastAsia"/>
        </w:rPr>
        <w:t xml:space="preserve">"层级":</w:t>
      </w:r>
      <w:r>
        <w:t xml:space="preserve"> </w:t>
      </w:r>
      <w:r>
        <w:rPr>
          <w:rFonts w:hint="eastAsia"/>
        </w:rPr>
        <w:t xml:space="preserve">"题面物理层",</w:t>
      </w:r>
      <w:r>
        <w:t xml:space="preserve"> </w:t>
      </w:r>
      <w:r>
        <w:rPr>
          <w:rFonts w:hint="eastAsia"/>
        </w:rPr>
        <w:t xml:space="preserve">"扰动":</w:t>
      </w:r>
      <w:r>
        <w:t xml:space="preserve"> [1400, 1493, 1600, 1800],</w:t>
      </w:r>
      <w:r>
        <w:t xml:space="preserve"> </w:t>
      </w:r>
      <w:r>
        <w:rPr>
          <w:rFonts w:hint="eastAsia"/>
        </w:rPr>
        <w:t xml:space="preserve">"解释":</w:t>
      </w:r>
      <w:r>
        <w:t xml:space="preserve"> </w:t>
      </w:r>
      <w:r>
        <w:rPr>
          <w:rFonts w:hint="eastAsia"/>
        </w:rPr>
        <w:t xml:space="preserve">"封锁实际造成的供应缺口。"</w:t>
      </w:r>
      <w:r>
        <w:t xml:space="preserve">,</w:t>
      </w:r>
      <w:r>
        <w:t xml:space="preserve"> </w:t>
      </w:r>
      <w:r>
        <w:t xml:space="preserve">"key": "spr_max_release", </w:t>
      </w:r>
      <w:r>
        <w:rPr>
          <w:rFonts w:hint="eastAsia"/>
        </w:rPr>
        <w:t xml:space="preserve">"参数":</w:t>
      </w:r>
      <w:r>
        <w:t xml:space="preserve"> </w:t>
      </w:r>
      <w:r>
        <w:rPr>
          <w:rFonts w:hint="eastAsia"/>
        </w:rPr>
        <w:t xml:space="preserve">"SPR释放上限",</w:t>
      </w:r>
      <w:r>
        <w:t xml:space="preserve"> </w:t>
      </w:r>
      <w:r>
        <w:rPr>
          <w:rFonts w:hint="eastAsia"/>
        </w:rPr>
        <w:t xml:space="preserve">"层级":</w:t>
      </w:r>
      <w:r>
        <w:t xml:space="preserve"> </w:t>
      </w:r>
      <w:r>
        <w:rPr>
          <w:rFonts w:hint="eastAsia"/>
        </w:rPr>
        <w:t xml:space="preserve">"题面政策缓冲层",</w:t>
      </w:r>
      <w:r>
        <w:t xml:space="preserve"> </w:t>
      </w:r>
      <w:r>
        <w:rPr>
          <w:rFonts w:hint="eastAsia"/>
        </w:rPr>
        <w:t xml:space="preserve">"扰动":</w:t>
      </w:r>
      <w:r>
        <w:t xml:space="preserve"> [200, 450, 670, 700],</w:t>
      </w:r>
      <w:r>
        <w:t xml:space="preserve"> </w:t>
      </w:r>
      <w:r>
        <w:rPr>
          <w:rFonts w:hint="eastAsia"/>
        </w:rPr>
        <w:t xml:space="preserve">"解释":</w:t>
      </w:r>
      <w:r>
        <w:t xml:space="preserve"> </w:t>
      </w:r>
      <w:r>
        <w:rPr>
          <w:rFonts w:hint="eastAsia"/>
        </w:rPr>
        <w:t xml:space="preserve">"战略石油储备释放能力。"</w:t>
      </w:r>
      <w:r>
        <w:t xml:space="preserve">,</w:t>
      </w:r>
      <w:r>
        <w:t xml:space="preserve"> </w:t>
      </w:r>
      <w:r>
        <w:t xml:space="preserve">"key": "route_max_capacity", </w:t>
      </w:r>
      <w:r>
        <w:rPr>
          <w:rFonts w:hint="eastAsia"/>
        </w:rPr>
        <w:t xml:space="preserve">"参数":</w:t>
      </w:r>
      <w:r>
        <w:t xml:space="preserve"> </w:t>
      </w:r>
      <w:r>
        <w:rPr>
          <w:rFonts w:hint="eastAsia"/>
        </w:rPr>
        <w:t xml:space="preserve">"绕道运输能力",</w:t>
      </w:r>
      <w:r>
        <w:t xml:space="preserve"> </w:t>
      </w:r>
      <w:r>
        <w:rPr>
          <w:rFonts w:hint="eastAsia"/>
        </w:rPr>
        <w:t xml:space="preserve">"层级":</w:t>
      </w:r>
      <w:r>
        <w:t xml:space="preserve"> </w:t>
      </w:r>
      <w:r>
        <w:rPr>
          <w:rFonts w:hint="eastAsia"/>
        </w:rPr>
        <w:t xml:space="preserve">"题面物理缓冲层",</w:t>
      </w:r>
      <w:r>
        <w:t xml:space="preserve"> </w:t>
      </w:r>
      <w:r>
        <w:rPr>
          <w:rFonts w:hint="eastAsia"/>
        </w:rPr>
        <w:t xml:space="preserve">"扰动":</w:t>
      </w:r>
      <w:r>
        <w:t xml:space="preserve"> [150, 237, 300, 420],</w:t>
      </w:r>
      <w:r>
        <w:t xml:space="preserve"> </w:t>
      </w:r>
      <w:r>
        <w:rPr>
          <w:rFonts w:hint="eastAsia"/>
        </w:rPr>
        <w:t xml:space="preserve">"解释":</w:t>
      </w:r>
      <w:r>
        <w:t xml:space="preserve"> </w:t>
      </w:r>
      <w:r>
        <w:rPr>
          <w:rFonts w:hint="eastAsia"/>
        </w:rPr>
        <w:t xml:space="preserve">"绕道和替代航线形成的额外供给能力。"</w:t>
      </w:r>
      <w:r>
        <w:t xml:space="preserve">,</w:t>
      </w:r>
      <w:r>
        <w:t xml:space="preserve"> </w:t>
      </w:r>
      <w:r>
        <w:t xml:space="preserve">"key": "long_elasticity", </w:t>
      </w:r>
      <w:r>
        <w:rPr>
          <w:rFonts w:hint="eastAsia"/>
        </w:rPr>
        <w:t xml:space="preserve">"参数":</w:t>
      </w:r>
      <w:r>
        <w:t xml:space="preserve"> </w:t>
      </w:r>
      <w:r>
        <w:rPr>
          <w:rFonts w:hint="eastAsia"/>
        </w:rPr>
        <w:t xml:space="preserve">"长期需求弹性",</w:t>
      </w:r>
      <w:r>
        <w:t xml:space="preserve"> </w:t>
      </w:r>
      <w:r>
        <w:rPr>
          <w:rFonts w:hint="eastAsia"/>
        </w:rPr>
        <w:t xml:space="preserve">"层级":</w:t>
      </w:r>
      <w:r>
        <w:t xml:space="preserve"> </w:t>
      </w:r>
      <w:r>
        <w:rPr>
          <w:rFonts w:hint="eastAsia"/>
        </w:rPr>
        <w:t xml:space="preserve">"题面需求层",</w:t>
      </w:r>
      <w:r>
        <w:t xml:space="preserve"> </w:t>
      </w:r>
      <w:r>
        <w:rPr>
          <w:rFonts w:hint="eastAsia"/>
        </w:rPr>
        <w:t xml:space="preserve">"扰动":</w:t>
      </w:r>
      <w:r>
        <w:t xml:space="preserve"> [-0.35, -0.25, -0.18, -0.10],</w:t>
      </w:r>
      <w:r>
        <w:t xml:space="preserve"> </w:t>
      </w:r>
      <w:r>
        <w:rPr>
          <w:rFonts w:hint="eastAsia"/>
        </w:rPr>
        <w:t xml:space="preserve">"解释":</w:t>
      </w:r>
      <w:r>
        <w:t xml:space="preserve"> </w:t>
      </w:r>
      <w:r>
        <w:rPr>
          <w:rFonts w:hint="eastAsia"/>
        </w:rPr>
        <w:t xml:space="preserve">"高油价持续后需求收缩强弱。"</w:t>
      </w:r>
      <w:r>
        <w:t xml:space="preserve">,</w:t>
      </w:r>
      <w:r>
        <w:t xml:space="preserve"> </w:t>
      </w:r>
      <w:r>
        <w:t xml:space="preserve">"key": "risk_weight", </w:t>
      </w:r>
      <w:r>
        <w:rPr>
          <w:rFonts w:hint="eastAsia"/>
        </w:rPr>
        <w:t xml:space="preserve">"参数":</w:t>
      </w:r>
      <w:r>
        <w:t xml:space="preserve"> </w:t>
      </w:r>
      <w:r>
        <w:rPr>
          <w:rFonts w:hint="eastAsia"/>
        </w:rPr>
        <w:t xml:space="preserve">"地缘风险权重",</w:t>
      </w:r>
      <w:r>
        <w:t xml:space="preserve"> </w:t>
      </w:r>
      <w:r>
        <w:rPr>
          <w:rFonts w:hint="eastAsia"/>
        </w:rPr>
        <w:t xml:space="preserve">"层级":</w:t>
      </w:r>
      <w:r>
        <w:t xml:space="preserve"> </w:t>
      </w:r>
      <w:r>
        <w:rPr>
          <w:rFonts w:hint="eastAsia"/>
        </w:rPr>
        <w:t xml:space="preserve">"市场价格形成层",</w:t>
      </w:r>
      <w:r>
        <w:t xml:space="preserve"> </w:t>
      </w:r>
      <w:r>
        <w:rPr>
          <w:rFonts w:hint="eastAsia"/>
        </w:rPr>
        <w:t xml:space="preserve">"扰动":</w:t>
      </w:r>
      <w:r>
        <w:t xml:space="preserve"> [1.85, 2.22, 2.46, 2.95],</w:t>
      </w:r>
      <w:r>
        <w:t xml:space="preserve"> </w:t>
      </w:r>
      <w:r>
        <w:rPr>
          <w:rFonts w:hint="eastAsia"/>
        </w:rPr>
        <w:t xml:space="preserve">"解释":</w:t>
      </w:r>
      <w:r>
        <w:t xml:space="preserve"> </w:t>
      </w:r>
      <w:r>
        <w:rPr>
          <w:rFonts w:hint="eastAsia"/>
        </w:rPr>
        <w:t xml:space="preserve">"市场定价地缘风险溢价的强度。"</w:t>
      </w:r>
      <w:r>
        <w:t xml:space="preserve">,</w:t>
      </w:r>
      <w:r>
        <w:t xml:space="preserve"> </w:t>
      </w:r>
      <w:r>
        <w:t xml:space="preserve">"key": "uncertainty_floor", </w:t>
      </w:r>
      <w:r>
        <w:rPr>
          <w:rFonts w:hint="eastAsia"/>
        </w:rPr>
        <w:t xml:space="preserve">"参数":</w:t>
      </w:r>
      <w:r>
        <w:t xml:space="preserve"> </w:t>
      </w:r>
      <w:r>
        <w:rPr>
          <w:rFonts w:hint="eastAsia"/>
        </w:rPr>
        <w:t xml:space="preserve">"制度风险强度",</w:t>
      </w:r>
      <w:r>
        <w:t xml:space="preserve"> </w:t>
      </w:r>
      <w:r>
        <w:rPr>
          <w:rFonts w:hint="eastAsia"/>
        </w:rPr>
        <w:t xml:space="preserve">"层级":</w:t>
      </w:r>
      <w:r>
        <w:t xml:space="preserve"> </w:t>
      </w:r>
      <w:r>
        <w:rPr>
          <w:rFonts w:hint="eastAsia"/>
        </w:rPr>
        <w:t xml:space="preserve">"长期机制透明层",</w:t>
      </w:r>
      <w:r>
        <w:t xml:space="preserve"> </w:t>
      </w:r>
      <w:r>
        <w:rPr>
          <w:rFonts w:hint="eastAsia"/>
        </w:rPr>
        <w:t xml:space="preserve">"扰动":</w:t>
      </w:r>
      <w:r>
        <w:t xml:space="preserve"> [0.17, 0.22, 0.247, 0.30],</w:t>
      </w:r>
      <w:r>
        <w:t xml:space="preserve"> </w:t>
      </w:r>
      <w:r>
        <w:rPr>
          <w:rFonts w:hint="eastAsia"/>
        </w:rPr>
        <w:t xml:space="preserve">"解释":</w:t>
      </w:r>
      <w:r>
        <w:t xml:space="preserve"> </w:t>
      </w:r>
      <w:r>
        <w:rPr>
          <w:rFonts w:hint="eastAsia"/>
        </w:rPr>
        <w:t xml:space="preserve">"持续封锁和政策协调失败带来的不确定性。"</w:t>
      </w:r>
      <w:r>
        <w:t xml:space="preserve">,</w:t>
      </w:r>
      <w:r>
        <w:t xml:space="preserve"> </w:t>
      </w:r>
      <w:r>
        <w:t xml:space="preserve">]</w:t>
      </w:r>
    </w:p>
    <w:bookmarkEnd w:id="206"/>
    <w:bookmarkStart w:id="207" w:name="k-程序材料说明"/>
    <w:p>
      <w:pPr>
        <w:pStyle w:val="Heading2"/>
      </w:pPr>
      <w:r>
        <w:t xml:space="preserve">K </w:t>
      </w:r>
      <w:r>
        <w:rPr>
          <w:rFonts w:hint="eastAsia"/>
        </w:rPr>
        <w:t xml:space="preserve">程序材料说明</w:t>
      </w:r>
    </w:p>
    <w:p>
      <w:pPr>
        <w:pStyle w:val="FirstParagraph"/>
      </w:pPr>
      <w:r>
        <w:rPr>
          <w:rFonts w:hint="eastAsia"/>
        </w:rPr>
        <w:t xml:space="preserve">本文附录只列出项目关键目录和少量核心程序片段，用于说明数据、模型、图表和论文生成材料的组织方式。完整</w:t>
      </w:r>
      <w:r>
        <w:t xml:space="preserve"> Python、R </w:t>
      </w:r>
      <w:r>
        <w:rPr>
          <w:rFonts w:hint="eastAsia"/>
        </w:rPr>
        <w:t xml:space="preserve">与构建脚本随项目文件一并提交，不在论文附录中整段展开。</w:t>
      </w:r>
    </w:p>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0" Target="media/rId170.png" /><Relationship Type="http://schemas.openxmlformats.org/officeDocument/2006/relationships/image" Id="rId177" Target="media/rId177.png" /><Relationship Type="http://schemas.openxmlformats.org/officeDocument/2006/relationships/image" Id="rId86" Target="media/rId86.png" /><Relationship Type="http://schemas.openxmlformats.org/officeDocument/2006/relationships/image" Id="rId159" Target="media/rId159.png" /><Relationship Type="http://schemas.openxmlformats.org/officeDocument/2006/relationships/image" Id="rId36" Target="media/rId36.png" /><Relationship Type="http://schemas.openxmlformats.org/officeDocument/2006/relationships/image" Id="rId151" Target="media/rId151.png" /><Relationship Type="http://schemas.openxmlformats.org/officeDocument/2006/relationships/image" Id="rId22" Target="media/rId22.png" /><Relationship Type="http://schemas.openxmlformats.org/officeDocument/2006/relationships/image" Id="rId148" Target="media/rId148.png" /><Relationship Type="http://schemas.openxmlformats.org/officeDocument/2006/relationships/image" Id="rId174" Target="media/rId174.png" /><Relationship Type="http://schemas.openxmlformats.org/officeDocument/2006/relationships/image" Id="rId139" Target="media/rId139.png" /><Relationship Type="http://schemas.openxmlformats.org/officeDocument/2006/relationships/image" Id="rId163" Target="media/rId163.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133" Target="media/rId133.png" /><Relationship Type="http://schemas.openxmlformats.org/officeDocument/2006/relationships/image" Id="rId166" Target="media/rId166.png" /><Relationship Type="http://schemas.openxmlformats.org/officeDocument/2006/relationships/image" Id="rId123" Target="media/rId12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55" Target="media/rId55.png" /><Relationship Type="http://schemas.openxmlformats.org/officeDocument/2006/relationships/image" Id="rId93" Target="media/rId93.png" /><Relationship Type="http://schemas.openxmlformats.org/officeDocument/2006/relationships/image" Id="rId46" Target="media/rId46.png" /><Relationship Type="http://schemas.openxmlformats.org/officeDocument/2006/relationships/image" Id="rId79" Target="media/rId79.png"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105" Target="media/rId105.png" /><Relationship Type="http://schemas.openxmlformats.org/officeDocument/2006/relationships/image" Id="rId83" Target="media/rId83.png" /><Relationship Type="http://schemas.openxmlformats.org/officeDocument/2006/relationships/image" Id="rId74" Target="media/rId74.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155" Target="media/rId155.pn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image" Id="rId129" Target="media/rId129.png" /><Relationship Type="http://schemas.openxmlformats.org/officeDocument/2006/relationships/hyperlink" Id="rId194" Target="https://fred.stlouisfed.org/series/OVXCLS" TargetMode="External" /><Relationship Type="http://schemas.openxmlformats.org/officeDocument/2006/relationships/hyperlink" Id="rId192" Target="https://publications.opec.org/momr/chapter/147/2738" TargetMode="External" /><Relationship Type="http://schemas.openxmlformats.org/officeDocument/2006/relationships/hyperlink" Id="rId190" Target="https://www.eia.gov/dnav/pet/pet_sum_sndw_dcus_nus_w.htm" TargetMode="External" /><Relationship Type="http://schemas.openxmlformats.org/officeDocument/2006/relationships/hyperlink" Id="rId187" Target="https://www.eia.gov/international/analysis/special-topics/World_Oil_Transit_Chokepoints" TargetMode="External" /><Relationship Type="http://schemas.openxmlformats.org/officeDocument/2006/relationships/hyperlink" Id="rId195" Target="https://www.ice.com/report/83" TargetMode="External" /><Relationship Type="http://schemas.openxmlformats.org/officeDocument/2006/relationships/hyperlink" Id="rId188" Target="https://www.iea.org/about/oil-security-and-emergency-response/strait-of-hormuz" TargetMode="External" /><Relationship Type="http://schemas.openxmlformats.org/officeDocument/2006/relationships/hyperlink" Id="rId189" Target="https://www.iea.org/news/iea-governing-board-concludes-2022-collective-actions" TargetMode="External" /><Relationship Type="http://schemas.openxmlformats.org/officeDocument/2006/relationships/hyperlink" Id="rId191" Target="https://www.jodidata.org/oil/" TargetMode="External" /><Relationship Type="http://schemas.openxmlformats.org/officeDocument/2006/relationships/hyperlink" Id="rId193" Target="https://www.matteoiacoviello.com/gpr.htm" TargetMode="External" /></Relationships>
</file>

<file path=word/_rels/footnotes.xml.rels><?xml version="1.0" encoding="UTF-8"?><Relationships xmlns="http://schemas.openxmlformats.org/package/2006/relationships"><Relationship Type="http://schemas.openxmlformats.org/officeDocument/2006/relationships/hyperlink" Id="rId194" Target="https://fred.stlouisfed.org/series/OVXCLS" TargetMode="External" /><Relationship Type="http://schemas.openxmlformats.org/officeDocument/2006/relationships/hyperlink" Id="rId192" Target="https://publications.opec.org/momr/chapter/147/2738" TargetMode="External" /><Relationship Type="http://schemas.openxmlformats.org/officeDocument/2006/relationships/hyperlink" Id="rId190" Target="https://www.eia.gov/dnav/pet/pet_sum_sndw_dcus_nus_w.htm" TargetMode="External" /><Relationship Type="http://schemas.openxmlformats.org/officeDocument/2006/relationships/hyperlink" Id="rId187" Target="https://www.eia.gov/international/analysis/special-topics/World_Oil_Transit_Chokepoints" TargetMode="External" /><Relationship Type="http://schemas.openxmlformats.org/officeDocument/2006/relationships/hyperlink" Id="rId195" Target="https://www.ice.com/report/83" TargetMode="External" /><Relationship Type="http://schemas.openxmlformats.org/officeDocument/2006/relationships/hyperlink" Id="rId188" Target="https://www.iea.org/about/oil-security-and-emergency-response/strait-of-hormuz" TargetMode="External" /><Relationship Type="http://schemas.openxmlformats.org/officeDocument/2006/relationships/hyperlink" Id="rId189" Target="https://www.iea.org/news/iea-governing-board-concludes-2022-collective-actions" TargetMode="External" /><Relationship Type="http://schemas.openxmlformats.org/officeDocument/2006/relationships/hyperlink" Id="rId191" Target="https://www.jodidata.org/oil/" TargetMode="External" /><Relationship Type="http://schemas.openxmlformats.org/officeDocument/2006/relationships/hyperlink" Id="rId193" Target="https://www.matteoiacoviello.com/gpr.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霍尔木兹海峡封锁对国际原油价格影响的动态建模与情景预测</dc:title>
  <dc:creator>数学建模 A 题项目组</dc:creator>
  <cp:keywords/>
  <dcterms:created xsi:type="dcterms:W3CDTF">2026-05-14T09:03:51Z</dcterms:created>
  <dcterms:modified xsi:type="dcterms:W3CDTF">2026-05-14T09:03:51Z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vt:lpwstr>
  </property>
</Properties>
</file>