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2.png" ContentType="image/png"/>
  <Override PartName="/word/media/rId18.png" ContentType="image/png"/>
  <Override PartName="/word/media/rId105.png" ContentType="image/png"/>
  <Override PartName="/word/media/rId115.png" ContentType="image/png"/>
  <Override PartName="/word/media/rId112.png" ContentType="image/png"/>
  <Override PartName="/word/media/rId91.png" ContentType="image/png"/>
  <Override PartName="/word/media/rId108.png" ContentType="image/png"/>
  <Override PartName="/word/media/rId84.png" ContentType="image/png"/>
  <Override PartName="/word/media/rId101.png" ContentType="image/png"/>
  <Override PartName="/word/media/rId15.png" ContentType="image/png"/>
  <Override PartName="/word/media/rId22.png" ContentType="image/png"/>
  <Override PartName="/word/media/rId97.png" ContentType="image/png"/>
  <Override PartName="/word/media/rId88.png" ContentType="image/png"/>
  <Override PartName="/word/media/rId48.png" ContentType="image/png"/>
  <Override PartName="/word/media/rId71.png" ContentType="image/png"/>
  <Override PartName="/word/media/rId41.png" ContentType="image/png"/>
  <Override PartName="/word/media/rId55.png" ContentType="image/png"/>
  <Override PartName="/word/media/rId44.png" ContentType="image/png"/>
  <Override PartName="/word/media/rId62.png" ContentType="image/png"/>
  <Override PartName="/word/media/rId51.png" ContentType="image/png"/>
  <Override PartName="/word/media/rId75.png" ContentType="image/png"/>
  <Override PartName="/word/media/rId66.png" ContentType="image/png"/>
  <Override PartName="/word/media/rId58.png" ContentType="image/png"/>
  <Override PartName="/word/media/rId1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rFonts w:hint="eastAsia"/>
          <w:b/>
          <w:bCs/>
        </w:rPr>
        <w:t xml:space="preserve">霍尔木兹海峡封锁对国际原油价格影响的动态建模与情景预测</w:t>
      </w:r>
    </w:p>
    <w:p>
      <w:pPr>
        <w:pStyle w:val="Author"/>
      </w:pPr>
      <w:r>
        <w:rPr>
          <w:rFonts w:hint="eastAsia"/>
        </w:rPr>
        <w:t xml:space="preserve">数学建模</w:t>
      </w:r>
      <w:r>
        <w:t xml:space="preserve"> A </w:t>
      </w:r>
      <w:r>
        <w:rPr>
          <w:rFonts w:hint="eastAsia"/>
        </w:rPr>
        <w:t xml:space="preserve">题项目组</w:t>
      </w:r>
    </w:p>
    <w:p>
      <w:pPr>
        <w:pStyle w:val="Date"/>
      </w:pPr>
      <w:r>
        <w:t xml:space="preserve">2026 </w:t>
      </w:r>
      <w:r>
        <w:rPr>
          <w:rFonts w:hint="eastAsia"/>
        </w:rPr>
        <w:t xml:space="preserve">年</w:t>
      </w:r>
      <w:r>
        <w:t xml:space="preserve"> 5 </w:t>
      </w:r>
      <w:r>
        <w:rPr>
          <w:rFonts w:hint="eastAsia"/>
        </w:rPr>
        <w:t xml:space="preserve">月</w:t>
      </w:r>
    </w:p>
    <w:sdt>
      <w:sdtPr>
        <w:docPartObj>
          <w:docPartGallery w:val="Table of Contents"/>
          <w:docPartUnique/>
        </w:docPartObj>
      </w:sdtPr>
      <w:sdtContent>
        <w:p>
          <w:pPr>
            <w:pStyle w:val="TOCHeading"/>
          </w:pPr>
          <w:r>
            <w:t xml:space="preserve">目录</w:t>
          </w:r>
        </w:p>
        <w:p>
          <w:r>
            <w:fldChar w:fldCharType="begin" w:dirty="true"/>
            <w:instrText xml:space="preserve">TOC \o "1-2" \h \z \u</w:instrText>
            <w:fldChar w:fldCharType="separate"/>
            <w:fldChar w:fldCharType="end"/>
          </w:r>
        </w:p>
      </w:sdtContent>
    </w:sdt>
    <w:p>
      <w:pPr>
        <w:pStyle w:val="FirstParagraph"/>
      </w:pPr>
      <w:r>
        <w:rPr>
          <w:rFonts w:hint="eastAsia"/>
          <w:b/>
          <w:bCs/>
        </w:rPr>
        <w:t xml:space="preserve">摘要</w:t>
      </w:r>
    </w:p>
    <w:p>
      <w:pPr>
        <w:pStyle w:val="BodyText"/>
      </w:pPr>
      <w:r>
        <w:rPr>
          <w:rFonts w:hint="eastAsia"/>
        </w:rPr>
        <w:t xml:space="preserve">霍尔木兹海峡是全球原油运输的关键咽喉。若发生封锁，供应中断、地缘风险重估、战略储备释放、商业库存缓冲、绕道运输恢复和市场预期修复会共同作用于国际原油价格。本文以附件布伦特原油期货主力合约价格数据为基础，建立</w:t>
      </w:r>
      <w:r>
        <w:rPr>
          <w:rFonts w:hint="eastAsia"/>
        </w:rPr>
        <w:t xml:space="preserve">“数据清洗–传统供需基准–短期动态递推–长期情景预测–敏感性分析”</w:t>
      </w:r>
      <w:r>
        <w:rPr>
          <w:rFonts w:hint="eastAsia"/>
        </w:rPr>
        <w:t xml:space="preserve">的模型链条。</w:t>
      </w:r>
    </w:p>
    <w:p>
      <w:pPr>
        <w:pStyle w:val="BodyText"/>
      </w:pPr>
      <w:r>
        <w:rPr>
          <w:rFonts w:hint="eastAsia"/>
        </w:rPr>
        <w:t xml:space="preserve">针对任务一，本文清洗</w:t>
      </w:r>
      <w:r>
        <w:t xml:space="preserve"> 2017 </w:t>
      </w:r>
      <w:r>
        <w:rPr>
          <w:rFonts w:hint="eastAsia"/>
        </w:rPr>
        <w:t xml:space="preserve">年</w:t>
      </w:r>
      <w:r>
        <w:t xml:space="preserve"> 9 </w:t>
      </w:r>
      <w:r>
        <w:rPr>
          <w:rFonts w:hint="eastAsia"/>
        </w:rPr>
        <w:t xml:space="preserve">月至</w:t>
      </w:r>
      <w:r>
        <w:t xml:space="preserve"> 2026 </w:t>
      </w:r>
      <w:r>
        <w:rPr>
          <w:rFonts w:hint="eastAsia"/>
        </w:rPr>
        <w:t xml:space="preserve">年</w:t>
      </w:r>
      <w:r>
        <w:t xml:space="preserve"> 5 </w:t>
      </w:r>
      <w:r>
        <w:rPr>
          <w:rFonts w:hint="eastAsia"/>
        </w:rPr>
        <w:t xml:space="preserve">月的原始价格序列，截取</w:t>
      </w:r>
      <w:r>
        <w:t xml:space="preserve"> 2026 </w:t>
      </w:r>
      <w:r>
        <w:rPr>
          <w:rFonts w:hint="eastAsia"/>
        </w:rPr>
        <w:t xml:space="preserve">年</w:t>
      </w:r>
      <w:r>
        <w:t xml:space="preserve"> 3 </w:t>
      </w:r>
      <w:r>
        <w:rPr>
          <w:rFonts w:hint="eastAsia"/>
        </w:rPr>
        <w:t xml:space="preserve">月</w:t>
      </w:r>
      <w:r>
        <w:t xml:space="preserve"> 2 </w:t>
      </w:r>
      <w:r>
        <w:rPr>
          <w:rFonts w:hint="eastAsia"/>
        </w:rPr>
        <w:t xml:space="preserve">日至</w:t>
      </w:r>
      <w:r>
        <w:t xml:space="preserve"> 2026 </w:t>
      </w:r>
      <w:r>
        <w:rPr>
          <w:rFonts w:hint="eastAsia"/>
        </w:rPr>
        <w:t xml:space="preserve">年</w:t>
      </w:r>
      <w:r>
        <w:t xml:space="preserve"> 5 </w:t>
      </w:r>
      <w:r>
        <w:rPr>
          <w:rFonts w:hint="eastAsia"/>
        </w:rPr>
        <w:t xml:space="preserve">月</w:t>
      </w:r>
      <w:r>
        <w:t xml:space="preserve"> 5 </w:t>
      </w:r>
      <w:r>
        <w:rPr>
          <w:rFonts w:hint="eastAsia"/>
        </w:rPr>
        <w:t xml:space="preserve">日为冲突窗口。附件数据显示，窗口内最高收盘价为</w:t>
      </w:r>
      <w:r>
        <w:t xml:space="preserve"> 114.06 </w:t>
      </w:r>
      <w:r>
        <w:rPr>
          <w:rFonts w:hint="eastAsia"/>
        </w:rPr>
        <w:t xml:space="preserve">美元/桶，最高盘中价为</w:t>
      </w:r>
      <w:r>
        <w:t xml:space="preserve"> 119.50 </w:t>
      </w:r>
      <w:r>
        <w:rPr>
          <w:rFonts w:hint="eastAsia"/>
        </w:rPr>
        <w:t xml:space="preserve">美元/桶。按题面短期低弹性和供应中断范围建立传统供需基准模型，可得</w:t>
      </w:r>
      <w:r>
        <w:t xml:space="preserve"> 278–337 </w:t>
      </w:r>
      <w:r>
        <w:rPr>
          <w:rFonts w:hint="eastAsia"/>
        </w:rPr>
        <w:t xml:space="preserve">美元/桶的理论价格区间，显著高于附件真实价格，说明必须引入政策缓冲和市场预期修复。</w:t>
      </w:r>
    </w:p>
    <w:p>
      <w:pPr>
        <w:pStyle w:val="BodyText"/>
      </w:pPr>
      <w:r>
        <w:rPr>
          <w:rFonts w:hint="eastAsia"/>
        </w:rPr>
        <w:t xml:space="preserve">为解释日度价格路径，本文构建综合机制递推模型：物理供需层纳入供应中断、SPR</w:t>
      </w:r>
      <w:r>
        <w:t xml:space="preserve"> </w:t>
      </w:r>
      <w:r>
        <w:rPr>
          <w:rFonts w:hint="eastAsia"/>
        </w:rPr>
        <w:t xml:space="preserve">释放、商业库存、绕道运输、需求收缩和恐慌衰减，市场价格形成层纳入地缘风险溢价、冲击不确定性、持续封锁制度风险、缓冲确认折价和预期修复折价。综合最优模型在</w:t>
      </w:r>
      <w:r>
        <w:t xml:space="preserve"> 46 </w:t>
      </w:r>
      <w:r>
        <w:rPr>
          <w:rFonts w:hint="eastAsia"/>
        </w:rPr>
        <w:t xml:space="preserve">个交易日内取得</w:t>
      </w:r>
      <w:r>
        <w:t xml:space="preserve"> RMSE </w:t>
      </w:r>
      <w:r>
        <w:rPr>
          <w:rFonts w:hint="eastAsia"/>
        </w:rPr>
        <w:t xml:space="preserve">为</w:t>
      </w:r>
      <w:r>
        <w:t xml:space="preserve"> 3.44 </w:t>
      </w:r>
      <w:r>
        <w:rPr>
          <w:rFonts w:hint="eastAsia"/>
        </w:rPr>
        <w:t xml:space="preserve">美元/桶、MAE</w:t>
      </w:r>
      <w:r>
        <w:t xml:space="preserve"> </w:t>
      </w:r>
      <w:r>
        <w:rPr>
          <w:rFonts w:hint="eastAsia"/>
        </w:rPr>
        <w:t xml:space="preserve">为</w:t>
      </w:r>
      <w:r>
        <w:t xml:space="preserve"> 2.85 </w:t>
      </w:r>
      <w:r>
        <w:rPr>
          <w:rFonts w:hint="eastAsia"/>
        </w:rPr>
        <w:t xml:space="preserve">美元/桶、MAPE</w:t>
      </w:r>
      <w:r>
        <w:t xml:space="preserve"> </w:t>
      </w:r>
      <w:r>
        <w:rPr>
          <w:rFonts w:hint="eastAsia"/>
        </w:rPr>
        <w:t xml:space="preserve">为</w:t>
      </w:r>
      <w:r>
        <w:t xml:space="preserve"> 2.86% </w:t>
      </w:r>
      <w:r>
        <w:rPr>
          <w:rFonts w:hint="eastAsia"/>
        </w:rPr>
        <w:t xml:space="preserve">的拟合效果，并优于上一日价格朴素基准和滚动</w:t>
      </w:r>
      <w:r>
        <w:t xml:space="preserve"> ARIMA </w:t>
      </w:r>
      <w:r>
        <w:rPr>
          <w:rFonts w:hint="eastAsia"/>
        </w:rPr>
        <w:t xml:space="preserve">基准。滞后平移、拐点、机制消融、过拟合压力测试和硬编码审计表明，模型不是简单滞后复制，也没有把</w:t>
      </w:r>
      <w:r>
        <w:t xml:space="preserve"> 120 </w:t>
      </w:r>
      <w:r>
        <w:rPr>
          <w:rFonts w:hint="eastAsia"/>
        </w:rPr>
        <w:t xml:space="preserve">美元平台写成代码上限。</w:t>
      </w:r>
    </w:p>
    <w:p>
      <w:pPr>
        <w:pStyle w:val="BodyText"/>
      </w:pPr>
      <w:r>
        <w:rPr>
          <w:rFonts w:hint="eastAsia"/>
        </w:rPr>
        <w:t xml:space="preserve">针对任务二，本文构建</w:t>
      </w:r>
      <w:r>
        <w:t xml:space="preserve"> 60–180 </w:t>
      </w:r>
      <w:r>
        <w:rPr>
          <w:rFonts w:hint="eastAsia"/>
        </w:rPr>
        <w:t xml:space="preserve">天乐观、中性、悲观三种情景路径。新版长期自适应反馈模型显示，中性情景第</w:t>
      </w:r>
      <w:r>
        <w:t xml:space="preserve"> 180 </w:t>
      </w:r>
      <w:r>
        <w:rPr>
          <w:rFonts w:hint="eastAsia"/>
        </w:rPr>
        <w:t xml:space="preserve">天价格约为</w:t>
      </w:r>
      <w:r>
        <w:t xml:space="preserve"> 92.43 </w:t>
      </w:r>
      <w:r>
        <w:rPr>
          <w:rFonts w:hint="eastAsia"/>
        </w:rPr>
        <w:t xml:space="preserve">美元/桶，悲观情景第</w:t>
      </w:r>
      <w:r>
        <w:t xml:space="preserve"> 180 </w:t>
      </w:r>
      <w:r>
        <w:rPr>
          <w:rFonts w:hint="eastAsia"/>
        </w:rPr>
        <w:t xml:space="preserve">天约为</w:t>
      </w:r>
      <w:r>
        <w:t xml:space="preserve"> 106.83 </w:t>
      </w:r>
      <w:r>
        <w:rPr>
          <w:rFonts w:hint="eastAsia"/>
        </w:rPr>
        <w:t xml:space="preserve">美元/桶，且仍保留二次跳涨风险。敏感性分析表明，地缘风险权重、不确定性与制度风险强度、制度风险占比是综合敏感度最高的三个因素；进一步的</w:t>
      </w:r>
      <w:r>
        <w:t xml:space="preserve"> 2000 </w:t>
      </w:r>
      <w:r>
        <w:rPr>
          <w:rFonts w:hint="eastAsia"/>
        </w:rPr>
        <w:t xml:space="preserve">次蒙特卡洛情景树显示，外推期最高价突破</w:t>
      </w:r>
      <w:r>
        <w:t xml:space="preserve"> 120 </w:t>
      </w:r>
      <w:r>
        <w:rPr>
          <w:rFonts w:hint="eastAsia"/>
        </w:rPr>
        <w:t xml:space="preserve">美元/桶的条件概率约为</w:t>
      </w:r>
      <w:r>
        <w:t xml:space="preserve"> </w:t>
      </w:r>
      <w:r>
        <w:rPr>
          <w:rFonts w:hint="eastAsia"/>
        </w:rPr>
        <w:t xml:space="preserve">4.6%，突破</w:t>
      </w:r>
      <w:r>
        <w:t xml:space="preserve"> 130 </w:t>
      </w:r>
      <w:r>
        <w:rPr>
          <w:rFonts w:hint="eastAsia"/>
        </w:rPr>
        <w:t xml:space="preserve">美元/桶的概率约为</w:t>
      </w:r>
      <w:r>
        <w:t xml:space="preserve"> </w:t>
      </w:r>
      <w:r>
        <w:rPr>
          <w:rFonts w:hint="eastAsia"/>
        </w:rPr>
        <w:t xml:space="preserve">0.0%。此外，Caldara-Iacoviello</w:t>
      </w:r>
      <w:r>
        <w:t xml:space="preserve"> GPR </w:t>
      </w:r>
      <w:r>
        <w:rPr>
          <w:rFonts w:hint="eastAsia"/>
        </w:rPr>
        <w:t xml:space="preserve">指数显示</w:t>
      </w:r>
      <w:r>
        <w:t xml:space="preserve"> 2026 </w:t>
      </w:r>
      <w:r>
        <w:rPr>
          <w:rFonts w:hint="eastAsia"/>
        </w:rPr>
        <w:t xml:space="preserve">年</w:t>
      </w:r>
      <w:r>
        <w:t xml:space="preserve"> 3 </w:t>
      </w:r>
      <w:r>
        <w:rPr>
          <w:rFonts w:hint="eastAsia"/>
        </w:rPr>
        <w:t xml:space="preserve">月和</w:t>
      </w:r>
      <w:r>
        <w:t xml:space="preserve"> 4 </w:t>
      </w:r>
      <w:r>
        <w:rPr>
          <w:rFonts w:hint="eastAsia"/>
        </w:rPr>
        <w:t xml:space="preserve">月地缘风险处于历史高分位，但滞后检验表明其不宜作为同月拟合输入。2017–2026</w:t>
      </w:r>
      <w:r>
        <w:t xml:space="preserve"> </w:t>
      </w:r>
      <w:r>
        <w:rPr>
          <w:rFonts w:hint="eastAsia"/>
        </w:rPr>
        <w:t xml:space="preserve">年同长度滚动窗口检验进一步显示，2026</w:t>
      </w:r>
      <w:r>
        <w:t xml:space="preserve"> </w:t>
      </w:r>
      <w:r>
        <w:rPr>
          <w:rFonts w:hint="eastAsia"/>
        </w:rPr>
        <w:t xml:space="preserve">冲突窗口累计收益率处于历史约</w:t>
      </w:r>
      <w:r>
        <w:t xml:space="preserve"> 99.3% </w:t>
      </w:r>
      <w:r>
        <w:rPr>
          <w:rFonts w:hint="eastAsia"/>
        </w:rPr>
        <w:t xml:space="preserve">分位、实现波动率处于约</w:t>
      </w:r>
      <w:r>
        <w:t xml:space="preserve"> 95.7% </w:t>
      </w:r>
      <w:r>
        <w:rPr>
          <w:rFonts w:hint="eastAsia"/>
        </w:rPr>
        <w:t xml:space="preserve">分位，说明该窗口对普通时间序列基准显著更难。本文据此将</w:t>
      </w:r>
      <w:r>
        <w:t xml:space="preserve"> GPR </w:t>
      </w:r>
      <w:r>
        <w:rPr>
          <w:rFonts w:hint="eastAsia"/>
        </w:rPr>
        <w:t xml:space="preserve">和历史样本定位为外部审计证据，而非短期点预测因子。</w:t>
      </w:r>
    </w:p>
    <w:p>
      <w:pPr>
        <w:pStyle w:val="BodyText"/>
      </w:pPr>
      <w:r>
        <w:rPr>
          <w:rFonts w:hint="eastAsia"/>
          <w:b/>
          <w:bCs/>
        </w:rPr>
        <w:t xml:space="preserve">关键词：</w:t>
      </w:r>
      <w:r>
        <w:t xml:space="preserve"> </w:t>
      </w:r>
      <w:r>
        <w:rPr>
          <w:rFonts w:hint="eastAsia"/>
        </w:rPr>
        <w:t xml:space="preserve">霍尔木兹海峡；原油价格；动态递推模型；战略石油储备；情景预测；敏感性分析</w:t>
      </w:r>
    </w:p>
    <w:p>
      <w:pPr>
        <w:pStyle w:val="BodyText"/>
      </w:pPr>
      <w:r>
        <w:t xml:space="preserve"> </w:t>
      </w:r>
    </w:p>
    <w:bookmarkStart w:id="9" w:name="问题重述"/>
    <w:p>
      <w:pPr>
        <w:pStyle w:val="Heading1"/>
      </w:pPr>
      <w:r>
        <w:rPr>
          <w:rFonts w:hint="eastAsia"/>
        </w:rPr>
        <w:t xml:space="preserve">问题重述</w:t>
      </w:r>
    </w:p>
    <w:p>
      <w:pPr>
        <w:pStyle w:val="FirstParagraph"/>
      </w:pPr>
      <w:r>
        <w:rPr>
          <w:rFonts w:hint="eastAsia"/>
        </w:rPr>
        <w:t xml:space="preserve">霍尔木兹海峡连接波斯湾和阿曼湾，是中东原油进入国际市场的重要通道。若该通道发生封锁，全球原油市场将面对突发供应缺口。赛题要求分析封锁对国际原油价格的影响，并特别关注短期价格冲击、缓冲机制、持续</w:t>
      </w:r>
      <w:r>
        <w:t xml:space="preserve"> 60–180 </w:t>
      </w:r>
      <w:r>
        <w:rPr>
          <w:rFonts w:hint="eastAsia"/>
        </w:rPr>
        <w:t xml:space="preserve">天时的价格路径以及关键因素敏感性。</w:t>
      </w:r>
    </w:p>
    <w:p>
      <w:pPr>
        <w:pStyle w:val="BodyText"/>
      </w:pPr>
      <w:r>
        <w:rPr>
          <w:rFonts w:hint="eastAsia"/>
        </w:rPr>
        <w:t xml:space="preserve">本文将问题拆解为四个层次：</w:t>
      </w:r>
    </w:p>
    <w:p>
      <w:pPr>
        <w:numPr>
          <w:ilvl w:val="0"/>
          <w:numId w:val="1001"/>
        </w:numPr>
      </w:pPr>
      <w:r>
        <w:rPr>
          <w:rFonts w:hint="eastAsia"/>
        </w:rPr>
        <w:t xml:space="preserve">数据层：清洗附件价格数据，确定真实拟合口径和冲突窗口。</w:t>
      </w:r>
    </w:p>
    <w:p>
      <w:pPr>
        <w:numPr>
          <w:ilvl w:val="0"/>
          <w:numId w:val="1001"/>
        </w:numPr>
      </w:pPr>
      <w:r>
        <w:rPr>
          <w:rFonts w:hint="eastAsia"/>
        </w:rPr>
        <w:t xml:space="preserve">基准层：用传统低弹性供需模型估计无缓冲理论上界。</w:t>
      </w:r>
    </w:p>
    <w:p>
      <w:pPr>
        <w:numPr>
          <w:ilvl w:val="0"/>
          <w:numId w:val="1001"/>
        </w:numPr>
      </w:pPr>
      <w:r>
        <w:rPr>
          <w:rFonts w:hint="eastAsia"/>
        </w:rPr>
        <w:t xml:space="preserve">动态层：引入</w:t>
      </w:r>
      <w:r>
        <w:t xml:space="preserve"> </w:t>
      </w:r>
      <w:r>
        <w:rPr>
          <w:rFonts w:hint="eastAsia"/>
        </w:rPr>
        <w:t xml:space="preserve">SPR、库存、绕道、需求调整、恐慌衰减和预期修复，解释现实价格路径。</w:t>
      </w:r>
    </w:p>
    <w:p>
      <w:pPr>
        <w:numPr>
          <w:ilvl w:val="0"/>
          <w:numId w:val="1001"/>
        </w:numPr>
      </w:pPr>
      <w:r>
        <w:rPr>
          <w:rFonts w:hint="eastAsia"/>
        </w:rPr>
        <w:t xml:space="preserve">外推层：构建</w:t>
      </w:r>
      <w:r>
        <w:t xml:space="preserve"> 60–180 </w:t>
      </w:r>
      <w:r>
        <w:rPr>
          <w:rFonts w:hint="eastAsia"/>
        </w:rPr>
        <w:t xml:space="preserve">天三情景预测，并通过敏感性分析识别关键变量。</w:t>
      </w:r>
    </w:p>
    <w:p>
      <w:pPr>
        <w:pStyle w:val="TableCaption"/>
      </w:pPr>
      <w:r>
        <w:rPr>
          <w:rFonts w:hint="eastAsia"/>
        </w:rPr>
        <w:t xml:space="preserve">赛题任务与本文模型回应</w:t>
      </w:r>
    </w:p>
    <w:tbl>
      <w:tblPr>
        <w:tblStyle w:val="Table"/>
        <w:tblW w:type="auto" w:w="0"/>
        <w:tblLook w:firstRow="1" w:lastRow="0" w:firstColumn="0" w:lastColumn="0" w:noHBand="0" w:noVBand="0" w:val="0020"/>
        <w:tblCaption w:val="赛题任务与本文模型回应"/>
      </w:tblPr>
      <w:tblGrid>
        <w:gridCol w:w="2640"/>
        <w:gridCol w:w="2640"/>
        <w:gridCol w:w="2640"/>
      </w:tblGrid>
      <w:tr>
        <w:trPr>
          <w:tblHeader w:val="on"/>
        </w:trPr>
        <w:tc>
          <w:tcPr/>
          <w:p>
            <w:pPr>
              <w:pStyle w:val="Compact"/>
              <w:jc w:val="left"/>
            </w:pPr>
            <w:r>
              <w:rPr>
                <w:rFonts w:hint="eastAsia"/>
              </w:rPr>
              <w:t xml:space="preserve">赛题要求</w:t>
            </w:r>
          </w:p>
        </w:tc>
        <w:tc>
          <w:tcPr/>
          <w:p>
            <w:pPr>
              <w:pStyle w:val="Compact"/>
              <w:jc w:val="left"/>
            </w:pPr>
            <w:r>
              <w:rPr>
                <w:rFonts w:hint="eastAsia"/>
              </w:rPr>
              <w:t xml:space="preserve">题面重点</w:t>
            </w:r>
          </w:p>
        </w:tc>
        <w:tc>
          <w:tcPr/>
          <w:p>
            <w:pPr>
              <w:pStyle w:val="Compact"/>
              <w:jc w:val="left"/>
            </w:pPr>
            <w:r>
              <w:rPr>
                <w:rFonts w:hint="eastAsia"/>
              </w:rPr>
              <w:t xml:space="preserve">本文回应</w:t>
            </w:r>
          </w:p>
        </w:tc>
      </w:tr>
      <w:tr>
        <w:tc>
          <w:tcPr/>
          <w:p>
            <w:pPr>
              <w:pStyle w:val="Compact"/>
              <w:jc w:val="left"/>
            </w:pPr>
            <w:r>
              <w:rPr>
                <w:rFonts w:hint="eastAsia"/>
              </w:rPr>
              <w:t xml:space="preserve">任务</w:t>
            </w:r>
            <w:r>
              <w:t xml:space="preserve"> 1</w:t>
            </w:r>
          </w:p>
        </w:tc>
        <w:tc>
          <w:tcPr/>
          <w:p>
            <w:pPr>
              <w:pStyle w:val="Compact"/>
              <w:jc w:val="left"/>
            </w:pPr>
            <w:r>
              <w:rPr>
                <w:rFonts w:hint="eastAsia"/>
              </w:rPr>
              <w:t xml:space="preserve">建立</w:t>
            </w:r>
            <w:r>
              <w:t xml:space="preserve"> 0–60 </w:t>
            </w:r>
            <w:r>
              <w:rPr>
                <w:rFonts w:hint="eastAsia"/>
              </w:rPr>
              <w:t xml:space="preserve">天日度供需平衡模型，使用附件布伦特原油价格数据，并考虑供应中断、SPR、库存、绕道、恐慌需求和短期弹性。</w:t>
            </w:r>
          </w:p>
        </w:tc>
        <w:tc>
          <w:tcPr/>
          <w:p>
            <w:pPr>
              <w:pStyle w:val="Compact"/>
              <w:jc w:val="left"/>
            </w:pPr>
            <w:r>
              <w:rPr>
                <w:rFonts w:hint="eastAsia"/>
              </w:rPr>
              <w:t xml:space="preserve">数据清洗、供需基准、短期递推和参数校准完成附件数据清洗、传统供需基准、短期动态递推、参数校准和防御性检验，给出</w:t>
            </w:r>
            <w:r>
              <w:t xml:space="preserve"> </w:t>
            </w:r>
            <w:r>
              <w:rPr>
                <w:rFonts w:hint="eastAsia"/>
              </w:rPr>
              <w:t xml:space="preserve">RMSE、MAE、MAPE、基准对比、滞后检验、机制消融和过拟合压力测试。</w:t>
            </w:r>
          </w:p>
        </w:tc>
      </w:tr>
      <w:tr>
        <w:tc>
          <w:tcPr/>
          <w:p>
            <w:pPr>
              <w:pStyle w:val="Compact"/>
              <w:jc w:val="left"/>
            </w:pPr>
            <w:r>
              <w:rPr>
                <w:rFonts w:hint="eastAsia"/>
              </w:rPr>
              <w:t xml:space="preserve">任务</w:t>
            </w:r>
            <w:r>
              <w:t xml:space="preserve"> 2</w:t>
            </w:r>
          </w:p>
        </w:tc>
        <w:tc>
          <w:tcPr/>
          <w:p>
            <w:pPr>
              <w:pStyle w:val="Compact"/>
              <w:jc w:val="left"/>
            </w:pPr>
            <w:r>
              <w:rPr>
                <w:rFonts w:hint="eastAsia"/>
              </w:rPr>
              <w:t xml:space="preserve">若封锁持续到</w:t>
            </w:r>
            <w:r>
              <w:t xml:space="preserve"> 60–180 </w:t>
            </w:r>
            <w:r>
              <w:rPr>
                <w:rFonts w:hint="eastAsia"/>
              </w:rPr>
              <w:t xml:space="preserve">天，预测油价变化和价格平衡点，考虑增产、长期弹性、阿联酋增产约束和库存耗尽跳变风险。</w:t>
            </w:r>
          </w:p>
        </w:tc>
        <w:tc>
          <w:tcPr/>
          <w:p>
            <w:pPr>
              <w:pStyle w:val="Compact"/>
              <w:jc w:val="left"/>
            </w:pPr>
            <w:r>
              <w:rPr>
                <w:rFonts w:hint="eastAsia"/>
              </w:rPr>
              <w:t xml:space="preserve">长期情景预测和敏感性分析构建乐观、中性、悲观三情景路径，给出第</w:t>
            </w:r>
            <w:r>
              <w:t xml:space="preserve"> 60/90/120/180 </w:t>
            </w:r>
            <w:r>
              <w:rPr>
                <w:rFonts w:hint="eastAsia"/>
              </w:rPr>
              <w:t xml:space="preserve">天价格、外推期峰值、库存风险、二次跳涨风险和关键参数敏感性排序。</w:t>
            </w:r>
          </w:p>
        </w:tc>
      </w:tr>
    </w:tbl>
    <w:bookmarkEnd w:id="9"/>
    <w:bookmarkStart w:id="14" w:name="问题分析与总体思路"/>
    <w:p>
      <w:pPr>
        <w:pStyle w:val="Heading1"/>
      </w:pPr>
      <w:r>
        <w:rPr>
          <w:rFonts w:hint="eastAsia"/>
        </w:rPr>
        <w:t xml:space="preserve">问题分析与总体思路</w:t>
      </w:r>
    </w:p>
    <w:p>
      <w:pPr>
        <w:pStyle w:val="FirstParagraph"/>
      </w:pPr>
      <w:r>
        <w:rPr>
          <w:rFonts w:hint="eastAsia"/>
        </w:rPr>
        <w:t xml:space="preserve">本题的难点不在于直接套用一个时间序列模型，而在于解释</w:t>
      </w:r>
      <w:r>
        <w:rPr>
          <w:rFonts w:hint="eastAsia"/>
        </w:rPr>
        <w:t xml:space="preserve">“为什么低弹性供需冲击会给出很高理论价格，而附件真实价格却停留在约</w:t>
      </w:r>
      <w:r>
        <w:t xml:space="preserve"> 110–120 </w:t>
      </w:r>
      <w:r>
        <w:rPr>
          <w:rFonts w:hint="eastAsia"/>
        </w:rPr>
        <w:t xml:space="preserve">美元/桶的平台附近”</w:t>
      </w:r>
      <w:r>
        <w:rPr>
          <w:rFonts w:hint="eastAsia"/>
        </w:rPr>
        <w:t xml:space="preserve">。因此，本文将建模思路分成三条互相支撑的证据线。</w:t>
      </w:r>
    </w:p>
    <w:p>
      <w:pPr>
        <w:numPr>
          <w:ilvl w:val="0"/>
          <w:numId w:val="1002"/>
        </w:numPr>
      </w:pPr>
      <w:r>
        <w:rPr>
          <w:rFonts w:hint="eastAsia"/>
        </w:rPr>
        <w:t xml:space="preserve">先建立传统供需基准，用题面低短期弹性和供应中断范围计算无缓冲理论上界，作为后续动态模型的反事实参照。</w:t>
      </w:r>
    </w:p>
    <w:p>
      <w:pPr>
        <w:numPr>
          <w:ilvl w:val="0"/>
          <w:numId w:val="1002"/>
        </w:numPr>
      </w:pPr>
      <w:r>
        <w:rPr>
          <w:rFonts w:hint="eastAsia"/>
        </w:rPr>
        <w:t xml:space="preserve">再建立短期动态递推模型，把</w:t>
      </w:r>
      <w:r>
        <w:t xml:space="preserve"> </w:t>
      </w:r>
      <w:r>
        <w:rPr>
          <w:rFonts w:hint="eastAsia"/>
        </w:rPr>
        <w:t xml:space="preserve">SPR、商业库存、绕道运输、需求收缩、恐慌衰减和预期修复纳入同一日度递推框架，解释附件冲突窗口内的真实价格路径。</w:t>
      </w:r>
    </w:p>
    <w:p>
      <w:pPr>
        <w:numPr>
          <w:ilvl w:val="0"/>
          <w:numId w:val="1002"/>
        </w:numPr>
      </w:pPr>
      <w:r>
        <w:rPr>
          <w:rFonts w:hint="eastAsia"/>
        </w:rPr>
        <w:t xml:space="preserve">最后建立</w:t>
      </w:r>
      <w:r>
        <w:t xml:space="preserve"> 60–180 </w:t>
      </w:r>
      <w:r>
        <w:rPr>
          <w:rFonts w:hint="eastAsia"/>
        </w:rPr>
        <w:t xml:space="preserve">天三情景预测模型，并通过敏感性分析、蒙特卡洛情景树、滞后地缘风险指数审计和历史样本稳健性检验识别影响长期价格平衡点和二次跳涨风险的关键变量。</w:t>
      </w:r>
    </w:p>
    <w:p>
      <w:pPr>
        <w:pStyle w:val="CaptionedFigure"/>
      </w:pPr>
      <w:r>
        <w:drawing>
          <wp:inline>
            <wp:extent cx="5120640" cy="2901696"/>
            <wp:effectExtent b="0" l="0" r="0" t="0"/>
            <wp:docPr descr="" title="" id="11" name="Picture"/>
            <a:graphic>
              <a:graphicData uri="http://schemas.openxmlformats.org/drawingml/2006/picture">
                <pic:pic>
                  <pic:nvPicPr>
                    <pic:cNvPr descr="论文总体技术路线图.png" id="12" name="Picture"/>
                    <pic:cNvPicPr>
                      <a:picLocks noChangeArrowheads="1" noChangeAspect="1"/>
                    </pic:cNvPicPr>
                  </pic:nvPicPr>
                  <pic:blipFill>
                    <a:blip r:embed="rId10"/>
                    <a:stretch>
                      <a:fillRect/>
                    </a:stretch>
                  </pic:blipFill>
                  <pic:spPr bwMode="auto">
                    <a:xfrm>
                      <a:off x="0" y="0"/>
                      <a:ext cx="5120640" cy="2901696"/>
                    </a:xfrm>
                    <a:prstGeom prst="rect">
                      <a:avLst/>
                    </a:prstGeom>
                    <a:noFill/>
                    <a:ln w="9525">
                      <a:noFill/>
                      <a:headEnd/>
                      <a:tailEnd/>
                    </a:ln>
                  </pic:spPr>
                </pic:pic>
              </a:graphicData>
            </a:graphic>
          </wp:inline>
        </w:drawing>
      </w:r>
    </w:p>
    <w:p>
      <w:pPr>
        <w:pStyle w:val="ImageCaption"/>
      </w:pPr>
      <w:r>
        <w:rPr>
          <w:rFonts w:hint="eastAsia"/>
        </w:rPr>
        <w:t xml:space="preserve">本文总体技术路线。模型从附件真实数据出发，先解释短期价格平台，再外推长期情景风险。</w:t>
      </w:r>
    </w:p>
    <w:p>
      <w:pPr>
        <w:pStyle w:val="BodyText"/>
      </w:pPr>
      <w:r>
        <w:rPr>
          <w:rFonts w:hint="eastAsia"/>
        </w:rPr>
        <w:t xml:space="preserve">这一技术路线的核心原则是：真实价格只来自附件数据；长期部分只作情景预测，不伪装成拟合；模型检验必须主动面对朴素基准、滞后复制、参数过拟合和硬编码上限等潜在质疑。</w:t>
      </w:r>
    </w:p>
    <w:p>
      <w:pPr>
        <w:pStyle w:val="BodyText"/>
      </w:pPr>
      <w:r>
        <w:rPr>
          <w:rFonts w:hint="eastAsia"/>
        </w:rPr>
        <w:t xml:space="preserve">最终论文只推荐一个主模型，即综合机制递推模型。传统供需模型用于提供反事实基准，三情景模型是主模型在</w:t>
      </w:r>
      <w:r>
        <w:t xml:space="preserve"> 60–180 </w:t>
      </w:r>
      <w:r>
        <w:rPr>
          <w:rFonts w:hint="eastAsia"/>
        </w:rPr>
        <w:t xml:space="preserve">天尺度上的条件外推，消融实验、敏感性分析和蒙特卡洛情景树用于证明主模型中的因素是否值得保留，并刻画多因素同时恶化时的尾部风险。因素纳入原则见表</w:t>
      </w:r>
      <w:r>
        <w:t xml:space="preserve"> </w:t>
      </w:r>
      <w:hyperlink w:anchor="tab:factor-inclusion">
        <w:r>
          <w:rPr>
            <w:rStyle w:val="Hyperlink"/>
          </w:rPr>
          <w:t xml:space="preserve">1</w:t>
        </w:r>
      </w:hyperlink>
      <w:r>
        <w:t xml:space="preserve">。</w:t>
      </w:r>
    </w:p>
    <w:bookmarkStart w:id="13" w:name="tab:factor-inclusion"/>
    <w:p>
      <w:pPr>
        <w:pStyle w:val="TableCaption"/>
      </w:pPr>
      <w:r>
        <w:rPr>
          <w:rFonts w:hint="eastAsia"/>
        </w:rPr>
        <w:t xml:space="preserve">因素纳入原则</w:t>
      </w:r>
    </w:p>
    <w:tbl>
      <w:tblPr>
        <w:tblStyle w:val="Table"/>
        <w:tblW w:type="auto" w:w="0"/>
        <w:tblLook w:firstRow="1" w:lastRow="0" w:firstColumn="0" w:lastColumn="0" w:noHBand="0" w:noVBand="0" w:val="0020"/>
        <w:tblCaption w:val="因素纳入原则"/>
      </w:tblPr>
      <w:tblGrid>
        <w:gridCol w:w="2640"/>
        <w:gridCol w:w="2640"/>
        <w:gridCol w:w="2640"/>
      </w:tblGrid>
      <w:tr>
        <w:trPr>
          <w:tblHeader w:val="on"/>
        </w:trPr>
        <w:tc>
          <w:tcPr/>
          <w:p>
            <w:pPr>
              <w:pStyle w:val="Compact"/>
              <w:jc w:val="left"/>
            </w:pPr>
            <w:r>
              <w:rPr>
                <w:rFonts w:hint="eastAsia"/>
              </w:rPr>
              <w:t xml:space="preserve">层级</w:t>
            </w:r>
          </w:p>
        </w:tc>
        <w:tc>
          <w:tcPr/>
          <w:p>
            <w:pPr>
              <w:pStyle w:val="Compact"/>
              <w:jc w:val="left"/>
            </w:pPr>
            <w:r>
              <w:rPr>
                <w:rFonts w:hint="eastAsia"/>
              </w:rPr>
              <w:t xml:space="preserve">因素</w:t>
            </w:r>
          </w:p>
        </w:tc>
        <w:tc>
          <w:tcPr/>
          <w:p>
            <w:pPr>
              <w:pStyle w:val="Compact"/>
              <w:jc w:val="left"/>
            </w:pPr>
            <w:r>
              <w:rPr>
                <w:rFonts w:hint="eastAsia"/>
              </w:rPr>
              <w:t xml:space="preserve">处理方式</w:t>
            </w:r>
          </w:p>
        </w:tc>
      </w:tr>
      <w:tr>
        <w:tc>
          <w:tcPr/>
          <w:p>
            <w:pPr>
              <w:pStyle w:val="Compact"/>
              <w:jc w:val="left"/>
            </w:pPr>
            <w:r>
              <w:rPr>
                <w:rFonts w:hint="eastAsia"/>
              </w:rPr>
              <w:t xml:space="preserve">主模型物理层</w:t>
            </w:r>
          </w:p>
        </w:tc>
        <w:tc>
          <w:tcPr/>
          <w:p>
            <w:pPr>
              <w:pStyle w:val="Compact"/>
              <w:jc w:val="left"/>
            </w:pPr>
            <w:r>
              <w:rPr>
                <w:rFonts w:hint="eastAsia"/>
              </w:rPr>
              <w:t xml:space="preserve">供应中断、短期弹性、SPR、商业库存、绕道运输、需求收缩、恐慌衰减</w:t>
            </w:r>
          </w:p>
        </w:tc>
        <w:tc>
          <w:tcPr/>
          <w:p>
            <w:pPr>
              <w:pStyle w:val="Compact"/>
              <w:jc w:val="left"/>
            </w:pPr>
            <w:r>
              <w:rPr>
                <w:rFonts w:hint="eastAsia"/>
              </w:rPr>
              <w:t xml:space="preserve">进入综合机制递推模型，参与短期路径拟合与机制解释</w:t>
            </w:r>
          </w:p>
        </w:tc>
      </w:tr>
      <w:tr>
        <w:tc>
          <w:tcPr/>
          <w:p>
            <w:pPr>
              <w:pStyle w:val="Compact"/>
              <w:jc w:val="left"/>
            </w:pPr>
            <w:r>
              <w:rPr>
                <w:rFonts w:hint="eastAsia"/>
              </w:rPr>
              <w:t xml:space="preserve">主模型价格形成层</w:t>
            </w:r>
          </w:p>
        </w:tc>
        <w:tc>
          <w:tcPr/>
          <w:p>
            <w:pPr>
              <w:pStyle w:val="Compact"/>
              <w:jc w:val="left"/>
            </w:pPr>
            <w:r>
              <w:rPr>
                <w:rFonts w:hint="eastAsia"/>
              </w:rPr>
              <w:t xml:space="preserve">地缘风险溢价、冲击不确定性、持续封锁制度风险、缓冲确认折价、预期修复折价</w:t>
            </w:r>
          </w:p>
        </w:tc>
        <w:tc>
          <w:tcPr/>
          <w:p>
            <w:pPr>
              <w:pStyle w:val="Compact"/>
              <w:jc w:val="left"/>
            </w:pPr>
            <w:r>
              <w:rPr>
                <w:rFonts w:hint="eastAsia"/>
              </w:rPr>
              <w:t xml:space="preserve">进入主模型，但必须通过基准对比、消融实验和稳健性检验证明必要性</w:t>
            </w:r>
          </w:p>
        </w:tc>
      </w:tr>
      <w:tr>
        <w:tc>
          <w:tcPr/>
          <w:p>
            <w:pPr>
              <w:pStyle w:val="Compact"/>
              <w:jc w:val="left"/>
            </w:pPr>
            <w:r>
              <w:rPr>
                <w:rFonts w:hint="eastAsia"/>
              </w:rPr>
              <w:t xml:space="preserve">长期情景层</w:t>
            </w:r>
          </w:p>
        </w:tc>
        <w:tc>
          <w:tcPr/>
          <w:p>
            <w:pPr>
              <w:pStyle w:val="Compact"/>
              <w:jc w:val="left"/>
            </w:pPr>
            <w:r>
              <w:t xml:space="preserve">OPEC+ </w:t>
            </w:r>
            <w:r>
              <w:rPr>
                <w:rFonts w:hint="eastAsia"/>
              </w:rPr>
              <w:t xml:space="preserve">剩余产能、非</w:t>
            </w:r>
            <w:r>
              <w:t xml:space="preserve"> OPEC </w:t>
            </w:r>
            <w:r>
              <w:rPr>
                <w:rFonts w:hint="eastAsia"/>
              </w:rPr>
              <w:t xml:space="preserve">供给响应、冲突升级概率</w:t>
            </w:r>
          </w:p>
        </w:tc>
        <w:tc>
          <w:tcPr/>
          <w:p>
            <w:pPr>
              <w:pStyle w:val="Compact"/>
              <w:jc w:val="left"/>
            </w:pPr>
            <w:r>
              <w:rPr>
                <w:rFonts w:hint="eastAsia"/>
              </w:rPr>
              <w:t xml:space="preserve">不强行用于短期拟合，进入</w:t>
            </w:r>
            <w:r>
              <w:t xml:space="preserve"> 60–180 </w:t>
            </w:r>
            <w:r>
              <w:rPr>
                <w:rFonts w:hint="eastAsia"/>
              </w:rPr>
              <w:t xml:space="preserve">天情景预测和尾部风险解释</w:t>
            </w:r>
          </w:p>
        </w:tc>
      </w:tr>
      <w:tr>
        <w:tc>
          <w:tcPr/>
          <w:p>
            <w:pPr>
              <w:pStyle w:val="Compact"/>
              <w:jc w:val="left"/>
            </w:pPr>
            <w:r>
              <w:rPr>
                <w:rFonts w:hint="eastAsia"/>
              </w:rPr>
              <w:t xml:space="preserve">改进方向</w:t>
            </w:r>
          </w:p>
        </w:tc>
        <w:tc>
          <w:tcPr/>
          <w:p>
            <w:pPr>
              <w:pStyle w:val="Compact"/>
              <w:jc w:val="left"/>
            </w:pPr>
            <w:r>
              <w:rPr>
                <w:rFonts w:hint="eastAsia"/>
              </w:rPr>
              <w:t xml:space="preserve">油轮保险费、美元指数、期货期限结构、投机资金和套保需求</w:t>
            </w:r>
          </w:p>
        </w:tc>
        <w:tc>
          <w:tcPr/>
          <w:p>
            <w:pPr>
              <w:pStyle w:val="Compact"/>
              <w:jc w:val="left"/>
            </w:pPr>
            <w:r>
              <w:rPr>
                <w:rFonts w:hint="eastAsia"/>
              </w:rPr>
              <w:t xml:space="preserve">当前缺少附件内真实外生数据，不单独参数化，作为后续扩展方向</w:t>
            </w:r>
          </w:p>
        </w:tc>
      </w:tr>
    </w:tbl>
    <w:bookmarkEnd w:id="13"/>
    <w:bookmarkEnd w:id="14"/>
    <w:bookmarkStart w:id="26" w:name="数据处理与描述性分析"/>
    <w:p>
      <w:pPr>
        <w:pStyle w:val="Heading1"/>
      </w:pPr>
      <w:r>
        <w:rPr>
          <w:rFonts w:hint="eastAsia"/>
        </w:rPr>
        <w:t xml:space="preserve">数据处理与描述性分析</w:t>
      </w:r>
    </w:p>
    <w:bookmarkStart w:id="21" w:name="数据来源与清洗口径"/>
    <w:p>
      <w:pPr>
        <w:pStyle w:val="Heading2"/>
      </w:pPr>
      <w:r>
        <w:rPr>
          <w:rFonts w:hint="eastAsia"/>
        </w:rPr>
        <w:t xml:space="preserve">数据来源与清洗口径</w:t>
      </w:r>
    </w:p>
    <w:p>
      <w:pPr>
        <w:pStyle w:val="FirstParagraph"/>
      </w:pPr>
      <w:r>
        <w:rPr>
          <w:rFonts w:hint="eastAsia"/>
        </w:rPr>
        <w:t xml:space="preserve">本文使用附件中的布伦特原油期货主力合约价格数据，字段包括交易日期、开盘价、最高价、最低价、收盘价和前收盘价。原始数据共</w:t>
      </w:r>
      <w:r>
        <w:t xml:space="preserve"> 2237 </w:t>
      </w:r>
      <w:r>
        <w:rPr>
          <w:rFonts w:hint="eastAsia"/>
        </w:rPr>
        <w:t xml:space="preserve">条，覆盖</w:t>
      </w:r>
      <w:r>
        <w:t xml:space="preserve"> 2017 </w:t>
      </w:r>
      <w:r>
        <w:rPr>
          <w:rFonts w:hint="eastAsia"/>
        </w:rPr>
        <w:t xml:space="preserve">年</w:t>
      </w:r>
      <w:r>
        <w:t xml:space="preserve"> 9 </w:t>
      </w:r>
      <w:r>
        <w:rPr>
          <w:rFonts w:hint="eastAsia"/>
        </w:rPr>
        <w:t xml:space="preserve">月</w:t>
      </w:r>
      <w:r>
        <w:t xml:space="preserve"> 1 </w:t>
      </w:r>
      <w:r>
        <w:rPr>
          <w:rFonts w:hint="eastAsia"/>
        </w:rPr>
        <w:t xml:space="preserve">日至</w:t>
      </w:r>
      <w:r>
        <w:t xml:space="preserve"> 2026 </w:t>
      </w:r>
      <w:r>
        <w:rPr>
          <w:rFonts w:hint="eastAsia"/>
        </w:rPr>
        <w:t xml:space="preserve">年</w:t>
      </w:r>
      <w:r>
        <w:t xml:space="preserve"> 5 </w:t>
      </w:r>
      <w:r>
        <w:rPr>
          <w:rFonts w:hint="eastAsia"/>
        </w:rPr>
        <w:t xml:space="preserve">月</w:t>
      </w:r>
      <w:r>
        <w:t xml:space="preserve"> 5 </w:t>
      </w:r>
      <w:r>
        <w:rPr>
          <w:rFonts w:hint="eastAsia"/>
        </w:rPr>
        <w:t xml:space="preserve">日。数据清洗步骤包括日期解析、数值字段标准化、收益率计算、滚动波动率计算和冲突窗口截取。第一条记录的前收盘价缺失属于正常时间序列边界，冲突窗口内收盘价不存在缺失。</w:t>
      </w:r>
    </w:p>
    <w:p>
      <w:pPr>
        <w:pStyle w:val="BodyText"/>
      </w:pPr>
      <w:r>
        <w:rPr>
          <w:rFonts w:hint="eastAsia"/>
        </w:rPr>
        <w:t xml:space="preserve">本文采用附件</w:t>
      </w:r>
      <w:r>
        <w:t xml:space="preserve"> CSV </w:t>
      </w:r>
      <w:r>
        <w:rPr>
          <w:rFonts w:hint="eastAsia"/>
        </w:rPr>
        <w:t xml:space="preserve">中的</w:t>
      </w:r>
      <w:r>
        <w:t xml:space="preserve"> </w:t>
      </w:r>
      <w:r>
        <w:rPr>
          <w:rStyle w:val="VerbatimChar"/>
        </w:rPr>
        <w:t xml:space="preserve">close_price</w:t>
      </w:r>
      <w:r>
        <w:t xml:space="preserve"> </w:t>
      </w:r>
      <w:r>
        <w:rPr>
          <w:rFonts w:hint="eastAsia"/>
        </w:rPr>
        <w:t xml:space="preserve">作为拟合目标。题面中提到的极端峰值和附件</w:t>
      </w:r>
      <w:r>
        <w:t xml:space="preserve"> CSV </w:t>
      </w:r>
      <w:r>
        <w:rPr>
          <w:rFonts w:hint="eastAsia"/>
        </w:rPr>
        <w:t xml:space="preserve">的收盘价口径并不完全一致，因此本文在建模评价中坚持</w:t>
      </w:r>
      <w:r>
        <w:rPr>
          <w:rFonts w:hint="eastAsia"/>
        </w:rPr>
        <w:t xml:space="preserve">“以附件数据为准”</w:t>
      </w:r>
      <w:r>
        <w:rPr>
          <w:rFonts w:hint="eastAsia"/>
        </w:rPr>
        <w:t xml:space="preserve">，并把题面峰值作为极端冲击叙述背景。</w:t>
      </w:r>
    </w:p>
    <w:p>
      <w:pPr>
        <w:pStyle w:val="TableCaption"/>
      </w:pPr>
      <w:r>
        <w:rPr>
          <w:rFonts w:hint="eastAsia"/>
        </w:rPr>
        <w:t xml:space="preserve">附件数据和冲突窗口关键统计</w:t>
      </w:r>
    </w:p>
    <w:tbl>
      <w:tblPr>
        <w:tblStyle w:val="Table"/>
        <w:tblW w:type="auto" w:w="0"/>
        <w:tblLook w:firstRow="1" w:lastRow="0" w:firstColumn="0" w:lastColumn="0" w:noHBand="0" w:noVBand="0" w:val="0020"/>
        <w:tblCaption w:val="附件数据和冲突窗口关键统计"/>
      </w:tblPr>
      <w:tblGrid>
        <w:gridCol w:w="3960"/>
        <w:gridCol w:w="3960"/>
      </w:tblGrid>
      <w:tr>
        <w:trPr>
          <w:tblHeader w:val="on"/>
        </w:trPr>
        <w:tc>
          <w:tcPr/>
          <w:p>
            <w:pPr>
              <w:pStyle w:val="Compact"/>
              <w:jc w:val="left"/>
            </w:pPr>
            <w:r>
              <w:rPr>
                <w:rFonts w:hint="eastAsia"/>
              </w:rPr>
              <w:t xml:space="preserve">指标</w:t>
            </w:r>
          </w:p>
        </w:tc>
        <w:tc>
          <w:tcPr/>
          <w:p>
            <w:pPr>
              <w:pStyle w:val="Compact"/>
              <w:jc w:val="right"/>
            </w:pPr>
            <w:r>
              <w:rPr>
                <w:rFonts w:hint="eastAsia"/>
              </w:rPr>
              <w:t xml:space="preserve">数值</w:t>
            </w:r>
          </w:p>
        </w:tc>
      </w:tr>
      <w:tr>
        <w:tc>
          <w:tcPr/>
          <w:p>
            <w:pPr>
              <w:pStyle w:val="Compact"/>
              <w:jc w:val="left"/>
            </w:pPr>
            <w:r>
              <w:rPr>
                <w:rFonts w:hint="eastAsia"/>
              </w:rPr>
              <w:t xml:space="preserve">原始记录数</w:t>
            </w:r>
          </w:p>
        </w:tc>
        <w:tc>
          <w:tcPr/>
          <w:p>
            <w:pPr>
              <w:pStyle w:val="Compact"/>
              <w:jc w:val="right"/>
            </w:pPr>
            <w:r>
              <w:t xml:space="preserve">2237</w:t>
            </w:r>
          </w:p>
        </w:tc>
      </w:tr>
      <w:tr>
        <w:tc>
          <w:tcPr/>
          <w:p>
            <w:pPr>
              <w:pStyle w:val="Compact"/>
              <w:jc w:val="left"/>
            </w:pPr>
            <w:r>
              <w:rPr>
                <w:rFonts w:hint="eastAsia"/>
              </w:rPr>
              <w:t xml:space="preserve">全样本日期范围</w:t>
            </w:r>
          </w:p>
        </w:tc>
        <w:tc>
          <w:tcPr/>
          <w:p>
            <w:pPr>
              <w:pStyle w:val="Compact"/>
              <w:jc w:val="right"/>
            </w:pPr>
            <w:r>
              <w:t xml:space="preserve">2017-09-01 </w:t>
            </w:r>
            <w:r>
              <w:rPr>
                <w:rFonts w:hint="eastAsia"/>
              </w:rPr>
              <w:t xml:space="preserve">至</w:t>
            </w:r>
            <w:r>
              <w:t xml:space="preserve"> 2026-05-05</w:t>
            </w:r>
          </w:p>
        </w:tc>
      </w:tr>
      <w:tr>
        <w:tc>
          <w:tcPr/>
          <w:p>
            <w:pPr>
              <w:pStyle w:val="Compact"/>
              <w:jc w:val="left"/>
            </w:pPr>
            <w:r>
              <w:rPr>
                <w:rFonts w:hint="eastAsia"/>
              </w:rPr>
              <w:t xml:space="preserve">冲突窗口日期范围</w:t>
            </w:r>
          </w:p>
        </w:tc>
        <w:tc>
          <w:tcPr/>
          <w:p>
            <w:pPr>
              <w:pStyle w:val="Compact"/>
              <w:jc w:val="right"/>
            </w:pPr>
            <w:r>
              <w:t xml:space="preserve">2026-03-02 </w:t>
            </w:r>
            <w:r>
              <w:rPr>
                <w:rFonts w:hint="eastAsia"/>
              </w:rPr>
              <w:t xml:space="preserve">至</w:t>
            </w:r>
            <w:r>
              <w:t xml:space="preserve"> 2026-05-05</w:t>
            </w:r>
          </w:p>
        </w:tc>
      </w:tr>
      <w:tr>
        <w:tc>
          <w:tcPr/>
          <w:p>
            <w:pPr>
              <w:pStyle w:val="Compact"/>
              <w:jc w:val="left"/>
            </w:pPr>
            <w:r>
              <w:rPr>
                <w:rFonts w:hint="eastAsia"/>
              </w:rPr>
              <w:t xml:space="preserve">冲突窗口交易日数</w:t>
            </w:r>
          </w:p>
        </w:tc>
        <w:tc>
          <w:tcPr/>
          <w:p>
            <w:pPr>
              <w:pStyle w:val="Compact"/>
              <w:jc w:val="right"/>
            </w:pPr>
            <w:r>
              <w:t xml:space="preserve">46</w:t>
            </w:r>
          </w:p>
        </w:tc>
      </w:tr>
      <w:tr>
        <w:tc>
          <w:tcPr/>
          <w:p>
            <w:pPr>
              <w:pStyle w:val="Compact"/>
              <w:jc w:val="left"/>
            </w:pPr>
            <w:r>
              <w:rPr>
                <w:rFonts w:hint="eastAsia"/>
              </w:rPr>
              <w:t xml:space="preserve">冲突窗口最低收盘价</w:t>
            </w:r>
          </w:p>
        </w:tc>
        <w:tc>
          <w:tcPr/>
          <w:p>
            <w:pPr>
              <w:pStyle w:val="Compact"/>
              <w:jc w:val="right"/>
            </w:pPr>
            <w:r>
              <w:t xml:space="preserve">78.07</w:t>
            </w:r>
          </w:p>
        </w:tc>
      </w:tr>
      <w:tr>
        <w:tc>
          <w:tcPr/>
          <w:p>
            <w:pPr>
              <w:pStyle w:val="Compact"/>
              <w:jc w:val="left"/>
            </w:pPr>
            <w:r>
              <w:rPr>
                <w:rFonts w:hint="eastAsia"/>
              </w:rPr>
              <w:t xml:space="preserve">冲突窗口最高收盘价</w:t>
            </w:r>
          </w:p>
        </w:tc>
        <w:tc>
          <w:tcPr/>
          <w:p>
            <w:pPr>
              <w:pStyle w:val="Compact"/>
              <w:jc w:val="right"/>
            </w:pPr>
            <w:r>
              <w:t xml:space="preserve">114.06</w:t>
            </w:r>
          </w:p>
        </w:tc>
      </w:tr>
      <w:tr>
        <w:tc>
          <w:tcPr/>
          <w:p>
            <w:pPr>
              <w:pStyle w:val="Compact"/>
              <w:jc w:val="left"/>
            </w:pPr>
            <w:r>
              <w:rPr>
                <w:rFonts w:hint="eastAsia"/>
              </w:rPr>
              <w:t xml:space="preserve">冲突窗口最高盘中价</w:t>
            </w:r>
          </w:p>
        </w:tc>
        <w:tc>
          <w:tcPr/>
          <w:p>
            <w:pPr>
              <w:pStyle w:val="Compact"/>
              <w:jc w:val="right"/>
            </w:pPr>
            <w:r>
              <w:t xml:space="preserve">119.50</w:t>
            </w:r>
          </w:p>
        </w:tc>
      </w:tr>
      <w:tr>
        <w:tc>
          <w:tcPr/>
          <w:p>
            <w:pPr>
              <w:pStyle w:val="Compact"/>
              <w:jc w:val="left"/>
            </w:pPr>
            <w:r>
              <w:rPr>
                <w:rFonts w:hint="eastAsia"/>
              </w:rPr>
              <w:t xml:space="preserve">冲突窗口平均收盘价</w:t>
            </w:r>
          </w:p>
        </w:tc>
        <w:tc>
          <w:tcPr/>
          <w:p>
            <w:pPr>
              <w:pStyle w:val="Compact"/>
              <w:jc w:val="right"/>
            </w:pPr>
            <w:r>
              <w:t xml:space="preserve">99.72</w:t>
            </w:r>
          </w:p>
        </w:tc>
      </w:tr>
      <w:tr>
        <w:tc>
          <w:tcPr/>
          <w:p>
            <w:pPr>
              <w:pStyle w:val="Compact"/>
              <w:jc w:val="left"/>
            </w:pPr>
            <w:r>
              <w:rPr>
                <w:rFonts w:hint="eastAsia"/>
              </w:rPr>
              <w:t xml:space="preserve">冲突窗口末日收盘价</w:t>
            </w:r>
          </w:p>
        </w:tc>
        <w:tc>
          <w:tcPr/>
          <w:p>
            <w:pPr>
              <w:pStyle w:val="Compact"/>
              <w:jc w:val="right"/>
            </w:pPr>
            <w:r>
              <w:t xml:space="preserve">110.31</w:t>
            </w:r>
          </w:p>
        </w:tc>
      </w:tr>
    </w:tbl>
    <w:p>
      <w:pPr>
        <w:pStyle w:val="BodyText"/>
      </w:pPr>
      <w:r>
        <w:rPr>
          <w:rFonts w:hint="eastAsia"/>
        </w:rPr>
        <w:t xml:space="preserve">为增强长期情景预测的外部约束，本文进一步补充</w:t>
      </w:r>
      <w:r>
        <w:t xml:space="preserve"> EIA </w:t>
      </w:r>
      <w:r>
        <w:rPr>
          <w:rFonts w:hint="eastAsia"/>
        </w:rPr>
        <w:t xml:space="preserve">官方周度数据，包括美国</w:t>
      </w:r>
      <w:r>
        <w:t xml:space="preserve"> SPR </w:t>
      </w:r>
      <w:r>
        <w:rPr>
          <w:rFonts w:hint="eastAsia"/>
        </w:rPr>
        <w:t xml:space="preserve">原油库存、美国商业原油库存和美国原油产量。需要说明的是，这些数据均为美国口径，不能直接等同全球战略储备、全球商业库存或全球供给恢复能力；本文将其用于审计长期模型的数量级和叙述边界，而不是粗暴替换赛题给定的全球冲击参数。</w:t>
      </w:r>
    </w:p>
    <w:p>
      <w:pPr>
        <w:pStyle w:val="TableCaption"/>
      </w:pPr>
      <w:r>
        <w:t xml:space="preserve">EIA </w:t>
      </w:r>
      <w:r>
        <w:rPr>
          <w:rFonts w:hint="eastAsia"/>
        </w:rPr>
        <w:t xml:space="preserve">官方外生数据摘要</w:t>
      </w:r>
    </w:p>
    <w:tbl>
      <w:tblPr>
        <w:tblStyle w:val="Table"/>
        <w:tblW w:type="auto" w:w="0"/>
        <w:tblLook w:firstRow="1" w:lastRow="0" w:firstColumn="0" w:lastColumn="0" w:noHBand="0" w:noVBand="0" w:val="0020"/>
        <w:tblCaption w:val="EIA 官方外生数据摘要"/>
      </w:tblPr>
      <w:tblGrid>
        <w:gridCol w:w="1584"/>
        <w:gridCol w:w="1584"/>
        <w:gridCol w:w="1584"/>
        <w:gridCol w:w="1584"/>
        <w:gridCol w:w="1584"/>
      </w:tblGrid>
      <w:tr>
        <w:trPr>
          <w:tblHeader w:val="on"/>
        </w:trPr>
        <w:tc>
          <w:tcPr/>
          <w:p>
            <w:pPr>
              <w:pStyle w:val="Compact"/>
              <w:jc w:val="left"/>
            </w:pPr>
            <w:r>
              <w:rPr>
                <w:rFonts w:hint="eastAsia"/>
              </w:rPr>
              <w:t xml:space="preserve">指标</w:t>
            </w:r>
          </w:p>
        </w:tc>
        <w:tc>
          <w:tcPr/>
          <w:p>
            <w:pPr>
              <w:pStyle w:val="Compact"/>
              <w:jc w:val="right"/>
            </w:pPr>
            <w:r>
              <w:rPr>
                <w:rFonts w:hint="eastAsia"/>
              </w:rPr>
              <w:t xml:space="preserve">冲突前数值</w:t>
            </w:r>
          </w:p>
        </w:tc>
        <w:tc>
          <w:tcPr/>
          <w:p>
            <w:pPr>
              <w:pStyle w:val="Compact"/>
              <w:jc w:val="right"/>
            </w:pPr>
            <w:r>
              <w:rPr>
                <w:rFonts w:hint="eastAsia"/>
              </w:rPr>
              <w:t xml:space="preserve">窗口末数值</w:t>
            </w:r>
          </w:p>
        </w:tc>
        <w:tc>
          <w:tcPr/>
          <w:p>
            <w:pPr>
              <w:pStyle w:val="Compact"/>
              <w:jc w:val="right"/>
            </w:pPr>
            <w:r>
              <w:rPr>
                <w:rFonts w:hint="eastAsia"/>
              </w:rPr>
              <w:t xml:space="preserve">窗口变化</w:t>
            </w:r>
          </w:p>
        </w:tc>
        <w:tc>
          <w:tcPr/>
          <w:p>
            <w:pPr>
              <w:pStyle w:val="Compact"/>
              <w:jc w:val="right"/>
            </w:pPr>
            <w:r>
              <w:rPr>
                <w:rFonts w:hint="eastAsia"/>
              </w:rPr>
              <w:t xml:space="preserve">日均变化</w:t>
            </w:r>
          </w:p>
        </w:tc>
      </w:tr>
      <w:tr>
        <w:tc>
          <w:tcPr/>
          <w:p>
            <w:pPr>
              <w:pStyle w:val="Compact"/>
              <w:jc w:val="left"/>
            </w:pPr>
            <w:r>
              <w:rPr>
                <w:rFonts w:hint="eastAsia"/>
              </w:rPr>
              <w:t xml:space="preserve">美国</w:t>
            </w:r>
            <w:r>
              <w:t xml:space="preserve"> SPR </w:t>
            </w:r>
            <w:r>
              <w:rPr>
                <w:rFonts w:hint="eastAsia"/>
              </w:rPr>
              <w:t xml:space="preserve">库存</w:t>
            </w:r>
          </w:p>
        </w:tc>
        <w:tc>
          <w:tcPr/>
          <w:p>
            <w:pPr>
              <w:pStyle w:val="Compact"/>
              <w:jc w:val="right"/>
            </w:pPr>
            <w:r>
              <w:t xml:space="preserve">415441</w:t>
            </w:r>
          </w:p>
        </w:tc>
        <w:tc>
          <w:tcPr/>
          <w:p>
            <w:pPr>
              <w:pStyle w:val="Compact"/>
              <w:jc w:val="right"/>
            </w:pPr>
            <w:r>
              <w:t xml:space="preserve">392700</w:t>
            </w:r>
          </w:p>
        </w:tc>
        <w:tc>
          <w:tcPr/>
          <w:p>
            <w:pPr>
              <w:pStyle w:val="Compact"/>
              <w:jc w:val="right"/>
            </w:pPr>
            <w:r>
              <w:t xml:space="preserve">-2274.1 </w:t>
            </w:r>
            <w:r>
              <w:rPr>
                <w:rFonts w:hint="eastAsia"/>
              </w:rPr>
              <w:t xml:space="preserve">万桶</w:t>
            </w:r>
          </w:p>
        </w:tc>
        <w:tc>
          <w:tcPr/>
          <w:p>
            <w:pPr>
              <w:pStyle w:val="Compact"/>
              <w:jc w:val="right"/>
            </w:pPr>
            <w:r>
              <w:t xml:space="preserve">-36.10 </w:t>
            </w:r>
            <w:r>
              <w:rPr>
                <w:rFonts w:hint="eastAsia"/>
              </w:rPr>
              <w:t xml:space="preserve">万桶/日</w:t>
            </w:r>
          </w:p>
        </w:tc>
      </w:tr>
      <w:tr>
        <w:tc>
          <w:tcPr/>
          <w:p>
            <w:pPr>
              <w:pStyle w:val="Compact"/>
              <w:jc w:val="left"/>
            </w:pPr>
            <w:r>
              <w:rPr>
                <w:rFonts w:hint="eastAsia"/>
              </w:rPr>
              <w:t xml:space="preserve">美国商业库存</w:t>
            </w:r>
          </w:p>
        </w:tc>
        <w:tc>
          <w:tcPr/>
          <w:p>
            <w:pPr>
              <w:pStyle w:val="Compact"/>
              <w:jc w:val="right"/>
            </w:pPr>
            <w:r>
              <w:t xml:space="preserve">439279</w:t>
            </w:r>
          </w:p>
        </w:tc>
        <w:tc>
          <w:tcPr/>
          <w:p>
            <w:pPr>
              <w:pStyle w:val="Compact"/>
              <w:jc w:val="right"/>
            </w:pPr>
            <w:r>
              <w:t xml:space="preserve">457182</w:t>
            </w:r>
          </w:p>
        </w:tc>
        <w:tc>
          <w:tcPr/>
          <w:p>
            <w:pPr>
              <w:pStyle w:val="Compact"/>
              <w:jc w:val="right"/>
            </w:pPr>
            <w:r>
              <w:t xml:space="preserve">1790.3 </w:t>
            </w:r>
            <w:r>
              <w:rPr>
                <w:rFonts w:hint="eastAsia"/>
              </w:rPr>
              <w:t xml:space="preserve">万桶</w:t>
            </w:r>
          </w:p>
        </w:tc>
        <w:tc>
          <w:tcPr/>
          <w:p>
            <w:pPr>
              <w:pStyle w:val="Compact"/>
              <w:jc w:val="right"/>
            </w:pPr>
            <w:r>
              <w:t xml:space="preserve">28.42 </w:t>
            </w:r>
            <w:r>
              <w:rPr>
                <w:rFonts w:hint="eastAsia"/>
              </w:rPr>
              <w:t xml:space="preserve">万桶/日</w:t>
            </w:r>
          </w:p>
        </w:tc>
      </w:tr>
      <w:tr>
        <w:tc>
          <w:tcPr/>
          <w:p>
            <w:pPr>
              <w:pStyle w:val="Compact"/>
              <w:jc w:val="left"/>
            </w:pPr>
            <w:r>
              <w:rPr>
                <w:rFonts w:hint="eastAsia"/>
              </w:rPr>
              <w:t xml:space="preserve">美国原油产量</w:t>
            </w:r>
          </w:p>
        </w:tc>
        <w:tc>
          <w:tcPr/>
          <w:p>
            <w:pPr>
              <w:pStyle w:val="Compact"/>
              <w:jc w:val="right"/>
            </w:pPr>
            <w:r>
              <w:t xml:space="preserve">13696</w:t>
            </w:r>
          </w:p>
        </w:tc>
        <w:tc>
          <w:tcPr/>
          <w:p>
            <w:pPr>
              <w:pStyle w:val="Compact"/>
              <w:jc w:val="right"/>
            </w:pPr>
            <w:r>
              <w:t xml:space="preserve">13573</w:t>
            </w:r>
          </w:p>
        </w:tc>
        <w:tc>
          <w:tcPr/>
          <w:p>
            <w:pPr>
              <w:pStyle w:val="Compact"/>
              <w:jc w:val="right"/>
            </w:pPr>
            <w:r>
              <w:t xml:space="preserve">-12.3 </w:t>
            </w:r>
            <w:r>
              <w:rPr>
                <w:rFonts w:hint="eastAsia"/>
              </w:rPr>
              <w:t xml:space="preserve">万桶/日</w:t>
            </w:r>
          </w:p>
        </w:tc>
        <w:tc>
          <w:tcPr/>
          <w:p>
            <w:pPr>
              <w:pStyle w:val="Compact"/>
              <w:jc w:val="right"/>
            </w:pPr>
            <w:r>
              <w:t xml:space="preserve">-0.20 </w:t>
            </w:r>
            <w:r>
              <w:rPr>
                <w:rFonts w:hint="eastAsia"/>
              </w:rPr>
              <w:t xml:space="preserve">万桶/日</w:t>
            </w:r>
          </w:p>
        </w:tc>
      </w:tr>
    </w:tbl>
    <w:p>
      <w:pPr>
        <w:pStyle w:val="BodyText"/>
      </w:pPr>
      <w:r>
        <w:rPr>
          <w:rFonts w:hint="eastAsia"/>
        </w:rPr>
        <w:t xml:space="preserve">该外部审计带来三个约束。第一，美国</w:t>
      </w:r>
      <w:r>
        <w:t xml:space="preserve"> SPR </w:t>
      </w:r>
      <w:r>
        <w:rPr>
          <w:rFonts w:hint="eastAsia"/>
        </w:rPr>
        <w:t xml:space="preserve">释放强度明显低于赛题给定的国际协调释放上限，因此模型中的</w:t>
      </w:r>
      <w:r>
        <w:t xml:space="preserve"> SPR </w:t>
      </w:r>
      <w:r>
        <w:rPr>
          <w:rFonts w:hint="eastAsia"/>
        </w:rPr>
        <w:t xml:space="preserve">参数应解释为全球或多国协调缓冲能力，而非美国单独释放量。第二，美国商业库存并未在冲突窗口内快速耗尽，说明库存缓冲不能被写成机械消耗项。第三，美国原油产量短期变化较小，支持</w:t>
      </w:r>
      <w:r>
        <w:rPr>
          <w:rFonts w:hint="eastAsia"/>
        </w:rPr>
        <w:t xml:space="preserve">“非海湾供给恢复较慢，难以单独抵消封锁缺口”</w:t>
      </w:r>
      <w:r>
        <w:rPr>
          <w:rFonts w:hint="eastAsia"/>
        </w:rPr>
        <w:t xml:space="preserve">的长期设定。</w:t>
      </w:r>
    </w:p>
    <w:p>
      <w:pPr>
        <w:pStyle w:val="BodyText"/>
      </w:pPr>
      <w:r>
        <w:rPr>
          <w:rFonts w:hint="eastAsia"/>
        </w:rPr>
        <w:t xml:space="preserve">为审计地缘风险溢价是否具有外部事实基础，本文进一步接入</w:t>
      </w:r>
      <w:r>
        <w:t xml:space="preserve"> Caldara-Iacoviello </w:t>
      </w:r>
      <w:r>
        <w:rPr>
          <w:rFonts w:hint="eastAsia"/>
        </w:rPr>
        <w:t xml:space="preserve">官方</w:t>
      </w:r>
      <w:r>
        <w:t xml:space="preserve"> GPR </w:t>
      </w:r>
      <w:r>
        <w:rPr>
          <w:rFonts w:hint="eastAsia"/>
        </w:rPr>
        <w:t xml:space="preserve">月度指数。GPR</w:t>
      </w:r>
      <w:r>
        <w:t xml:space="preserve"> </w:t>
      </w:r>
      <w:r>
        <w:rPr>
          <w:rFonts w:hint="eastAsia"/>
        </w:rPr>
        <w:t xml:space="preserve">指数由新闻文本构造，因此不能直接使用同月</w:t>
      </w:r>
      <w:r>
        <w:t xml:space="preserve"> GPR </w:t>
      </w:r>
      <w:r>
        <w:rPr>
          <w:rFonts w:hint="eastAsia"/>
        </w:rPr>
        <w:t xml:space="preserve">去解释同月油价，否则会产生</w:t>
      </w:r>
      <w:r>
        <w:rPr>
          <w:rFonts w:hint="eastAsia"/>
        </w:rPr>
        <w:t xml:space="preserve">“油价上涨引发新闻恐慌，新闻恐慌再解释油价”</w:t>
      </w:r>
      <w:r>
        <w:rPr>
          <w:rFonts w:hint="eastAsia"/>
        </w:rPr>
        <w:t xml:space="preserve">的内生性循环。本文只将其作为外部审计变量，并在统计关系中使用滞后一期口径。</w:t>
      </w:r>
    </w:p>
    <w:p>
      <w:pPr>
        <w:pStyle w:val="BodyText"/>
      </w:pPr>
      <w:r>
        <w:rPr>
          <w:rFonts w:hint="eastAsia"/>
        </w:rPr>
        <w:t xml:space="preserve">滞后</w:t>
      </w:r>
      <w:r>
        <w:t xml:space="preserve"> GPR </w:t>
      </w:r>
      <w:r>
        <w:rPr>
          <w:rFonts w:hint="eastAsia"/>
        </w:rPr>
        <w:t xml:space="preserve">审计显示，2026</w:t>
      </w:r>
      <w:r>
        <w:t xml:space="preserve"> </w:t>
      </w:r>
      <w:r>
        <w:rPr>
          <w:rFonts w:hint="eastAsia"/>
        </w:rPr>
        <w:t xml:space="preserve">年</w:t>
      </w:r>
      <w:r>
        <w:t xml:space="preserve"> 3 </w:t>
      </w:r>
      <w:r>
        <w:rPr>
          <w:rFonts w:hint="eastAsia"/>
        </w:rPr>
        <w:t xml:space="preserve">月</w:t>
      </w:r>
      <w:r>
        <w:t xml:space="preserve"> GPR </w:t>
      </w:r>
      <w:r>
        <w:rPr>
          <w:rFonts w:hint="eastAsia"/>
        </w:rPr>
        <w:t xml:space="preserve">为</w:t>
      </w:r>
      <w:r>
        <w:t xml:space="preserve"> </w:t>
      </w:r>
      <w:r>
        <w:rPr>
          <w:rFonts w:hint="eastAsia"/>
        </w:rPr>
        <w:t xml:space="preserve">326.99，位于</w:t>
      </w:r>
      <w:r>
        <w:t xml:space="preserve"> 1985–2025 </w:t>
      </w:r>
      <w:r>
        <w:rPr>
          <w:rFonts w:hint="eastAsia"/>
        </w:rPr>
        <w:t xml:space="preserve">历史样本约</w:t>
      </w:r>
      <w:r>
        <w:t xml:space="preserve"> 98.98% </w:t>
      </w:r>
      <w:r>
        <w:rPr>
          <w:rFonts w:hint="eastAsia"/>
        </w:rPr>
        <w:t xml:space="preserve">分位；2026</w:t>
      </w:r>
      <w:r>
        <w:t xml:space="preserve"> </w:t>
      </w:r>
      <w:r>
        <w:rPr>
          <w:rFonts w:hint="eastAsia"/>
        </w:rPr>
        <w:t xml:space="preserve">年</w:t>
      </w:r>
      <w:r>
        <w:t xml:space="preserve"> 4 </w:t>
      </w:r>
      <w:r>
        <w:rPr>
          <w:rFonts w:hint="eastAsia"/>
        </w:rPr>
        <w:t xml:space="preserve">月</w:t>
      </w:r>
      <w:r>
        <w:t xml:space="preserve"> GPR </w:t>
      </w:r>
      <w:r>
        <w:rPr>
          <w:rFonts w:hint="eastAsia"/>
        </w:rPr>
        <w:t xml:space="preserve">为</w:t>
      </w:r>
      <w:r>
        <w:t xml:space="preserve"> </w:t>
      </w:r>
      <w:r>
        <w:rPr>
          <w:rFonts w:hint="eastAsia"/>
        </w:rPr>
        <w:t xml:space="preserve">230.77，位于约</w:t>
      </w:r>
      <w:r>
        <w:t xml:space="preserve"> 97.76% </w:t>
      </w:r>
      <w:r>
        <w:rPr>
          <w:rFonts w:hint="eastAsia"/>
        </w:rPr>
        <w:t xml:space="preserve">分位。这说明冲突窗口确实对应罕见的地缘风险高位，支持模型中设置风险溢价和恐慌衰减机制。但同时，2017–2026</w:t>
      </w:r>
      <w:r>
        <w:t xml:space="preserve"> </w:t>
      </w:r>
      <w:r>
        <w:rPr>
          <w:rFonts w:hint="eastAsia"/>
        </w:rPr>
        <w:t xml:space="preserve">样本中滞后</w:t>
      </w:r>
      <w:r>
        <w:t xml:space="preserve"> 1 </w:t>
      </w:r>
      <w:r>
        <w:rPr>
          <w:rFonts w:hint="eastAsia"/>
        </w:rPr>
        <w:t xml:space="preserve">月</w:t>
      </w:r>
      <w:r>
        <w:t xml:space="preserve"> GPR </w:t>
      </w:r>
      <w:r>
        <w:rPr>
          <w:rFonts w:hint="eastAsia"/>
        </w:rPr>
        <w:t xml:space="preserve">与本月油价月度收益的相关系数仅为</w:t>
      </w:r>
      <w:r>
        <w:t xml:space="preserve"> </w:t>
      </w:r>
      <w:r>
        <w:rPr>
          <w:rFonts w:hint="eastAsia"/>
        </w:rPr>
        <w:t xml:space="preserve">0.030，线性回归</w:t>
      </w:r>
      <w:r>
        <w:t xml:space="preserve"> </w:t>
      </w:r>
      <m:oMath>
        <m:sSup>
          <m:e>
            <m:r>
              <m:t>R</m:t>
            </m:r>
          </m:e>
          <m:sup>
            <m:r>
              <m:t>2</m:t>
            </m:r>
          </m:sup>
        </m:sSup>
      </m:oMath>
      <w:r>
        <w:t xml:space="preserve"> </w:t>
      </w:r>
      <w:r>
        <w:rPr>
          <w:rFonts w:hint="eastAsia"/>
        </w:rPr>
        <w:t xml:space="preserve">约为</w:t>
      </w:r>
      <w:r>
        <w:t xml:space="preserve"> </w:t>
      </w:r>
      <w:r>
        <w:rPr>
          <w:rFonts w:hint="eastAsia"/>
        </w:rPr>
        <w:t xml:space="preserve">0.001，说明它不能被包装成强短期收益预测因子。</w:t>
      </w:r>
    </w:p>
    <w:p>
      <w:pPr>
        <w:pStyle w:val="CaptionedFigure"/>
      </w:pPr>
      <w:r>
        <w:drawing>
          <wp:inline>
            <wp:extent cx="4907280" cy="2453640"/>
            <wp:effectExtent b="0" l="0" r="0" t="0"/>
            <wp:docPr descr="" title="" id="16" name="Picture"/>
            <a:graphic>
              <a:graphicData uri="http://schemas.openxmlformats.org/drawingml/2006/picture">
                <pic:pic>
                  <pic:nvPicPr>
                    <pic:cNvPr descr="price_trend.png" id="17" name="Picture"/>
                    <pic:cNvPicPr>
                      <a:picLocks noChangeArrowheads="1" noChangeAspect="1"/>
                    </pic:cNvPicPr>
                  </pic:nvPicPr>
                  <pic:blipFill>
                    <a:blip r:embed="rId15"/>
                    <a:stretch>
                      <a:fillRect/>
                    </a:stretch>
                  </pic:blipFill>
                  <pic:spPr bwMode="auto">
                    <a:xfrm>
                      <a:off x="0" y="0"/>
                      <a:ext cx="4907280" cy="2453640"/>
                    </a:xfrm>
                    <a:prstGeom prst="rect">
                      <a:avLst/>
                    </a:prstGeom>
                    <a:noFill/>
                    <a:ln w="9525">
                      <a:noFill/>
                      <a:headEnd/>
                      <a:tailEnd/>
                    </a:ln>
                  </pic:spPr>
                </pic:pic>
              </a:graphicData>
            </a:graphic>
          </wp:inline>
        </w:drawing>
      </w:r>
    </w:p>
    <w:p>
      <w:pPr>
        <w:pStyle w:val="ImageCaption"/>
      </w:pPr>
      <w:r>
        <w:rPr>
          <w:rFonts w:hint="eastAsia"/>
        </w:rPr>
        <w:t xml:space="preserve">布伦特原油期货主力合约收盘价长期走势。</w:t>
      </w:r>
    </w:p>
    <w:p>
      <w:pPr>
        <w:pStyle w:val="CaptionedFigure"/>
      </w:pPr>
      <w:r>
        <w:drawing>
          <wp:inline>
            <wp:extent cx="4907280" cy="2453640"/>
            <wp:effectExtent b="0" l="0" r="0" t="0"/>
            <wp:docPr descr="" title="" id="19" name="Picture"/>
            <a:graphic>
              <a:graphicData uri="http://schemas.openxmlformats.org/drawingml/2006/picture">
                <pic:pic>
                  <pic:nvPicPr>
                    <pic:cNvPr descr="event_window_price.png" id="20" name="Picture"/>
                    <pic:cNvPicPr>
                      <a:picLocks noChangeArrowheads="1" noChangeAspect="1"/>
                    </pic:cNvPicPr>
                  </pic:nvPicPr>
                  <pic:blipFill>
                    <a:blip r:embed="rId18"/>
                    <a:stretch>
                      <a:fillRect/>
                    </a:stretch>
                  </pic:blipFill>
                  <pic:spPr bwMode="auto">
                    <a:xfrm>
                      <a:off x="0" y="0"/>
                      <a:ext cx="4907280" cy="2453640"/>
                    </a:xfrm>
                    <a:prstGeom prst="rect">
                      <a:avLst/>
                    </a:prstGeom>
                    <a:noFill/>
                    <a:ln w="9525">
                      <a:noFill/>
                      <a:headEnd/>
                      <a:tailEnd/>
                    </a:ln>
                  </pic:spPr>
                </pic:pic>
              </a:graphicData>
            </a:graphic>
          </wp:inline>
        </w:drawing>
      </w:r>
    </w:p>
    <w:p>
      <w:pPr>
        <w:pStyle w:val="ImageCaption"/>
      </w:pPr>
      <w:r>
        <w:rPr>
          <w:rFonts w:hint="eastAsia"/>
        </w:rPr>
        <w:t xml:space="preserve">冲突窗口内附件真实价格路径。</w:t>
      </w:r>
    </w:p>
    <w:bookmarkEnd w:id="21"/>
    <w:bookmarkStart w:id="25" w:name="波动率特征"/>
    <w:p>
      <w:pPr>
        <w:pStyle w:val="Heading2"/>
      </w:pPr>
      <w:r>
        <w:rPr>
          <w:rFonts w:hint="eastAsia"/>
        </w:rPr>
        <w:t xml:space="preserve">波动率特征</w:t>
      </w:r>
    </w:p>
    <w:p>
      <w:pPr>
        <w:pStyle w:val="FirstParagraph"/>
      </w:pPr>
      <w:r>
        <w:rPr>
          <w:rFonts w:hint="eastAsia"/>
        </w:rPr>
        <w:t xml:space="preserve">冲突窗口内，油价从</w:t>
      </w:r>
      <w:r>
        <w:t xml:space="preserve"> 78.07 </w:t>
      </w:r>
      <w:r>
        <w:rPr>
          <w:rFonts w:hint="eastAsia"/>
        </w:rPr>
        <w:t xml:space="preserve">美元/桶快速上行至高位平台，并在后期出现再定价回落和反复震荡。这一现象说明，价格不只是由供应缺口单向推升，还受到政策缓冲、市场确认和预期修复的共同影响。滚动波动率图显示，冲突窗口附近波动明显放大，适合使用事件机制模型而不是普通平稳时间序列模型。</w:t>
      </w:r>
    </w:p>
    <w:p>
      <w:pPr>
        <w:pStyle w:val="CaptionedFigure"/>
      </w:pPr>
      <w:r>
        <w:drawing>
          <wp:inline>
            <wp:extent cx="4907280" cy="3345872"/>
            <wp:effectExtent b="0" l="0" r="0" t="0"/>
            <wp:docPr descr="" title="" id="23" name="Picture"/>
            <a:graphic>
              <a:graphicData uri="http://schemas.openxmlformats.org/drawingml/2006/picture">
                <pic:pic>
                  <pic:nvPicPr>
                    <pic:cNvPr descr="return_volatility.png" id="24" name="Picture"/>
                    <pic:cNvPicPr>
                      <a:picLocks noChangeArrowheads="1" noChangeAspect="1"/>
                    </pic:cNvPicPr>
                  </pic:nvPicPr>
                  <pic:blipFill>
                    <a:blip r:embed="rId22"/>
                    <a:stretch>
                      <a:fillRect/>
                    </a:stretch>
                  </pic:blipFill>
                  <pic:spPr bwMode="auto">
                    <a:xfrm>
                      <a:off x="0" y="0"/>
                      <a:ext cx="4907280" cy="3345872"/>
                    </a:xfrm>
                    <a:prstGeom prst="rect">
                      <a:avLst/>
                    </a:prstGeom>
                    <a:noFill/>
                    <a:ln w="9525">
                      <a:noFill/>
                      <a:headEnd/>
                      <a:tailEnd/>
                    </a:ln>
                  </pic:spPr>
                </pic:pic>
              </a:graphicData>
            </a:graphic>
          </wp:inline>
        </w:drawing>
      </w:r>
    </w:p>
    <w:p>
      <w:pPr>
        <w:pStyle w:val="ImageCaption"/>
      </w:pPr>
      <w:r>
        <w:rPr>
          <w:rFonts w:hint="eastAsia"/>
        </w:rPr>
        <w:t xml:space="preserve">收益率与滚动波动率。冲突窗口波动放大，为事件机制建模提供依据。</w:t>
      </w:r>
    </w:p>
    <w:bookmarkEnd w:id="25"/>
    <w:bookmarkEnd w:id="26"/>
    <w:bookmarkStart w:id="30" w:name="模型假设与符号说明"/>
    <w:p>
      <w:pPr>
        <w:pStyle w:val="Heading1"/>
      </w:pPr>
      <w:r>
        <w:rPr>
          <w:rFonts w:hint="eastAsia"/>
        </w:rPr>
        <w:t xml:space="preserve">模型假设与符号说明</w:t>
      </w:r>
    </w:p>
    <w:bookmarkStart w:id="27" w:name="基本假设"/>
    <w:p>
      <w:pPr>
        <w:pStyle w:val="Heading2"/>
      </w:pPr>
      <w:r>
        <w:rPr>
          <w:rFonts w:hint="eastAsia"/>
        </w:rPr>
        <w:t xml:space="preserve">基本假设</w:t>
      </w:r>
    </w:p>
    <w:p>
      <w:pPr>
        <w:numPr>
          <w:ilvl w:val="0"/>
          <w:numId w:val="1003"/>
        </w:numPr>
      </w:pPr>
      <w:r>
        <w:rPr>
          <w:rFonts w:hint="eastAsia"/>
        </w:rPr>
        <w:t xml:space="preserve">附件</w:t>
      </w:r>
      <w:r>
        <w:t xml:space="preserve"> CSV </w:t>
      </w:r>
      <w:r>
        <w:rPr>
          <w:rFonts w:hint="eastAsia"/>
        </w:rPr>
        <w:t xml:space="preserve">中的收盘价是本文拟合、校准和误差评价的唯一真实价格序列。</w:t>
      </w:r>
    </w:p>
    <w:p>
      <w:pPr>
        <w:numPr>
          <w:ilvl w:val="0"/>
          <w:numId w:val="1003"/>
        </w:numPr>
      </w:pPr>
      <w:r>
        <w:rPr>
          <w:rFonts w:hint="eastAsia"/>
        </w:rPr>
        <w:t xml:space="preserve">供应中断、SPR</w:t>
      </w:r>
      <w:r>
        <w:t xml:space="preserve"> </w:t>
      </w:r>
      <w:r>
        <w:rPr>
          <w:rFonts w:hint="eastAsia"/>
        </w:rPr>
        <w:t xml:space="preserve">释放上限、绕道运输能力等变量遵循赛题给定范围，不在范围外任意调整。</w:t>
      </w:r>
    </w:p>
    <w:p>
      <w:pPr>
        <w:numPr>
          <w:ilvl w:val="0"/>
          <w:numId w:val="1003"/>
        </w:numPr>
      </w:pPr>
      <w:r>
        <w:rPr>
          <w:rFonts w:hint="eastAsia"/>
        </w:rPr>
        <w:t xml:space="preserve">短期需求弹性按题面给定低弹性口径处理；中长期需求弹性允许逐步过渡，以反映高价下需求调整更充分。</w:t>
      </w:r>
    </w:p>
    <w:p>
      <w:pPr>
        <w:numPr>
          <w:ilvl w:val="0"/>
          <w:numId w:val="1003"/>
        </w:numPr>
      </w:pPr>
      <w:r>
        <w:rPr>
          <w:rFonts w:hint="eastAsia"/>
        </w:rPr>
        <w:t xml:space="preserve">模型不使用新闻爬虫数据，也不把外部新闻情绪作为观测输入；恐慌强度和衰减率是行为机制参数。</w:t>
      </w:r>
    </w:p>
    <w:p>
      <w:pPr>
        <w:numPr>
          <w:ilvl w:val="0"/>
          <w:numId w:val="1003"/>
        </w:numPr>
      </w:pPr>
      <w:r>
        <w:t xml:space="preserve">60–180 </w:t>
      </w:r>
      <w:r>
        <w:rPr>
          <w:rFonts w:hint="eastAsia"/>
        </w:rPr>
        <w:t xml:space="preserve">天预测为条件情景外推，不代表真实未来观测，也不编造任何未来真实价格。</w:t>
      </w:r>
    </w:p>
    <w:bookmarkEnd w:id="27"/>
    <w:bookmarkStart w:id="28" w:name="符号说明"/>
    <w:p>
      <w:pPr>
        <w:pStyle w:val="Heading2"/>
      </w:pPr>
      <w:r>
        <w:rPr>
          <w:rFonts w:hint="eastAsia"/>
        </w:rPr>
        <w:t xml:space="preserve">符号说明</w:t>
      </w:r>
    </w:p>
    <w:p>
      <w:pPr>
        <w:pStyle w:val="TableCaption"/>
      </w:pPr>
      <w:r>
        <w:rPr>
          <w:rFonts w:hint="eastAsia"/>
        </w:rPr>
        <w:t xml:space="preserve">主要符号说明</w:t>
      </w:r>
    </w:p>
    <w:tbl>
      <w:tblPr>
        <w:tblStyle w:val="Table"/>
        <w:tblW w:type="auto" w:w="0"/>
        <w:tblLook w:firstRow="1" w:lastRow="0" w:firstColumn="0" w:lastColumn="0" w:noHBand="0" w:noVBand="0" w:val="0020"/>
        <w:tblCaption w:val="主要符号说明"/>
      </w:tblPr>
      <w:tblGrid>
        <w:gridCol w:w="2640"/>
        <w:gridCol w:w="2640"/>
        <w:gridCol w:w="2640"/>
      </w:tblGrid>
      <w:tr>
        <w:trPr>
          <w:tblHeader w:val="on"/>
        </w:trPr>
        <w:tc>
          <w:tcPr/>
          <w:p>
            <w:pPr>
              <w:pStyle w:val="Compact"/>
              <w:jc w:val="left"/>
            </w:pPr>
            <w:r>
              <w:rPr>
                <w:rFonts w:hint="eastAsia"/>
              </w:rPr>
              <w:t xml:space="preserve">符号</w:t>
            </w:r>
          </w:p>
        </w:tc>
        <w:tc>
          <w:tcPr/>
          <w:p>
            <w:pPr>
              <w:pStyle w:val="Compact"/>
              <w:jc w:val="left"/>
            </w:pPr>
            <w:r>
              <w:rPr>
                <w:rFonts w:hint="eastAsia"/>
              </w:rPr>
              <w:t xml:space="preserve">含义</w:t>
            </w:r>
          </w:p>
        </w:tc>
        <w:tc>
          <w:tcPr/>
          <w:p>
            <w:pPr>
              <w:pStyle w:val="Compact"/>
              <w:jc w:val="left"/>
            </w:pPr>
            <w:r>
              <w:rPr>
                <w:rFonts w:hint="eastAsia"/>
              </w:rPr>
              <w:t xml:space="preserve">单位</w:t>
            </w:r>
          </w:p>
        </w:tc>
      </w:tr>
      <w:tr>
        <w:tc>
          <w:tcPr/>
          <w:p>
            <w:pPr>
              <w:pStyle w:val="Compact"/>
              <w:jc w:val="left"/>
            </w:pPr>
            <m:oMath>
              <m:sSub>
                <m:e>
                  <m:r>
                    <m:t>P</m:t>
                  </m:r>
                </m:e>
                <m:sub>
                  <m:r>
                    <m:t>t</m:t>
                  </m:r>
                </m:sub>
              </m:sSub>
            </m:oMath>
          </w:p>
        </w:tc>
        <w:tc>
          <w:tcPr/>
          <w:p>
            <w:pPr>
              <w:pStyle w:val="Compact"/>
              <w:jc w:val="left"/>
            </w:pPr>
            <w:r>
              <w:rPr>
                <w:rFonts w:hint="eastAsia"/>
              </w:rPr>
              <w:t xml:space="preserve">第</w:t>
            </w:r>
            <w:r>
              <w:t xml:space="preserve"> </w:t>
            </w:r>
            <m:oMath>
              <m:r>
                <m:t>t</m:t>
              </m:r>
            </m:oMath>
            <w:r>
              <w:t xml:space="preserve"> </w:t>
            </w:r>
            <w:r>
              <w:rPr>
                <w:rFonts w:hint="eastAsia"/>
              </w:rPr>
              <w:t xml:space="preserve">日实际收盘价</w:t>
            </w:r>
          </w:p>
        </w:tc>
        <w:tc>
          <w:tcPr/>
          <w:p>
            <w:pPr>
              <w:pStyle w:val="Compact"/>
              <w:jc w:val="left"/>
            </w:pPr>
            <w:r>
              <w:rPr>
                <w:rFonts w:hint="eastAsia"/>
              </w:rPr>
              <w:t xml:space="preserve">美元/桶</w:t>
            </w:r>
          </w:p>
        </w:tc>
      </w:tr>
      <w:tr>
        <w:tc>
          <w:tcPr/>
          <w:p>
            <w:pPr>
              <w:pStyle w:val="Compact"/>
              <w:jc w:val="left"/>
            </w:pPr>
            <m:oMath>
              <m:sSub>
                <m:e>
                  <m:acc>
                    <m:accPr>
                      <m:chr m:val="̂"/>
                    </m:accPr>
                    <m:e>
                      <m:r>
                        <m:t>P</m:t>
                      </m:r>
                    </m:e>
                  </m:acc>
                </m:e>
                <m:sub>
                  <m:r>
                    <m:t>t</m:t>
                  </m:r>
                </m:sub>
              </m:sSub>
            </m:oMath>
          </w:p>
        </w:tc>
        <w:tc>
          <w:tcPr/>
          <w:p>
            <w:pPr>
              <w:pStyle w:val="Compact"/>
              <w:jc w:val="left"/>
            </w:pPr>
            <w:r>
              <w:rPr>
                <w:rFonts w:hint="eastAsia"/>
              </w:rPr>
              <w:t xml:space="preserve">第</w:t>
            </w:r>
            <w:r>
              <w:t xml:space="preserve"> </w:t>
            </w:r>
            <m:oMath>
              <m:r>
                <m:t>t</m:t>
              </m:r>
            </m:oMath>
            <w:r>
              <w:t xml:space="preserve"> </w:t>
            </w:r>
            <w:r>
              <w:rPr>
                <w:rFonts w:hint="eastAsia"/>
              </w:rPr>
              <w:t xml:space="preserve">日模型递推价格</w:t>
            </w:r>
          </w:p>
        </w:tc>
        <w:tc>
          <w:tcPr/>
          <w:p>
            <w:pPr>
              <w:pStyle w:val="Compact"/>
              <w:jc w:val="left"/>
            </w:pPr>
            <w:r>
              <w:rPr>
                <w:rFonts w:hint="eastAsia"/>
              </w:rPr>
              <w:t xml:space="preserve">美元/桶</w:t>
            </w:r>
          </w:p>
        </w:tc>
      </w:tr>
      <w:tr>
        <w:tc>
          <w:tcPr/>
          <w:p>
            <w:pPr>
              <w:pStyle w:val="Compact"/>
              <w:jc w:val="left"/>
            </w:pPr>
            <m:oMath>
              <m:sSub>
                <m:e>
                  <m:r>
                    <m:t>P</m:t>
                  </m:r>
                </m:e>
                <m:sub>
                  <m:r>
                    <m:t>0</m:t>
                  </m:r>
                </m:sub>
              </m:sSub>
            </m:oMath>
          </w:p>
        </w:tc>
        <w:tc>
          <w:tcPr/>
          <w:p>
            <w:pPr>
              <w:pStyle w:val="Compact"/>
              <w:jc w:val="left"/>
            </w:pPr>
            <w:r>
              <w:rPr>
                <w:rFonts w:hint="eastAsia"/>
              </w:rPr>
              <w:t xml:space="preserve">冲突窗口前收盘基准价</w:t>
            </w:r>
          </w:p>
        </w:tc>
        <w:tc>
          <w:tcPr/>
          <w:p>
            <w:pPr>
              <w:pStyle w:val="Compact"/>
              <w:jc w:val="left"/>
            </w:pPr>
            <w:r>
              <w:rPr>
                <w:rFonts w:hint="eastAsia"/>
              </w:rPr>
              <w:t xml:space="preserve">美元/桶</w:t>
            </w:r>
          </w:p>
        </w:tc>
      </w:tr>
      <w:tr>
        <w:tc>
          <w:tcPr/>
          <w:p>
            <w:pPr>
              <w:pStyle w:val="Compact"/>
              <w:jc w:val="left"/>
            </w:pPr>
            <m:oMath>
              <m:sSub>
                <m:e>
                  <m:r>
                    <m:t>S</m:t>
                  </m:r>
                </m:e>
                <m:sub>
                  <m:r>
                    <m:t>0</m:t>
                  </m:r>
                </m:sub>
              </m:sSub>
              <m:r>
                <m:rPr>
                  <m:sty m:val="p"/>
                </m:rPr>
                <m:t>,</m:t>
              </m:r>
              <m:sSub>
                <m:e>
                  <m:r>
                    <m:t>D</m:t>
                  </m:r>
                </m:e>
                <m:sub>
                  <m:r>
                    <m:t>0</m:t>
                  </m:r>
                </m:sub>
              </m:sSub>
            </m:oMath>
          </w:p>
        </w:tc>
        <w:tc>
          <w:tcPr/>
          <w:p>
            <w:pPr>
              <w:pStyle w:val="Compact"/>
              <w:jc w:val="left"/>
            </w:pPr>
            <w:r>
              <w:rPr>
                <w:rFonts w:hint="eastAsia"/>
              </w:rPr>
              <w:t xml:space="preserve">战前基准供给和需求</w:t>
            </w:r>
          </w:p>
        </w:tc>
        <w:tc>
          <w:tcPr/>
          <w:p>
            <w:pPr>
              <w:pStyle w:val="Compact"/>
              <w:jc w:val="left"/>
            </w:pPr>
            <w:r>
              <w:rPr>
                <w:rFonts w:hint="eastAsia"/>
              </w:rPr>
              <w:t xml:space="preserve">万桶/日</w:t>
            </w:r>
          </w:p>
        </w:tc>
      </w:tr>
      <w:tr>
        <w:tc>
          <w:tcPr/>
          <w:p>
            <w:pPr>
              <w:pStyle w:val="Compact"/>
              <w:jc w:val="left"/>
            </w:pPr>
            <m:oMath>
              <m:r>
                <m:t>I</m:t>
              </m:r>
            </m:oMath>
          </w:p>
        </w:tc>
        <w:tc>
          <w:tcPr/>
          <w:p>
            <w:pPr>
              <w:pStyle w:val="Compact"/>
              <w:jc w:val="left"/>
            </w:pPr>
            <w:r>
              <w:rPr>
                <w:rFonts w:hint="eastAsia"/>
              </w:rPr>
              <w:t xml:space="preserve">封锁造成的供应中断量</w:t>
            </w:r>
          </w:p>
        </w:tc>
        <w:tc>
          <w:tcPr/>
          <w:p>
            <w:pPr>
              <w:pStyle w:val="Compact"/>
              <w:jc w:val="left"/>
            </w:pPr>
            <w:r>
              <w:rPr>
                <w:rFonts w:hint="eastAsia"/>
              </w:rPr>
              <w:t xml:space="preserve">万桶/日</w:t>
            </w:r>
          </w:p>
        </w:tc>
      </w:tr>
      <w:tr>
        <w:tc>
          <w:tcPr/>
          <w:p>
            <w:pPr>
              <w:pStyle w:val="Compact"/>
              <w:jc w:val="left"/>
            </w:pPr>
            <m:oMath>
              <m:sSub>
                <m:e>
                  <m:r>
                    <m:t>A</m:t>
                  </m:r>
                </m:e>
                <m:sub>
                  <m:r>
                    <m:t>t</m:t>
                  </m:r>
                </m:sub>
              </m:sSub>
            </m:oMath>
          </w:p>
        </w:tc>
        <w:tc>
          <w:tcPr/>
          <w:p>
            <w:pPr>
              <w:pStyle w:val="Compact"/>
              <w:jc w:val="left"/>
            </w:pPr>
            <w:r>
              <w:rPr>
                <w:rFonts w:hint="eastAsia"/>
              </w:rPr>
              <w:t xml:space="preserve">其他产油国增产或替代供应增量</w:t>
            </w:r>
          </w:p>
        </w:tc>
        <w:tc>
          <w:tcPr/>
          <w:p>
            <w:pPr>
              <w:pStyle w:val="Compact"/>
              <w:jc w:val="left"/>
            </w:pPr>
            <w:r>
              <w:rPr>
                <w:rFonts w:hint="eastAsia"/>
              </w:rPr>
              <w:t xml:space="preserve">万桶/日</w:t>
            </w:r>
          </w:p>
        </w:tc>
      </w:tr>
      <w:tr>
        <w:tc>
          <w:tcPr/>
          <w:p>
            <w:pPr>
              <w:pStyle w:val="Compact"/>
              <w:jc w:val="left"/>
            </w:pPr>
            <m:oMath>
              <m:sSub>
                <m:e>
                  <m:r>
                    <m:t>R</m:t>
                  </m:r>
                </m:e>
                <m:sub>
                  <m:r>
                    <m:t>t</m:t>
                  </m:r>
                </m:sub>
              </m:sSub>
            </m:oMath>
          </w:p>
        </w:tc>
        <w:tc>
          <w:tcPr/>
          <w:p>
            <w:pPr>
              <w:pStyle w:val="Compact"/>
              <w:jc w:val="left"/>
            </w:pPr>
            <w:r>
              <w:rPr>
                <w:rFonts w:hint="eastAsia"/>
              </w:rPr>
              <w:t xml:space="preserve">第</w:t>
            </w:r>
            <w:r>
              <w:t xml:space="preserve"> </w:t>
            </w:r>
            <m:oMath>
              <m:r>
                <m:t>t</m:t>
              </m:r>
            </m:oMath>
            <w:r>
              <w:t xml:space="preserve"> </w:t>
            </w:r>
            <w:r>
              <w:rPr>
                <w:rFonts w:hint="eastAsia"/>
              </w:rPr>
              <w:t xml:space="preserve">日</w:t>
            </w:r>
            <w:r>
              <w:t xml:space="preserve"> SPR </w:t>
            </w:r>
            <w:r>
              <w:rPr>
                <w:rFonts w:hint="eastAsia"/>
              </w:rPr>
              <w:t xml:space="preserve">释放量</w:t>
            </w:r>
          </w:p>
        </w:tc>
        <w:tc>
          <w:tcPr/>
          <w:p>
            <w:pPr>
              <w:pStyle w:val="Compact"/>
              <w:jc w:val="left"/>
            </w:pPr>
            <w:r>
              <w:rPr>
                <w:rFonts w:hint="eastAsia"/>
              </w:rPr>
              <w:t xml:space="preserve">万桶/日</w:t>
            </w:r>
          </w:p>
        </w:tc>
      </w:tr>
      <w:tr>
        <w:tc>
          <w:tcPr/>
          <w:p>
            <w:pPr>
              <w:pStyle w:val="Compact"/>
              <w:jc w:val="left"/>
            </w:pPr>
            <m:oMath>
              <m:sSub>
                <m:e>
                  <m:r>
                    <m:t>Q</m:t>
                  </m:r>
                </m:e>
                <m:sub>
                  <m:r>
                    <m:t>t</m:t>
                  </m:r>
                </m:sub>
              </m:sSub>
            </m:oMath>
          </w:p>
        </w:tc>
        <w:tc>
          <w:tcPr/>
          <w:p>
            <w:pPr>
              <w:pStyle w:val="Compact"/>
              <w:jc w:val="left"/>
            </w:pPr>
            <w:r>
              <w:rPr>
                <w:rFonts w:hint="eastAsia"/>
              </w:rPr>
              <w:t xml:space="preserve">第</w:t>
            </w:r>
            <w:r>
              <w:t xml:space="preserve"> </w:t>
            </w:r>
            <m:oMath>
              <m:r>
                <m:t>t</m:t>
              </m:r>
            </m:oMath>
            <w:r>
              <w:t xml:space="preserve"> </w:t>
            </w:r>
            <w:r>
              <w:rPr>
                <w:rFonts w:hint="eastAsia"/>
              </w:rPr>
              <w:t xml:space="preserve">日绕道运输恢复量</w:t>
            </w:r>
          </w:p>
        </w:tc>
        <w:tc>
          <w:tcPr/>
          <w:p>
            <w:pPr>
              <w:pStyle w:val="Compact"/>
              <w:jc w:val="left"/>
            </w:pPr>
            <w:r>
              <w:rPr>
                <w:rFonts w:hint="eastAsia"/>
              </w:rPr>
              <w:t xml:space="preserve">万桶/日</w:t>
            </w:r>
          </w:p>
        </w:tc>
      </w:tr>
      <w:tr>
        <w:tc>
          <w:tcPr/>
          <w:p>
            <w:pPr>
              <w:pStyle w:val="Compact"/>
              <w:jc w:val="left"/>
            </w:pPr>
            <m:oMath>
              <m:sSub>
                <m:e>
                  <m:r>
                    <m:t>B</m:t>
                  </m:r>
                </m:e>
                <m:sub>
                  <m:r>
                    <m:t>t</m:t>
                  </m:r>
                </m:sub>
              </m:sSub>
            </m:oMath>
          </w:p>
        </w:tc>
        <w:tc>
          <w:tcPr/>
          <w:p>
            <w:pPr>
              <w:pStyle w:val="Compact"/>
              <w:jc w:val="left"/>
            </w:pPr>
            <w:r>
              <w:rPr>
                <w:rFonts w:hint="eastAsia"/>
              </w:rPr>
              <w:t xml:space="preserve">商业库存当日缓冲量</w:t>
            </w:r>
          </w:p>
        </w:tc>
        <w:tc>
          <w:tcPr/>
          <w:p>
            <w:pPr>
              <w:pStyle w:val="Compact"/>
              <w:jc w:val="left"/>
            </w:pPr>
            <w:r>
              <w:rPr>
                <w:rFonts w:hint="eastAsia"/>
              </w:rPr>
              <w:t xml:space="preserve">万桶/日</w:t>
            </w:r>
          </w:p>
        </w:tc>
      </w:tr>
      <w:tr>
        <w:tc>
          <w:tcPr/>
          <w:p>
            <w:pPr>
              <w:pStyle w:val="Compact"/>
              <w:jc w:val="left"/>
            </w:pPr>
            <m:oMath>
              <m:sSub>
                <m:e>
                  <m:r>
                    <m:t>G</m:t>
                  </m:r>
                </m:e>
                <m:sub>
                  <m:r>
                    <m:t>t</m:t>
                  </m:r>
                </m:sub>
              </m:sSub>
            </m:oMath>
          </w:p>
        </w:tc>
        <w:tc>
          <w:tcPr/>
          <w:p>
            <w:pPr>
              <w:pStyle w:val="Compact"/>
              <w:jc w:val="left"/>
            </w:pPr>
            <w:r>
              <w:rPr>
                <w:rFonts w:hint="eastAsia"/>
              </w:rPr>
              <w:t xml:space="preserve">剩余供需缺口</w:t>
            </w:r>
          </w:p>
        </w:tc>
        <w:tc>
          <w:tcPr/>
          <w:p>
            <w:pPr>
              <w:pStyle w:val="Compact"/>
              <w:jc w:val="left"/>
            </w:pPr>
            <w:r>
              <w:rPr>
                <w:rFonts w:hint="eastAsia"/>
              </w:rPr>
              <w:t xml:space="preserve">万桶/日</w:t>
            </w:r>
          </w:p>
        </w:tc>
      </w:tr>
      <w:tr>
        <w:tc>
          <w:tcPr/>
          <w:p>
            <w:pPr>
              <w:pStyle w:val="Compact"/>
              <w:jc w:val="left"/>
            </w:pPr>
            <m:oMath>
              <m:sSub>
                <m:e>
                  <m:r>
                    <m:t>ε</m:t>
                  </m:r>
                </m:e>
                <m:sub>
                  <m:r>
                    <m:t>t</m:t>
                  </m:r>
                </m:sub>
              </m:sSub>
            </m:oMath>
          </w:p>
        </w:tc>
        <w:tc>
          <w:tcPr/>
          <w:p>
            <w:pPr>
              <w:pStyle w:val="Compact"/>
              <w:jc w:val="left"/>
            </w:pPr>
            <w:r>
              <w:rPr>
                <w:rFonts w:hint="eastAsia"/>
              </w:rPr>
              <w:t xml:space="preserve">需求价格弹性</w:t>
            </w:r>
          </w:p>
        </w:tc>
        <w:tc>
          <w:tcPr/>
          <w:p>
            <w:pPr>
              <w:pStyle w:val="Compact"/>
              <w:jc w:val="left"/>
            </w:pPr>
            <w:r>
              <w:rPr>
                <w:rFonts w:hint="eastAsia"/>
              </w:rPr>
              <w:t xml:space="preserve">无量纲</w:t>
            </w:r>
          </w:p>
        </w:tc>
      </w:tr>
      <w:tr>
        <w:tc>
          <w:tcPr/>
          <w:p>
            <w:pPr>
              <w:pStyle w:val="Compact"/>
              <w:jc w:val="left"/>
            </w:pPr>
            <m:oMath>
              <m:sSub>
                <m:e>
                  <m:r>
                    <m:t>F</m:t>
                  </m:r>
                </m:e>
                <m:sub>
                  <m:r>
                    <m:t>t</m:t>
                  </m:r>
                </m:sub>
              </m:sSub>
            </m:oMath>
          </w:p>
        </w:tc>
        <w:tc>
          <w:tcPr/>
          <w:p>
            <w:pPr>
              <w:pStyle w:val="Compact"/>
              <w:jc w:val="left"/>
            </w:pPr>
            <w:r>
              <w:rPr>
                <w:rFonts w:hint="eastAsia"/>
              </w:rPr>
              <w:t xml:space="preserve">恐慌溢价强度</w:t>
            </w:r>
          </w:p>
        </w:tc>
        <w:tc>
          <w:tcPr/>
          <w:p>
            <w:pPr>
              <w:pStyle w:val="Compact"/>
              <w:jc w:val="left"/>
            </w:pPr>
            <w:r>
              <w:rPr>
                <w:rFonts w:hint="eastAsia"/>
              </w:rPr>
              <w:t xml:space="preserve">无量纲</w:t>
            </w:r>
          </w:p>
        </w:tc>
      </w:tr>
      <w:tr>
        <w:tc>
          <w:tcPr/>
          <w:p>
            <w:pPr>
              <w:pStyle w:val="Compact"/>
              <w:jc w:val="left"/>
            </w:pPr>
            <m:oMath>
              <m:r>
                <m:t>β</m:t>
              </m:r>
            </m:oMath>
          </w:p>
        </w:tc>
        <w:tc>
          <w:tcPr/>
          <w:p>
            <w:pPr>
              <w:pStyle w:val="Compact"/>
              <w:jc w:val="left"/>
            </w:pPr>
            <w:r>
              <w:rPr>
                <w:rFonts w:hint="eastAsia"/>
              </w:rPr>
              <w:t xml:space="preserve">地缘风险权重</w:t>
            </w:r>
          </w:p>
        </w:tc>
        <w:tc>
          <w:tcPr/>
          <w:p>
            <w:pPr>
              <w:pStyle w:val="Compact"/>
              <w:jc w:val="left"/>
            </w:pPr>
            <w:r>
              <w:rPr>
                <w:rFonts w:hint="eastAsia"/>
              </w:rPr>
              <w:t xml:space="preserve">无量纲</w:t>
            </w:r>
          </w:p>
        </w:tc>
      </w:tr>
      <w:tr>
        <w:tc>
          <w:tcPr/>
          <w:p>
            <w:pPr>
              <w:pStyle w:val="Compact"/>
              <w:jc w:val="left"/>
            </w:pPr>
            <m:oMath>
              <m:r>
                <m:t>U</m:t>
              </m:r>
            </m:oMath>
          </w:p>
        </w:tc>
        <w:tc>
          <w:tcPr/>
          <w:p>
            <w:pPr>
              <w:pStyle w:val="Compact"/>
              <w:jc w:val="left"/>
            </w:pPr>
            <w:r>
              <w:rPr>
                <w:rFonts w:hint="eastAsia"/>
              </w:rPr>
              <w:t xml:space="preserve">不确定性与制度风险强度</w:t>
            </w:r>
          </w:p>
        </w:tc>
        <w:tc>
          <w:tcPr/>
          <w:p>
            <w:pPr>
              <w:pStyle w:val="Compact"/>
              <w:jc w:val="left"/>
            </w:pPr>
            <w:r>
              <w:rPr>
                <w:rFonts w:hint="eastAsia"/>
              </w:rPr>
              <w:t xml:space="preserve">无量纲</w:t>
            </w:r>
          </w:p>
        </w:tc>
      </w:tr>
      <w:tr>
        <w:tc>
          <w:tcPr/>
          <w:p>
            <w:pPr>
              <w:pStyle w:val="Compact"/>
              <w:jc w:val="left"/>
            </w:pPr>
            <m:oMath>
              <m:r>
                <m:t>v</m:t>
              </m:r>
              <m:r>
                <m:rPr>
                  <m:sty m:val="p"/>
                </m:rPr>
                <m:t>,</m:t>
              </m:r>
              <m:sSub>
                <m:e>
                  <m:r>
                    <m:t>v</m:t>
                  </m:r>
                </m:e>
                <m:sub>
                  <m:r>
                    <m:t>L</m:t>
                  </m:r>
                </m:sub>
              </m:sSub>
            </m:oMath>
          </w:p>
        </w:tc>
        <w:tc>
          <w:tcPr/>
          <w:p>
            <w:pPr>
              <w:pStyle w:val="Compact"/>
              <w:jc w:val="left"/>
            </w:pPr>
            <w:r>
              <w:rPr>
                <w:rFonts w:hint="eastAsia"/>
              </w:rPr>
              <w:t xml:space="preserve">短期和长期价格调整速度</w:t>
            </w:r>
          </w:p>
        </w:tc>
        <w:tc>
          <w:tcPr/>
          <w:p>
            <w:pPr>
              <w:pStyle w:val="Compact"/>
              <w:jc w:val="left"/>
            </w:pPr>
            <w:r>
              <w:rPr>
                <w:rFonts w:hint="eastAsia"/>
              </w:rPr>
              <w:t xml:space="preserve">无量纲</w:t>
            </w:r>
          </w:p>
        </w:tc>
      </w:tr>
      <w:tr>
        <w:tc>
          <w:tcPr/>
          <w:p>
            <w:pPr>
              <w:pStyle w:val="Compact"/>
              <w:jc w:val="left"/>
            </w:pPr>
            <m:oMath>
              <m:sSub>
                <m:e>
                  <m:r>
                    <m:t>J</m:t>
                  </m:r>
                </m:e>
                <m:sub>
                  <m:r>
                    <m:t>t</m:t>
                  </m:r>
                </m:sub>
              </m:sSub>
            </m:oMath>
          </w:p>
        </w:tc>
        <w:tc>
          <w:tcPr/>
          <w:p>
            <w:pPr>
              <w:pStyle w:val="Compact"/>
              <w:jc w:val="left"/>
            </w:pPr>
            <w:r>
              <w:rPr>
                <w:rFonts w:hint="eastAsia"/>
              </w:rPr>
              <w:t xml:space="preserve">长期库存耗尽或二次跳涨风险项</w:t>
            </w:r>
          </w:p>
        </w:tc>
        <w:tc>
          <w:tcPr/>
          <w:p>
            <w:pPr>
              <w:pStyle w:val="Compact"/>
              <w:jc w:val="left"/>
            </w:pPr>
            <w:r>
              <w:rPr>
                <w:rFonts w:hint="eastAsia"/>
              </w:rPr>
              <w:t xml:space="preserve">美元/桶</w:t>
            </w:r>
          </w:p>
        </w:tc>
      </w:tr>
    </w:tbl>
    <w:bookmarkEnd w:id="28"/>
    <w:bookmarkStart w:id="29" w:name="参数来源与识别边界"/>
    <w:p>
      <w:pPr>
        <w:pStyle w:val="Heading2"/>
      </w:pPr>
      <w:r>
        <w:rPr>
          <w:rFonts w:hint="eastAsia"/>
        </w:rPr>
        <w:t xml:space="preserve">参数来源与识别边界</w:t>
      </w:r>
    </w:p>
    <w:p>
      <w:pPr>
        <w:pStyle w:val="FirstParagraph"/>
      </w:pPr>
      <w:r>
        <w:rPr>
          <w:rFonts w:hint="eastAsia"/>
        </w:rPr>
        <w:t xml:space="preserve">为了避免把模型理解为单纯曲线拟合，本文将参数按来源分为六类。题面参数和附件统计量构成模型硬约束；官方外部数据只用于数量级审计；校准参数必须通过基准对比、消融实验和扰动检验；长期情景参数只用于</w:t>
      </w:r>
      <w:r>
        <w:t xml:space="preserve"> 60–180 </w:t>
      </w:r>
      <w:r>
        <w:rPr>
          <w:rFonts w:hint="eastAsia"/>
        </w:rPr>
        <w:t xml:space="preserve">天条件外推，不参与短期窗口的误差拟合；长期机制强度参数则必须显式命名，并进入敏感性分析。</w:t>
      </w:r>
    </w:p>
    <w:p>
      <w:pPr>
        <w:pStyle w:val="TableCaption"/>
      </w:pPr>
      <w:r>
        <w:rPr>
          <w:rFonts w:hint="eastAsia"/>
        </w:rPr>
        <w:t xml:space="preserve">参数来源分类与使用边界</w:t>
      </w:r>
    </w:p>
    <w:tbl>
      <w:tblPr>
        <w:tblStyle w:val="Table"/>
        <w:tblW w:type="auto" w:w="0"/>
        <w:tblLook w:firstRow="1" w:lastRow="0" w:firstColumn="0" w:lastColumn="0" w:noHBand="0" w:noVBand="0" w:val="0020"/>
        <w:tblCaption w:val="参数来源分类与使用边界"/>
      </w:tblPr>
      <w:tblGrid>
        <w:gridCol w:w="2640"/>
        <w:gridCol w:w="2640"/>
        <w:gridCol w:w="2640"/>
      </w:tblGrid>
      <w:tr>
        <w:trPr>
          <w:tblHeader w:val="on"/>
        </w:trPr>
        <w:tc>
          <w:tcPr/>
          <w:p>
            <w:pPr>
              <w:pStyle w:val="Compact"/>
              <w:jc w:val="left"/>
            </w:pPr>
            <w:r>
              <w:rPr>
                <w:rFonts w:hint="eastAsia"/>
              </w:rPr>
              <w:t xml:space="preserve">参数类别</w:t>
            </w:r>
          </w:p>
        </w:tc>
        <w:tc>
          <w:tcPr/>
          <w:p>
            <w:pPr>
              <w:pStyle w:val="Compact"/>
              <w:jc w:val="left"/>
            </w:pPr>
            <w:r>
              <w:rPr>
                <w:rFonts w:hint="eastAsia"/>
              </w:rPr>
              <w:t xml:space="preserve">代表变量</w:t>
            </w:r>
          </w:p>
        </w:tc>
        <w:tc>
          <w:tcPr/>
          <w:p>
            <w:pPr>
              <w:pStyle w:val="Compact"/>
              <w:jc w:val="left"/>
            </w:pPr>
            <w:r>
              <w:rPr>
                <w:rFonts w:hint="eastAsia"/>
              </w:rPr>
              <w:t xml:space="preserve">使用边界</w:t>
            </w:r>
          </w:p>
        </w:tc>
      </w:tr>
      <w:tr>
        <w:tc>
          <w:tcPr/>
          <w:p>
            <w:pPr>
              <w:pStyle w:val="Compact"/>
              <w:jc w:val="left"/>
            </w:pPr>
            <w:r>
              <w:rPr>
                <w:rFonts w:hint="eastAsia"/>
              </w:rPr>
              <w:t xml:space="preserve">题面给定参数</w:t>
            </w:r>
          </w:p>
        </w:tc>
        <w:tc>
          <w:tcPr/>
          <w:p>
            <w:pPr>
              <w:pStyle w:val="Compact"/>
              <w:jc w:val="left"/>
            </w:pPr>
            <w:r>
              <w:rPr>
                <w:rFonts w:hint="eastAsia"/>
              </w:rPr>
              <w:t xml:space="preserve">短期弹性</w:t>
            </w:r>
            <w:r>
              <w:t xml:space="preserve"> </w:t>
            </w:r>
            <m:oMath>
              <m:r>
                <m:t>ε</m:t>
              </m:r>
            </m:oMath>
            <w:r>
              <w:rPr>
                <w:rFonts w:hint="eastAsia"/>
              </w:rPr>
              <w:t xml:space="preserve">、供应中断范围、SPR</w:t>
            </w:r>
            <w:r>
              <w:t xml:space="preserve"> </w:t>
            </w:r>
            <w:r>
              <w:rPr>
                <w:rFonts w:hint="eastAsia"/>
              </w:rPr>
              <w:t xml:space="preserve">释放上限、恐慌持续时间</w:t>
            </w:r>
          </w:p>
        </w:tc>
        <w:tc>
          <w:tcPr/>
          <w:p>
            <w:pPr>
              <w:pStyle w:val="Compact"/>
              <w:jc w:val="left"/>
            </w:pPr>
            <w:r>
              <w:rPr>
                <w:rFonts w:hint="eastAsia"/>
              </w:rPr>
              <w:t xml:space="preserve">作为模型约束和传统供需基准依据，不在题面范围外任意调整</w:t>
            </w:r>
          </w:p>
        </w:tc>
      </w:tr>
      <w:tr>
        <w:tc>
          <w:tcPr/>
          <w:p>
            <w:pPr>
              <w:pStyle w:val="Compact"/>
              <w:jc w:val="left"/>
            </w:pPr>
            <w:r>
              <w:rPr>
                <w:rFonts w:hint="eastAsia"/>
              </w:rPr>
              <w:t xml:space="preserve">附件统计量</w:t>
            </w:r>
          </w:p>
        </w:tc>
        <w:tc>
          <w:tcPr/>
          <w:p>
            <w:pPr>
              <w:pStyle w:val="Compact"/>
              <w:jc w:val="left"/>
            </w:pPr>
            <w:r>
              <w:rPr>
                <w:rFonts w:hint="eastAsia"/>
              </w:rPr>
              <w:t xml:space="preserve">基准价格</w:t>
            </w:r>
            <w:r>
              <w:t xml:space="preserve"> </w:t>
            </w:r>
            <m:oMath>
              <m:sSub>
                <m:e>
                  <m:r>
                    <m:t>P</m:t>
                  </m:r>
                </m:e>
                <m:sub>
                  <m:r>
                    <m:t>0</m:t>
                  </m:r>
                </m:sub>
              </m:sSub>
            </m:oMath>
            <w:r>
              <w:rPr>
                <w:rFonts w:hint="eastAsia"/>
              </w:rPr>
              <w:t xml:space="preserve">、冲突窗口真实收盘价、收益率和波动率</w:t>
            </w:r>
          </w:p>
        </w:tc>
        <w:tc>
          <w:tcPr/>
          <w:p>
            <w:pPr>
              <w:pStyle w:val="Compact"/>
              <w:jc w:val="left"/>
            </w:pPr>
            <w:r>
              <w:rPr>
                <w:rFonts w:hint="eastAsia"/>
              </w:rPr>
              <w:t xml:space="preserve">作为拟合目标、误差评价和历史窗口比较依据</w:t>
            </w:r>
          </w:p>
        </w:tc>
      </w:tr>
      <w:tr>
        <w:tc>
          <w:tcPr/>
          <w:p>
            <w:pPr>
              <w:pStyle w:val="Compact"/>
              <w:jc w:val="left"/>
            </w:pPr>
            <w:r>
              <w:rPr>
                <w:rFonts w:hint="eastAsia"/>
              </w:rPr>
              <w:t xml:space="preserve">官方外部审计量</w:t>
            </w:r>
          </w:p>
        </w:tc>
        <w:tc>
          <w:tcPr/>
          <w:p>
            <w:pPr>
              <w:pStyle w:val="Compact"/>
              <w:jc w:val="left"/>
            </w:pPr>
            <w:r>
              <w:t xml:space="preserve">EIA </w:t>
            </w:r>
            <w:r>
              <w:rPr>
                <w:rFonts w:hint="eastAsia"/>
              </w:rPr>
              <w:t xml:space="preserve">周度</w:t>
            </w:r>
            <w:r>
              <w:t xml:space="preserve"> </w:t>
            </w:r>
            <w:r>
              <w:rPr>
                <w:rFonts w:hint="eastAsia"/>
              </w:rPr>
              <w:t xml:space="preserve">SPR、商业库存、原油产量，Caldara-Iacoviello</w:t>
            </w:r>
            <w:r>
              <w:t xml:space="preserve"> GPR </w:t>
            </w:r>
            <w:r>
              <w:rPr>
                <w:rFonts w:hint="eastAsia"/>
              </w:rPr>
              <w:t xml:space="preserve">指数</w:t>
            </w:r>
          </w:p>
        </w:tc>
        <w:tc>
          <w:tcPr/>
          <w:p>
            <w:pPr>
              <w:pStyle w:val="Compact"/>
              <w:jc w:val="left"/>
            </w:pPr>
            <w:r>
              <w:rPr>
                <w:rFonts w:hint="eastAsia"/>
              </w:rPr>
              <w:t xml:space="preserve">只用于审计长期约束和风险高位事实，不替代附件真实价格</w:t>
            </w:r>
          </w:p>
        </w:tc>
      </w:tr>
      <w:tr>
        <w:tc>
          <w:tcPr/>
          <w:p>
            <w:pPr>
              <w:pStyle w:val="Compact"/>
              <w:jc w:val="left"/>
            </w:pPr>
            <w:r>
              <w:rPr>
                <w:rFonts w:hint="eastAsia"/>
              </w:rPr>
              <w:t xml:space="preserve">机制校准参数</w:t>
            </w:r>
          </w:p>
        </w:tc>
        <w:tc>
          <w:tcPr/>
          <w:p>
            <w:pPr>
              <w:pStyle w:val="Compact"/>
              <w:jc w:val="left"/>
            </w:pPr>
            <w:r>
              <w:rPr>
                <w:rFonts w:hint="eastAsia"/>
              </w:rPr>
              <w:t xml:space="preserve">价格传导系数</w:t>
            </w:r>
            <w:r>
              <w:t xml:space="preserve"> </w:t>
            </w:r>
            <m:oMath>
              <m:r>
                <m:t>ϕ</m:t>
              </m:r>
            </m:oMath>
            <w:r>
              <w:rPr>
                <w:rFonts w:hint="eastAsia"/>
              </w:rPr>
              <w:t xml:space="preserve">、风险权重</w:t>
            </w:r>
            <w:r>
              <w:t xml:space="preserve"> </w:t>
            </w:r>
            <m:oMath>
              <m:r>
                <m:t>β</m:t>
              </m:r>
            </m:oMath>
            <w:r>
              <w:rPr>
                <w:rFonts w:hint="eastAsia"/>
              </w:rPr>
              <w:t xml:space="preserve">、缓冲确认强度、预期修复强度、调整速度</w:t>
            </w:r>
            <w:r>
              <w:t xml:space="preserve"> </w:t>
            </w:r>
            <m:oMath>
              <m:r>
                <m:t>v</m:t>
              </m:r>
            </m:oMath>
          </w:p>
        </w:tc>
        <w:tc>
          <w:tcPr/>
          <w:p>
            <w:pPr>
              <w:pStyle w:val="Compact"/>
              <w:jc w:val="left"/>
            </w:pPr>
            <w:r>
              <w:rPr>
                <w:rFonts w:hint="eastAsia"/>
              </w:rPr>
              <w:t xml:space="preserve">在固定机制结构内校准，并接受消融、扰动和硬编码审计</w:t>
            </w:r>
          </w:p>
        </w:tc>
      </w:tr>
      <w:tr>
        <w:tc>
          <w:tcPr/>
          <w:p>
            <w:pPr>
              <w:pStyle w:val="Compact"/>
              <w:jc w:val="left"/>
            </w:pPr>
            <w:r>
              <w:rPr>
                <w:rFonts w:hint="eastAsia"/>
              </w:rPr>
              <w:t xml:space="preserve">长期情景参数</w:t>
            </w:r>
          </w:p>
        </w:tc>
        <w:tc>
          <w:tcPr/>
          <w:p>
            <w:pPr>
              <w:pStyle w:val="Compact"/>
              <w:jc w:val="left"/>
            </w:pPr>
            <w:r>
              <w:t xml:space="preserve">OPEC+ </w:t>
            </w:r>
            <w:r>
              <w:rPr>
                <w:rFonts w:hint="eastAsia"/>
              </w:rPr>
              <w:t xml:space="preserve">响应、非</w:t>
            </w:r>
            <w:r>
              <w:t xml:space="preserve"> OPEC </w:t>
            </w:r>
            <w:r>
              <w:rPr>
                <w:rFonts w:hint="eastAsia"/>
              </w:rPr>
              <w:t xml:space="preserve">供给恢复、长期弹性、制度风险强度</w:t>
            </w:r>
          </w:p>
        </w:tc>
        <w:tc>
          <w:tcPr/>
          <w:p>
            <w:pPr>
              <w:pStyle w:val="Compact"/>
              <w:jc w:val="left"/>
            </w:pPr>
            <w:r>
              <w:rPr>
                <w:rFonts w:hint="eastAsia"/>
              </w:rPr>
              <w:t xml:space="preserve">只用于条件中心路径和尾部风险外推，不称为真实未来拟合</w:t>
            </w:r>
          </w:p>
        </w:tc>
      </w:tr>
      <w:tr>
        <w:tc>
          <w:tcPr/>
          <w:p>
            <w:pPr>
              <w:pStyle w:val="Compact"/>
              <w:jc w:val="left"/>
            </w:pPr>
            <w:r>
              <w:rPr>
                <w:rFonts w:hint="eastAsia"/>
              </w:rPr>
              <w:t xml:space="preserve">长期机制强度参数</w:t>
            </w:r>
          </w:p>
        </w:tc>
        <w:tc>
          <w:tcPr/>
          <w:p>
            <w:pPr>
              <w:pStyle w:val="Compact"/>
              <w:jc w:val="left"/>
            </w:pPr>
            <w:r>
              <w:rPr>
                <w:rFonts w:hint="eastAsia"/>
              </w:rPr>
              <w:t xml:space="preserve">冲击不确定性占比、制度风险占比、信心恢复后风险底座、过剩供给回归强度</w:t>
            </w:r>
          </w:p>
        </w:tc>
        <w:tc>
          <w:tcPr/>
          <w:p>
            <w:pPr>
              <w:pStyle w:val="Compact"/>
              <w:jc w:val="left"/>
            </w:pPr>
            <w:r>
              <w:rPr>
                <w:rFonts w:hint="eastAsia"/>
              </w:rPr>
              <w:t xml:space="preserve">用于刻画长期机制形状，不作为官方物理常数，并在敏感性分析中单独扰动检验</w:t>
            </w:r>
          </w:p>
        </w:tc>
      </w:tr>
    </w:tbl>
    <w:p>
      <w:pPr>
        <w:pStyle w:val="BodyText"/>
      </w:pPr>
      <w:r>
        <w:rPr>
          <w:rFonts w:hint="eastAsia"/>
        </w:rPr>
        <w:t xml:space="preserve">其中最容易被误读的是价格传导系数</w:t>
      </w:r>
      <w:r>
        <w:t xml:space="preserve"> </w:t>
      </w:r>
      <m:oMath>
        <m:r>
          <m:t>ϕ</m:t>
        </m:r>
      </m:oMath>
      <w:r>
        <w:rPr>
          <w:rFonts w:hint="eastAsia"/>
        </w:rPr>
        <w:t xml:space="preserve">。本文没有用</w:t>
      </w:r>
      <w:r>
        <w:t xml:space="preserve"> </w:t>
      </w:r>
      <m:oMath>
        <m:r>
          <m:t>ϕ</m:t>
        </m:r>
      </m:oMath>
      <w:r>
        <w:t xml:space="preserve"> </w:t>
      </w:r>
      <w:r>
        <w:rPr>
          <w:rFonts w:hint="eastAsia"/>
        </w:rPr>
        <w:t xml:space="preserve">替换题面短期弹性</w:t>
      </w:r>
      <w:r>
        <w:t xml:space="preserve"> </w:t>
      </w:r>
      <m:oMath>
        <m:r>
          <m:t>ε</m:t>
        </m:r>
        <m:r>
          <m:rPr>
            <m:sty m:val="p"/>
          </m:rPr>
          <m:t>=</m:t>
        </m:r>
        <m:r>
          <m:rPr>
            <m:sty m:val="p"/>
          </m:rPr>
          <m:t>−</m:t>
        </m:r>
        <m:r>
          <m:t>0.05</m:t>
        </m:r>
      </m:oMath>
      <w:r>
        <w:rPr>
          <w:rFonts w:hint="eastAsia"/>
        </w:rPr>
        <w:t xml:space="preserve">：低弹性仍用于传统供需反事实上界，解释为什么静态模型会给出</w:t>
      </w:r>
      <w:r>
        <w:t xml:space="preserve"> 278–337 </w:t>
      </w:r>
      <w:r>
        <w:rPr>
          <w:rFonts w:hint="eastAsia"/>
        </w:rPr>
        <w:t xml:space="preserve">美元/桶的高价压力；</w:t>
      </w:r>
      <m:oMath>
        <m:r>
          <m:t>ϕ</m:t>
        </m:r>
      </m:oMath>
      <w:r>
        <w:t xml:space="preserve"> </w:t>
      </w:r>
      <w:r>
        <w:rPr>
          <w:rFonts w:hint="eastAsia"/>
        </w:rPr>
        <w:t xml:space="preserve">只表示在</w:t>
      </w:r>
      <w:r>
        <w:t xml:space="preserve"> </w:t>
      </w:r>
      <w:r>
        <w:rPr>
          <w:rFonts w:hint="eastAsia"/>
        </w:rPr>
        <w:t xml:space="preserve">SPR、库存、绕道运输、需求收缩和预期修复共同存在时，剩余物理缺口进入布伦特期货目标价格的传导比例。二者分别对应</w:t>
      </w:r>
      <w:r>
        <w:rPr>
          <w:rFonts w:hint="eastAsia"/>
        </w:rPr>
        <w:t xml:space="preserve">“无缓冲静态供需压力”</w:t>
      </w:r>
      <w:r>
        <w:rPr>
          <w:rFonts w:hint="eastAsia"/>
        </w:rPr>
        <w:t xml:space="preserve">和</w:t>
      </w:r>
      <w:r>
        <w:rPr>
          <w:rFonts w:hint="eastAsia"/>
        </w:rPr>
        <w:t xml:space="preserve">“有缓冲期货定价传导”</w:t>
      </w:r>
      <w:r>
        <w:rPr>
          <w:rFonts w:hint="eastAsia"/>
        </w:rPr>
        <w:t xml:space="preserve">，经济含义不同。</w:t>
      </w:r>
    </w:p>
    <w:p>
      <w:pPr>
        <w:pStyle w:val="BodyText"/>
      </w:pPr>
      <w:r>
        <w:rPr>
          <w:rFonts w:hint="eastAsia"/>
        </w:rPr>
        <w:t xml:space="preserve">更具体地说，若令</w:t>
      </w:r>
      <w:r>
        <w:t xml:space="preserve"> </w:t>
      </w:r>
      <m:oMath>
        <m:r>
          <m:t>ϕ</m:t>
        </m:r>
        <m:r>
          <m:rPr>
            <m:sty m:val="p"/>
          </m:rPr>
          <m:t>=</m:t>
        </m:r>
        <m:r>
          <m:t>1</m:t>
        </m:r>
      </m:oMath>
      <w:r>
        <w:rPr>
          <w:rFonts w:hint="eastAsia"/>
        </w:rPr>
        <w:t xml:space="preserve">，则模型等价于假设剩余物理缺口会按题面低弹性完全、即时地映射为期货目标价格；但现实原油期货市场同时定价库存、预期、投机头寸、政策缓冲可信度和未来需求调整。Kilian（2009）、Hamilton（2009）以及</w:t>
      </w:r>
      <w:r>
        <w:t xml:space="preserve"> Kilian </w:t>
      </w:r>
      <w:r>
        <w:rPr>
          <w:rFonts w:hint="eastAsia"/>
        </w:rPr>
        <w:t xml:space="preserve">与</w:t>
      </w:r>
      <w:r>
        <w:t xml:space="preserve"> </w:t>
      </w:r>
      <w:r>
        <w:rPr>
          <w:rFonts w:hint="eastAsia"/>
        </w:rPr>
        <w:t xml:space="preserve">Murphy（2014）均指出，油价冲击不能只由当期物理供给缺口解释，预期需求、库存和投机交易会改变现货与期货价格的传导路径。因此本文把</w:t>
      </w:r>
      <w:r>
        <w:t xml:space="preserve"> </w:t>
      </w:r>
      <m:oMath>
        <m:r>
          <m:t>ϕ</m:t>
        </m:r>
      </m:oMath>
      <w:r>
        <w:t xml:space="preserve"> </w:t>
      </w:r>
      <w:r>
        <w:rPr>
          <w:rFonts w:hint="eastAsia"/>
        </w:rPr>
        <w:t xml:space="preserve">明确归类为行为校准参数，并在反驳性检验中单独报告：当</w:t>
      </w:r>
      <w:r>
        <w:t xml:space="preserve"> </w:t>
      </w:r>
      <m:oMath>
        <m:r>
          <m:t>ϕ</m:t>
        </m:r>
        <m:r>
          <m:rPr>
            <m:sty m:val="p"/>
          </m:rPr>
          <m:t>=</m:t>
        </m:r>
        <m:r>
          <m:t>1</m:t>
        </m:r>
      </m:oMath>
      <w:r>
        <w:t xml:space="preserve"> </w:t>
      </w:r>
      <w:r>
        <w:rPr>
          <w:rFonts w:hint="eastAsia"/>
        </w:rPr>
        <w:t xml:space="preserve">时，短期</w:t>
      </w:r>
      <w:r>
        <w:t xml:space="preserve"> RMSE </w:t>
      </w:r>
      <w:r>
        <w:rPr>
          <w:rFonts w:hint="eastAsia"/>
        </w:rPr>
        <w:t xml:space="preserve">升至</w:t>
      </w:r>
      <w:r>
        <w:t xml:space="preserve"> 26.55 </w:t>
      </w:r>
      <w:r>
        <w:rPr>
          <w:rFonts w:hint="eastAsia"/>
        </w:rPr>
        <w:t xml:space="preserve">美元/桶，模拟峰值升至</w:t>
      </w:r>
      <w:r>
        <w:t xml:space="preserve"> 166.84 </w:t>
      </w:r>
      <w:r>
        <w:rPr>
          <w:rFonts w:hint="eastAsia"/>
        </w:rPr>
        <w:t xml:space="preserve">美元/桶，说明完全机械传导不符合附件观测；而在</w:t>
      </w:r>
      <w:r>
        <w:t xml:space="preserve"> </w:t>
      </w:r>
      <m:oMath>
        <m:r>
          <m:t>0.5</m:t>
        </m:r>
        <m:r>
          <m:t>ϕ</m:t>
        </m:r>
      </m:oMath>
      <w:r>
        <w:t xml:space="preserve">–</w:t>
      </w:r>
      <m:oMath>
        <m:r>
          <m:t>2.0</m:t>
        </m:r>
        <m:r>
          <m:t>ϕ</m:t>
        </m:r>
      </m:oMath>
      <w:r>
        <w:t xml:space="preserve"> </w:t>
      </w:r>
      <w:r>
        <w:rPr>
          <w:rFonts w:hint="eastAsia"/>
        </w:rPr>
        <w:t xml:space="preserve">扰动内，RMSE</w:t>
      </w:r>
      <w:r>
        <w:t xml:space="preserve"> </w:t>
      </w:r>
      <w:r>
        <w:rPr>
          <w:rFonts w:hint="eastAsia"/>
        </w:rPr>
        <w:t xml:space="preserve">仍处于</w:t>
      </w:r>
      <w:r>
        <w:t xml:space="preserve"> 3.50–3.64 </w:t>
      </w:r>
      <w:r>
        <w:rPr>
          <w:rFonts w:hint="eastAsia"/>
        </w:rPr>
        <w:t xml:space="preserve">美元/桶区间，说明价格平台并非唯一参数点偶然形成。</w:t>
      </w:r>
    </w:p>
    <w:p>
      <w:pPr>
        <w:pStyle w:val="BodyText"/>
      </w:pPr>
      <w:r>
        <w:rPr>
          <w:rFonts w:hint="eastAsia"/>
        </w:rPr>
        <w:t xml:space="preserve">长期外推中的若干机制系数也需要单独说明。例如冲击不确定性占比、制度风险占比和过剩供给回归强度并非</w:t>
      </w:r>
      <w:r>
        <w:t xml:space="preserve"> EIA </w:t>
      </w:r>
      <w:r>
        <w:rPr>
          <w:rFonts w:hint="eastAsia"/>
        </w:rPr>
        <w:t xml:space="preserve">或</w:t>
      </w:r>
      <w:r>
        <w:t xml:space="preserve"> IEA </w:t>
      </w:r>
      <w:r>
        <w:rPr>
          <w:rFonts w:hint="eastAsia"/>
        </w:rPr>
        <w:t xml:space="preserve">直接发布的物理量，而是把短期校准后的风险定价机制延伸到</w:t>
      </w:r>
      <w:r>
        <w:t xml:space="preserve"> 60–180 </w:t>
      </w:r>
      <w:r>
        <w:rPr>
          <w:rFonts w:hint="eastAsia"/>
        </w:rPr>
        <w:t xml:space="preserve">天时使用的形状参数。本文不把它们写成确定事实，而是把它们显式列入敏感性分析：若这些系数在合理范围内扰动后结论仍保持中性回落、悲观尾部上行的结构，则说明长期判断主要来自机制组合，而不是某一个隐藏常数。</w:t>
      </w:r>
    </w:p>
    <w:bookmarkEnd w:id="29"/>
    <w:bookmarkEnd w:id="30"/>
    <w:bookmarkStart w:id="36" w:name="传统供需基准模型"/>
    <w:p>
      <w:pPr>
        <w:pStyle w:val="Heading1"/>
      </w:pPr>
      <w:r>
        <w:rPr>
          <w:rFonts w:hint="eastAsia"/>
        </w:rPr>
        <w:t xml:space="preserve">传统供需基准模型</w:t>
      </w:r>
    </w:p>
    <w:bookmarkStart w:id="31" w:name="模型建立"/>
    <w:p>
      <w:pPr>
        <w:pStyle w:val="Heading2"/>
      </w:pPr>
      <w:r>
        <w:rPr>
          <w:rFonts w:hint="eastAsia"/>
        </w:rPr>
        <w:t xml:space="preserve">模型建立</w:t>
      </w:r>
    </w:p>
    <w:p>
      <w:pPr>
        <w:pStyle w:val="FirstParagraph"/>
      </w:pPr>
      <w:r>
        <w:rPr>
          <w:rFonts w:hint="eastAsia"/>
        </w:rPr>
        <w:t xml:space="preserve">传统供需基准模型用于刻画</w:t>
      </w:r>
      <w:r>
        <w:rPr>
          <w:rFonts w:hint="eastAsia"/>
        </w:rPr>
        <w:t xml:space="preserve">“没有显著缓冲机制时”</w:t>
      </w:r>
      <w:r>
        <w:rPr>
          <w:rFonts w:hint="eastAsia"/>
        </w:rPr>
        <w:t xml:space="preserve">的理论价格压力。设基准价格为</w:t>
      </w:r>
      <w:r>
        <w:t xml:space="preserve"> </w:t>
      </w:r>
      <m:oMath>
        <m:sSub>
          <m:e>
            <m:r>
              <m:t>P</m:t>
            </m:r>
          </m:e>
          <m:sub>
            <m:r>
              <m:t>0</m:t>
            </m:r>
          </m:sub>
        </m:sSub>
      </m:oMath>
      <w:r>
        <w:rPr>
          <w:rFonts w:hint="eastAsia"/>
        </w:rPr>
        <w:t xml:space="preserve">，供应中断占需求比例为</w:t>
      </w:r>
      <w:r>
        <w:t xml:space="preserve"> </w:t>
      </w:r>
      <m:oMath>
        <m:r>
          <m:t>I</m:t>
        </m:r>
        <m:r>
          <m:rPr>
            <m:sty m:val="p"/>
          </m:rPr>
          <m:t>/</m:t>
        </m:r>
        <m:sSub>
          <m:e>
            <m:r>
              <m:t>D</m:t>
            </m:r>
          </m:e>
          <m:sub>
            <m:r>
              <m:t>0</m:t>
            </m:r>
          </m:sub>
        </m:sSub>
      </m:oMath>
      <w:r>
        <w:rPr>
          <w:rFonts w:hint="eastAsia"/>
        </w:rPr>
        <w:t xml:space="preserve">，短期需求价格弹性为</w:t>
      </w:r>
      <w:r>
        <w:t xml:space="preserve"> </w:t>
      </w:r>
      <m:oMath>
        <m:r>
          <m:t>ε</m:t>
        </m:r>
      </m:oMath>
      <w:r>
        <w:rPr>
          <w:rFonts w:hint="eastAsia"/>
        </w:rPr>
        <w:t xml:space="preserve">，线性化价格上界写为</w:t>
      </w:r>
    </w:p>
    <w:p>
      <w:pPr>
        <w:pStyle w:val="BodyText"/>
      </w:pPr>
      <m:oMathPara>
        <m:oMathParaPr>
          <m:jc m:val="center"/>
        </m:oMathParaPr>
        <m:oMath>
          <m:sSub>
            <m:e>
              <m:r>
                <m:t>P</m:t>
              </m:r>
            </m:e>
            <m:sub>
              <m:r>
                <m:rPr>
                  <m:sty m:val="p"/>
                </m:rPr>
                <m:t>b</m:t>
              </m:r>
              <m:r>
                <m:rPr>
                  <m:sty m:val="p"/>
                </m:rPr>
                <m:t>a</m:t>
              </m:r>
              <m:r>
                <m:rPr>
                  <m:sty m:val="p"/>
                </m:rPr>
                <m:t>s</m:t>
              </m:r>
              <m:r>
                <m:rPr>
                  <m:sty m:val="p"/>
                </m:rPr>
                <m:t>e</m:t>
              </m:r>
            </m:sub>
          </m:sSub>
          <m:r>
            <m:rPr>
              <m:sty m:val="p"/>
            </m:rPr>
            <m:t>=</m:t>
          </m:r>
          <m:sSub>
            <m:e>
              <m:r>
                <m:t>P</m:t>
              </m:r>
            </m:e>
            <m:sub>
              <m:r>
                <m:t>0</m:t>
              </m:r>
            </m:sub>
          </m:sSub>
          <m:d>
            <m:dPr>
              <m:begChr m:val="("/>
              <m:sepChr m:val=""/>
              <m:endChr m:val=")"/>
              <m:grow/>
            </m:dPr>
            <m:e>
              <m:r>
                <m:t>1</m:t>
              </m:r>
              <m:r>
                <m:rPr>
                  <m:sty m:val="p"/>
                </m:rPr>
                <m:t>+</m:t>
              </m:r>
              <m:f>
                <m:fPr>
                  <m:type m:val="bar"/>
                </m:fPr>
                <m:num>
                  <m:r>
                    <m:t>I</m:t>
                  </m:r>
                  <m:r>
                    <m:rPr>
                      <m:sty m:val="p"/>
                    </m:rPr>
                    <m:t>/</m:t>
                  </m:r>
                  <m:sSub>
                    <m:e>
                      <m:r>
                        <m:t>D</m:t>
                      </m:r>
                    </m:e>
                    <m:sub>
                      <m:r>
                        <m:t>0</m:t>
                      </m:r>
                    </m:sub>
                  </m:sSub>
                </m:num>
                <m:den>
                  <m:r>
                    <m:rPr>
                      <m:sty m:val="p"/>
                    </m:rPr>
                    <m:t>|</m:t>
                  </m:r>
                  <m:r>
                    <m:t>ε</m:t>
                  </m:r>
                  <m:r>
                    <m:rPr>
                      <m:sty m:val="p"/>
                    </m:rPr>
                    <m:t>|</m:t>
                  </m:r>
                </m:den>
              </m:f>
            </m:e>
          </m:d>
          <m:r>
            <m:rPr>
              <m:sty m:val="p"/>
            </m:rPr>
            <m:t>.</m:t>
          </m:r>
        </m:oMath>
      </m:oMathPara>
    </w:p>
    <w:p>
      <w:pPr>
        <w:pStyle w:val="FirstParagraph"/>
      </w:pPr>
      <w:r>
        <w:rPr>
          <w:rFonts w:hint="eastAsia"/>
        </w:rPr>
        <w:t xml:space="preserve">该模型不是最终预测模型，而是用于说明低弹性短期供需框架会产生多高的理论上界。赛题给出的短期弹性约为</w:t>
      </w:r>
      <w:r>
        <w:t xml:space="preserve"> </w:t>
      </w:r>
      <m:oMath>
        <m:r>
          <m:rPr>
            <m:sty m:val="p"/>
          </m:rPr>
          <m:t>−</m:t>
        </m:r>
        <m:r>
          <m:t>0.05</m:t>
        </m:r>
      </m:oMath>
      <w:r>
        <w:rPr>
          <w:rFonts w:hint="eastAsia"/>
        </w:rPr>
        <w:t xml:space="preserve">，供应中断范围约为</w:t>
      </w:r>
      <w:r>
        <w:t xml:space="preserve"> 1400–1800 </w:t>
      </w:r>
      <w:r>
        <w:rPr>
          <w:rFonts w:hint="eastAsia"/>
        </w:rPr>
        <w:t xml:space="preserve">万桶/日。</w:t>
      </w:r>
    </w:p>
    <w:bookmarkEnd w:id="31"/>
    <w:bookmarkStart w:id="35" w:name="基准模型结果"/>
    <w:p>
      <w:pPr>
        <w:pStyle w:val="Heading2"/>
      </w:pPr>
      <w:r>
        <w:rPr>
          <w:rFonts w:hint="eastAsia"/>
        </w:rPr>
        <w:t xml:space="preserve">基准模型结果</w:t>
      </w:r>
    </w:p>
    <w:p>
      <w:pPr>
        <w:pStyle w:val="TableCaption"/>
      </w:pPr>
      <w:r>
        <w:rPr>
          <w:rFonts w:hint="eastAsia"/>
        </w:rPr>
        <w:t xml:space="preserve">传统供需基准模型结果</w:t>
      </w:r>
    </w:p>
    <w:tbl>
      <w:tblPr>
        <w:tblStyle w:val="Table"/>
        <w:tblW w:type="auto" w:w="0"/>
        <w:tblLook w:firstRow="1" w:lastRow="0" w:firstColumn="0" w:lastColumn="0" w:noHBand="0" w:noVBand="0" w:val="0020"/>
        <w:tblCaption w:val="传统供需基准模型结果"/>
      </w:tblPr>
      <w:tblGrid>
        <w:gridCol w:w="1980"/>
        <w:gridCol w:w="1980"/>
        <w:gridCol w:w="1980"/>
        <w:gridCol w:w="1980"/>
      </w:tblGrid>
      <w:tr>
        <w:trPr>
          <w:tblHeader w:val="on"/>
        </w:trPr>
        <w:tc>
          <w:tcPr/>
          <w:p>
            <w:pPr>
              <w:pStyle w:val="Compact"/>
              <w:jc w:val="left"/>
            </w:pPr>
            <w:r>
              <w:rPr>
                <w:rFonts w:hint="eastAsia"/>
              </w:rPr>
              <w:t xml:space="preserve">情景</w:t>
            </w:r>
          </w:p>
        </w:tc>
        <w:tc>
          <w:tcPr/>
          <w:p>
            <w:pPr>
              <w:pStyle w:val="Compact"/>
              <w:jc w:val="right"/>
            </w:pPr>
            <w:r>
              <w:rPr>
                <w:rFonts w:hint="eastAsia"/>
              </w:rPr>
              <w:t xml:space="preserve">供应中断量</w:t>
            </w:r>
          </w:p>
        </w:tc>
        <w:tc>
          <w:tcPr/>
          <w:p>
            <w:pPr>
              <w:pStyle w:val="Compact"/>
              <w:jc w:val="right"/>
            </w:pPr>
            <w:r>
              <w:rPr>
                <w:rFonts w:hint="eastAsia"/>
              </w:rPr>
              <w:t xml:space="preserve">线性化价格</w:t>
            </w:r>
          </w:p>
        </w:tc>
        <w:tc>
          <w:tcPr/>
          <w:p>
            <w:pPr>
              <w:pStyle w:val="Compact"/>
              <w:jc w:val="right"/>
            </w:pPr>
            <w:r>
              <w:rPr>
                <w:rFonts w:hint="eastAsia"/>
              </w:rPr>
              <w:t xml:space="preserve">相对实际最高收盘价倍数</w:t>
            </w:r>
          </w:p>
        </w:tc>
      </w:tr>
      <w:tr>
        <w:tc>
          <w:tcPr/>
          <w:p>
            <w:pPr>
              <w:pStyle w:val="Compact"/>
              <w:jc w:val="left"/>
            </w:pPr>
            <w:r>
              <w:rPr>
                <w:rFonts w:hint="eastAsia"/>
              </w:rPr>
              <w:t xml:space="preserve">低中断</w:t>
            </w:r>
          </w:p>
        </w:tc>
        <w:tc>
          <w:tcPr/>
          <w:p>
            <w:pPr>
              <w:pStyle w:val="Compact"/>
              <w:jc w:val="right"/>
            </w:pPr>
            <w:r>
              <w:t xml:space="preserve">1400</w:t>
            </w:r>
          </w:p>
        </w:tc>
        <w:tc>
          <w:tcPr/>
          <w:p>
            <w:pPr>
              <w:pStyle w:val="Compact"/>
              <w:jc w:val="right"/>
            </w:pPr>
            <w:r>
              <w:t xml:space="preserve">278.20</w:t>
            </w:r>
          </w:p>
        </w:tc>
        <w:tc>
          <w:tcPr/>
          <w:p>
            <w:pPr>
              <w:pStyle w:val="Compact"/>
              <w:jc w:val="right"/>
            </w:pPr>
            <w:r>
              <w:t xml:space="preserve">2.44</w:t>
            </w:r>
          </w:p>
        </w:tc>
      </w:tr>
      <w:tr>
        <w:tc>
          <w:tcPr/>
          <w:p>
            <w:pPr>
              <w:pStyle w:val="Compact"/>
              <w:jc w:val="left"/>
            </w:pPr>
            <w:r>
              <w:rPr>
                <w:rFonts w:hint="eastAsia"/>
              </w:rPr>
              <w:t xml:space="preserve">中中断</w:t>
            </w:r>
          </w:p>
        </w:tc>
        <w:tc>
          <w:tcPr/>
          <w:p>
            <w:pPr>
              <w:pStyle w:val="Compact"/>
              <w:jc w:val="right"/>
            </w:pPr>
            <w:r>
              <w:t xml:space="preserve">1600</w:t>
            </w:r>
          </w:p>
        </w:tc>
        <w:tc>
          <w:tcPr/>
          <w:p>
            <w:pPr>
              <w:pStyle w:val="Compact"/>
              <w:jc w:val="right"/>
            </w:pPr>
            <w:r>
              <w:t xml:space="preserve">307.48</w:t>
            </w:r>
          </w:p>
        </w:tc>
        <w:tc>
          <w:tcPr/>
          <w:p>
            <w:pPr>
              <w:pStyle w:val="Compact"/>
              <w:jc w:val="right"/>
            </w:pPr>
            <w:r>
              <w:t xml:space="preserve">2.70</w:t>
            </w:r>
          </w:p>
        </w:tc>
      </w:tr>
      <w:tr>
        <w:tc>
          <w:tcPr/>
          <w:p>
            <w:pPr>
              <w:pStyle w:val="Compact"/>
              <w:jc w:val="left"/>
            </w:pPr>
            <w:r>
              <w:rPr>
                <w:rFonts w:hint="eastAsia"/>
              </w:rPr>
              <w:t xml:space="preserve">高中断</w:t>
            </w:r>
          </w:p>
        </w:tc>
        <w:tc>
          <w:tcPr/>
          <w:p>
            <w:pPr>
              <w:pStyle w:val="Compact"/>
              <w:jc w:val="right"/>
            </w:pPr>
            <w:r>
              <w:t xml:space="preserve">1800</w:t>
            </w:r>
          </w:p>
        </w:tc>
        <w:tc>
          <w:tcPr/>
          <w:p>
            <w:pPr>
              <w:pStyle w:val="Compact"/>
              <w:jc w:val="right"/>
            </w:pPr>
            <w:r>
              <w:t xml:space="preserve">336.77</w:t>
            </w:r>
          </w:p>
        </w:tc>
        <w:tc>
          <w:tcPr/>
          <w:p>
            <w:pPr>
              <w:pStyle w:val="Compact"/>
              <w:jc w:val="right"/>
            </w:pPr>
            <w:r>
              <w:t xml:space="preserve">2.95</w:t>
            </w:r>
          </w:p>
        </w:tc>
      </w:tr>
    </w:tbl>
    <w:p>
      <w:pPr>
        <w:pStyle w:val="CaptionedFigure"/>
      </w:pPr>
      <w:r>
        <w:drawing>
          <wp:inline>
            <wp:extent cx="4693920" cy="2560320"/>
            <wp:effectExtent b="0" l="0" r="0" t="0"/>
            <wp:docPr descr="" title="" id="33" name="Picture"/>
            <a:graphic>
              <a:graphicData uri="http://schemas.openxmlformats.org/drawingml/2006/picture">
                <pic:pic>
                  <pic:nvPicPr>
                    <pic:cNvPr descr="baseline_vs_actual.png" id="34" name="Picture"/>
                    <pic:cNvPicPr>
                      <a:picLocks noChangeArrowheads="1" noChangeAspect="1"/>
                    </pic:cNvPicPr>
                  </pic:nvPicPr>
                  <pic:blipFill>
                    <a:blip r:embed="rId32"/>
                    <a:stretch>
                      <a:fillRect/>
                    </a:stretch>
                  </pic:blipFill>
                  <pic:spPr bwMode="auto">
                    <a:xfrm>
                      <a:off x="0" y="0"/>
                      <a:ext cx="4693920" cy="2560320"/>
                    </a:xfrm>
                    <a:prstGeom prst="rect">
                      <a:avLst/>
                    </a:prstGeom>
                    <a:noFill/>
                    <a:ln w="9525">
                      <a:noFill/>
                      <a:headEnd/>
                      <a:tailEnd/>
                    </a:ln>
                  </pic:spPr>
                </pic:pic>
              </a:graphicData>
            </a:graphic>
          </wp:inline>
        </w:drawing>
      </w:r>
    </w:p>
    <w:p>
      <w:pPr>
        <w:pStyle w:val="ImageCaption"/>
      </w:pPr>
      <w:r>
        <w:rPr>
          <w:rFonts w:hint="eastAsia"/>
        </w:rPr>
        <w:t xml:space="preserve">传统供需基准模型与附件真实价格对比。低弹性静态模型明显高估现实价格。</w:t>
      </w:r>
    </w:p>
    <w:p>
      <w:pPr>
        <w:pStyle w:val="BodyText"/>
      </w:pPr>
      <w:r>
        <w:rPr>
          <w:rFonts w:hint="eastAsia"/>
        </w:rPr>
        <w:t xml:space="preserve">结果显示，传统模型给出的</w:t>
      </w:r>
      <w:r>
        <w:t xml:space="preserve"> 278–337 </w:t>
      </w:r>
      <w:r>
        <w:rPr>
          <w:rFonts w:hint="eastAsia"/>
        </w:rPr>
        <w:t xml:space="preserve">美元/桶显著高于附件冲突窗口最高收盘价</w:t>
      </w:r>
      <w:r>
        <w:t xml:space="preserve"> 114.06 </w:t>
      </w:r>
      <w:r>
        <w:rPr>
          <w:rFonts w:hint="eastAsia"/>
        </w:rPr>
        <w:t xml:space="preserve">美元/桶。这说明单纯依靠供应缺口和低短期弹性无法解释现实价格，必须进一步引入</w:t>
      </w:r>
      <w:r>
        <w:t xml:space="preserve"> </w:t>
      </w:r>
      <w:r>
        <w:rPr>
          <w:rFonts w:hint="eastAsia"/>
        </w:rPr>
        <w:t xml:space="preserve">SPR、库存、绕道运输、需求收缩和市场预期修复。</w:t>
      </w:r>
    </w:p>
    <w:bookmarkEnd w:id="35"/>
    <w:bookmarkEnd w:id="36"/>
    <w:bookmarkStart w:id="39" w:name="综合机制递推模型"/>
    <w:p>
      <w:pPr>
        <w:pStyle w:val="Heading1"/>
      </w:pPr>
      <w:r>
        <w:rPr>
          <w:rFonts w:hint="eastAsia"/>
        </w:rPr>
        <w:t xml:space="preserve">综合机制递推模型</w:t>
      </w:r>
    </w:p>
    <w:p>
      <w:pPr>
        <w:pStyle w:val="FirstParagraph"/>
      </w:pPr>
      <w:r>
        <w:rPr>
          <w:rFonts w:hint="eastAsia"/>
        </w:rPr>
        <w:t xml:space="preserve">综合机制递推模型是本文最终主模型。它不是把所有可能因素无差别加入拟合，而是在赛题要求因素的基础上，保留已经通过消融实验和敏感性分析证明有效的价格形成因素。模型目标是在附件冲突窗口内解释真实价格路径，并为后续</w:t>
      </w:r>
      <w:r>
        <w:t xml:space="preserve"> 60–180 </w:t>
      </w:r>
      <w:r>
        <w:rPr>
          <w:rFonts w:hint="eastAsia"/>
        </w:rPr>
        <w:t xml:space="preserve">天情景外推提供统一机制基础。</w:t>
      </w:r>
    </w:p>
    <w:bookmarkStart w:id="37" w:name="物理供需层"/>
    <w:p>
      <w:pPr>
        <w:pStyle w:val="Heading2"/>
      </w:pPr>
      <w:r>
        <w:rPr>
          <w:rFonts w:hint="eastAsia"/>
        </w:rPr>
        <w:t xml:space="preserve">物理供需层</w:t>
      </w:r>
    </w:p>
    <w:p>
      <w:pPr>
        <w:pStyle w:val="FirstParagraph"/>
      </w:pPr>
      <w:r>
        <w:rPr>
          <w:rFonts w:hint="eastAsia"/>
        </w:rPr>
        <w:t xml:space="preserve">本文首先构造题面物理供需层。第</w:t>
      </w:r>
      <w:r>
        <w:t xml:space="preserve"> </w:t>
      </w:r>
      <m:oMath>
        <m:r>
          <m:t>t</m:t>
        </m:r>
      </m:oMath>
      <w:r>
        <w:t xml:space="preserve"> </w:t>
      </w:r>
      <w:r>
        <w:rPr>
          <w:rFonts w:hint="eastAsia"/>
        </w:rPr>
        <w:t xml:space="preserve">日有效需求为</w:t>
      </w:r>
    </w:p>
    <w:p>
      <w:pPr>
        <w:pStyle w:val="BodyText"/>
      </w:pPr>
      <m:oMathPara>
        <m:oMathParaPr>
          <m:jc m:val="center"/>
        </m:oMathParaPr>
        <m:oMath>
          <m:sSub>
            <m:e>
              <m:r>
                <m:t>D</m:t>
              </m:r>
            </m:e>
            <m:sub>
              <m:r>
                <m:t>t</m:t>
              </m:r>
            </m:sub>
          </m:sSub>
          <m:r>
            <m:rPr>
              <m:sty m:val="p"/>
            </m:rPr>
            <m:t>=</m:t>
          </m:r>
          <m:sSub>
            <m:e>
              <m:r>
                <m:t>D</m:t>
              </m:r>
            </m:e>
            <m:sub>
              <m:r>
                <m:t>0</m:t>
              </m:r>
            </m:sub>
          </m:sSub>
          <m:sSup>
            <m:e>
              <m:d>
                <m:dPr>
                  <m:begChr m:val="("/>
                  <m:sepChr m:val=""/>
                  <m:endChr m:val=")"/>
                  <m:grow/>
                </m:dPr>
                <m:e>
                  <m:f>
                    <m:fPr>
                      <m:type m:val="bar"/>
                    </m:fPr>
                    <m:num>
                      <m:sSub>
                        <m:e>
                          <m:acc>
                            <m:accPr>
                              <m:chr m:val="̂"/>
                            </m:accPr>
                            <m:e>
                              <m:r>
                                <m:t>P</m:t>
                              </m:r>
                            </m:e>
                          </m:acc>
                        </m:e>
                        <m:sub>
                          <m:r>
                            <m:t>t</m:t>
                          </m:r>
                          <m:r>
                            <m:rPr>
                              <m:sty m:val="p"/>
                            </m:rPr>
                            <m:t>−</m:t>
                          </m:r>
                          <m:r>
                            <m:t>1</m:t>
                          </m:r>
                        </m:sub>
                      </m:sSub>
                    </m:num>
                    <m:den>
                      <m:sSub>
                        <m:e>
                          <m:r>
                            <m:t>P</m:t>
                          </m:r>
                        </m:e>
                        <m:sub>
                          <m:r>
                            <m:t>0</m:t>
                          </m:r>
                        </m:sub>
                      </m:sSub>
                    </m:den>
                  </m:f>
                </m:e>
              </m:d>
            </m:e>
            <m:sup>
              <m:sSub>
                <m:e>
                  <m:r>
                    <m:t>ε</m:t>
                  </m:r>
                </m:e>
                <m:sub>
                  <m:r>
                    <m:t>t</m:t>
                  </m:r>
                </m:sub>
              </m:sSub>
            </m:sup>
          </m:sSup>
          <m:r>
            <m:rPr>
              <m:sty m:val="p"/>
            </m:rPr>
            <m:t>−</m:t>
          </m:r>
          <m:sSub>
            <m:e>
              <m:r>
                <m:t>C</m:t>
              </m:r>
            </m:e>
            <m:sub>
              <m:r>
                <m:t>t</m:t>
              </m:r>
            </m:sub>
          </m:sSub>
          <m:r>
            <m:rPr>
              <m:sty m:val="p"/>
            </m:rPr>
            <m:t>,</m:t>
          </m:r>
        </m:oMath>
      </m:oMathPara>
    </w:p>
    <w:p>
      <w:pPr>
        <w:pStyle w:val="FirstParagraph"/>
      </w:pPr>
      <w:r>
        <w:rPr>
          <w:rFonts w:hint="eastAsia"/>
        </w:rPr>
        <w:t xml:space="preserve">其中</w:t>
      </w:r>
      <w:r>
        <w:t xml:space="preserve"> </w:t>
      </w:r>
      <m:oMath>
        <m:sSub>
          <m:e>
            <m:r>
              <m:t>C</m:t>
            </m:r>
          </m:e>
          <m:sub>
            <m:r>
              <m:t>t</m:t>
            </m:r>
          </m:sub>
        </m:sSub>
      </m:oMath>
      <w:r>
        <w:t xml:space="preserve"> </w:t>
      </w:r>
      <w:r>
        <w:rPr>
          <w:rFonts w:hint="eastAsia"/>
        </w:rPr>
        <w:t xml:space="preserve">表示高价下需求收缩量。第</w:t>
      </w:r>
      <w:r>
        <w:t xml:space="preserve"> </w:t>
      </w:r>
      <m:oMath>
        <m:r>
          <m:t>t</m:t>
        </m:r>
      </m:oMath>
      <w:r>
        <w:t xml:space="preserve"> </w:t>
      </w:r>
      <w:r>
        <w:rPr>
          <w:rFonts w:hint="eastAsia"/>
        </w:rPr>
        <w:t xml:space="preserve">日不含库存的有效供给为</w:t>
      </w:r>
    </w:p>
    <w:p>
      <w:pPr>
        <w:pStyle w:val="BodyText"/>
      </w:pPr>
      <m:oMathPara>
        <m:oMathParaPr>
          <m:jc m:val="center"/>
        </m:oMathParaPr>
        <m:oMath>
          <m:sSubSup>
            <m:e>
              <m:r>
                <m:t>S</m:t>
              </m:r>
            </m:e>
            <m:sub>
              <m:r>
                <m:t>t</m:t>
              </m:r>
            </m:sub>
            <m:sup>
              <m:r>
                <m:rPr>
                  <m:sty m:val="p"/>
                </m:rPr>
                <m:t>(</m:t>
              </m:r>
              <m:r>
                <m:t>0</m:t>
              </m:r>
              <m:r>
                <m:rPr>
                  <m:sty m:val="p"/>
                </m:rPr>
                <m:t>)</m:t>
              </m:r>
            </m:sup>
          </m:sSubSup>
          <m:r>
            <m:rPr>
              <m:sty m:val="p"/>
            </m:rPr>
            <m:t>=</m:t>
          </m:r>
          <m:sSub>
            <m:e>
              <m:r>
                <m:t>S</m:t>
              </m:r>
            </m:e>
            <m:sub>
              <m:r>
                <m:t>0</m:t>
              </m:r>
            </m:sub>
          </m:sSub>
          <m:r>
            <m:rPr>
              <m:sty m:val="p"/>
            </m:rPr>
            <m:t>−</m:t>
          </m:r>
          <m:r>
            <m:t>I</m:t>
          </m:r>
          <m:r>
            <m:rPr>
              <m:sty m:val="p"/>
            </m:rPr>
            <m:t>+</m:t>
          </m:r>
          <m:sSub>
            <m:e>
              <m:r>
                <m:t>R</m:t>
              </m:r>
            </m:e>
            <m:sub>
              <m:r>
                <m:t>t</m:t>
              </m:r>
            </m:sub>
          </m:sSub>
          <m:r>
            <m:rPr>
              <m:sty m:val="p"/>
            </m:rPr>
            <m:t>+</m:t>
          </m:r>
          <m:sSub>
            <m:e>
              <m:r>
                <m:t>Q</m:t>
              </m:r>
            </m:e>
            <m:sub>
              <m:r>
                <m:t>t</m:t>
              </m:r>
            </m:sub>
          </m:sSub>
          <m:r>
            <m:rPr>
              <m:sty m:val="p"/>
            </m:rPr>
            <m:t>.</m:t>
          </m:r>
        </m:oMath>
      </m:oMathPara>
    </w:p>
    <w:p>
      <w:pPr>
        <w:pStyle w:val="FirstParagraph"/>
      </w:pPr>
      <w:r>
        <w:rPr>
          <w:rFonts w:hint="eastAsia"/>
        </w:rPr>
        <w:t xml:space="preserve">商业库存缓冲量</w:t>
      </w:r>
      <w:r>
        <w:t xml:space="preserve"> </w:t>
      </w:r>
      <m:oMath>
        <m:sSub>
          <m:e>
            <m:r>
              <m:t>B</m:t>
            </m:r>
          </m:e>
          <m:sub>
            <m:r>
              <m:t>t</m:t>
            </m:r>
          </m:sub>
        </m:sSub>
      </m:oMath>
      <w:r>
        <w:t xml:space="preserve"> </w:t>
      </w:r>
      <w:r>
        <w:rPr>
          <w:rFonts w:hint="eastAsia"/>
        </w:rPr>
        <w:t xml:space="preserve">受剩余缺口、库存日释放上限和剩余库存约束：</w:t>
      </w:r>
    </w:p>
    <w:p>
      <w:pPr>
        <w:pStyle w:val="BodyText"/>
      </w:pPr>
      <m:oMathPara>
        <m:oMathParaPr>
          <m:jc m:val="center"/>
        </m:oMathParaPr>
        <m:oMath>
          <m:sSub>
            <m:e>
              <m:r>
                <m:t>B</m:t>
              </m:r>
            </m:e>
            <m:sub>
              <m:r>
                <m:t>t</m:t>
              </m:r>
            </m:sub>
          </m:sSub>
          <m:r>
            <m:rPr>
              <m:sty m:val="p"/>
            </m:rPr>
            <m:t>=</m:t>
          </m:r>
          <m:r>
            <m:rPr>
              <m:sty m:val="p"/>
            </m:rPr>
            <m:t>min</m:t>
          </m:r>
          <m:d>
            <m:dPr>
              <m:begChr m:val="{"/>
              <m:sepChr m:val=""/>
              <m:endChr m:val="}"/>
              <m:grow/>
            </m:dPr>
            <m:e>
              <m:r>
                <m:t>λ</m:t>
              </m:r>
              <m:r>
                <m:rPr>
                  <m:sty m:val="p"/>
                </m:rPr>
                <m:t>max</m:t>
              </m:r>
              <m:r>
                <m:rPr>
                  <m:sty m:val="p"/>
                </m:rPr>
                <m:t>(</m:t>
              </m:r>
              <m:sSub>
                <m:e>
                  <m:r>
                    <m:t>D</m:t>
                  </m:r>
                </m:e>
                <m:sub>
                  <m:r>
                    <m:t>t</m:t>
                  </m:r>
                </m:sub>
              </m:sSub>
              <m:r>
                <m:rPr>
                  <m:sty m:val="p"/>
                </m:rPr>
                <m:t>−</m:t>
              </m:r>
              <m:sSubSup>
                <m:e>
                  <m:r>
                    <m:t>S</m:t>
                  </m:r>
                </m:e>
                <m:sub>
                  <m:r>
                    <m:t>t</m:t>
                  </m:r>
                </m:sub>
                <m:sup>
                  <m:r>
                    <m:rPr>
                      <m:sty m:val="p"/>
                    </m:rPr>
                    <m:t>(</m:t>
                  </m:r>
                  <m:r>
                    <m:t>0</m:t>
                  </m:r>
                  <m:r>
                    <m:rPr>
                      <m:sty m:val="p"/>
                    </m:rPr>
                    <m:t>)</m:t>
                  </m:r>
                </m:sup>
              </m:sSubSup>
              <m:r>
                <m:rPr>
                  <m:sty m:val="p"/>
                </m:rPr>
                <m:t>,</m:t>
              </m:r>
              <m:r>
                <m:t>0</m:t>
              </m:r>
              <m:r>
                <m:rPr>
                  <m:sty m:val="p"/>
                </m:rPr>
                <m:t>)</m:t>
              </m:r>
              <m:r>
                <m:rPr>
                  <m:sty m:val="p"/>
                </m:rPr>
                <m:t>,</m:t>
              </m:r>
              <m:r>
                <m:t> </m:t>
              </m:r>
              <m:sSub>
                <m:e>
                  <m:r>
                    <m:t>B</m:t>
                  </m:r>
                </m:e>
                <m:sub>
                  <m:r>
                    <m:rPr>
                      <m:sty m:val="p"/>
                    </m:rPr>
                    <m:t>max</m:t>
                  </m:r>
                </m:sub>
              </m:sSub>
              <m:r>
                <m:rPr>
                  <m:sty m:val="p"/>
                </m:rPr>
                <m:t>,</m:t>
              </m:r>
              <m:r>
                <m:t> </m:t>
              </m:r>
              <m:sSub>
                <m:e>
                  <m:r>
                    <m:t>K</m:t>
                  </m:r>
                </m:e>
                <m:sub>
                  <m:r>
                    <m:t>t</m:t>
                  </m:r>
                  <m:r>
                    <m:rPr>
                      <m:sty m:val="p"/>
                    </m:rPr>
                    <m:t>−</m:t>
                  </m:r>
                  <m:r>
                    <m:t>1</m:t>
                  </m:r>
                </m:sub>
              </m:sSub>
            </m:e>
          </m:d>
          <m:r>
            <m:rPr>
              <m:sty m:val="p"/>
            </m:rPr>
            <m:t>.</m:t>
          </m:r>
        </m:oMath>
      </m:oMathPara>
    </w:p>
    <w:p>
      <w:pPr>
        <w:pStyle w:val="FirstParagraph"/>
      </w:pPr>
      <w:r>
        <w:rPr>
          <w:rFonts w:hint="eastAsia"/>
        </w:rPr>
        <w:t xml:space="preserve">最终剩余缺口为</w:t>
      </w:r>
    </w:p>
    <w:p>
      <w:pPr>
        <w:pStyle w:val="BodyText"/>
      </w:pPr>
      <m:oMathPara>
        <m:oMathParaPr>
          <m:jc m:val="center"/>
        </m:oMathParaPr>
        <m:oMath>
          <m:sSub>
            <m:e>
              <m:r>
                <m:t>G</m:t>
              </m:r>
            </m:e>
            <m:sub>
              <m:r>
                <m:t>t</m:t>
              </m:r>
            </m:sub>
          </m:sSub>
          <m:r>
            <m:rPr>
              <m:sty m:val="p"/>
            </m:rPr>
            <m:t>=</m:t>
          </m:r>
          <m:r>
            <m:rPr>
              <m:sty m:val="p"/>
            </m:rPr>
            <m:t>max</m:t>
          </m:r>
          <m:r>
            <m:rPr>
              <m:sty m:val="p"/>
            </m:rPr>
            <m:t>(</m:t>
          </m:r>
          <m:sSub>
            <m:e>
              <m:r>
                <m:t>D</m:t>
              </m:r>
            </m:e>
            <m:sub>
              <m:r>
                <m:t>t</m:t>
              </m:r>
            </m:sub>
          </m:sSub>
          <m:r>
            <m:rPr>
              <m:sty m:val="p"/>
            </m:rPr>
            <m:t>−</m:t>
          </m:r>
          <m:sSubSup>
            <m:e>
              <m:r>
                <m:t>S</m:t>
              </m:r>
            </m:e>
            <m:sub>
              <m:r>
                <m:t>t</m:t>
              </m:r>
            </m:sub>
            <m:sup>
              <m:r>
                <m:rPr>
                  <m:sty m:val="p"/>
                </m:rPr>
                <m:t>(</m:t>
              </m:r>
              <m:r>
                <m:t>0</m:t>
              </m:r>
              <m:r>
                <m:rPr>
                  <m:sty m:val="p"/>
                </m:rPr>
                <m:t>)</m:t>
              </m:r>
            </m:sup>
          </m:sSubSup>
          <m:r>
            <m:rPr>
              <m:sty m:val="p"/>
            </m:rPr>
            <m:t>−</m:t>
          </m:r>
          <m:sSub>
            <m:e>
              <m:r>
                <m:t>B</m:t>
              </m:r>
            </m:e>
            <m:sub>
              <m:r>
                <m:t>t</m:t>
              </m:r>
            </m:sub>
          </m:sSub>
          <m:r>
            <m:rPr>
              <m:sty m:val="p"/>
            </m:rPr>
            <m:t>,</m:t>
          </m:r>
          <m:r>
            <m:t>0</m:t>
          </m:r>
          <m:r>
            <m:rPr>
              <m:sty m:val="p"/>
            </m:rPr>
            <m:t>)</m:t>
          </m:r>
          <m:r>
            <m:rPr>
              <m:sty m:val="p"/>
            </m:rPr>
            <m:t>.</m:t>
          </m:r>
        </m:oMath>
      </m:oMathPara>
    </w:p>
    <w:bookmarkEnd w:id="37"/>
    <w:bookmarkStart w:id="38" w:name="市场价格形成层"/>
    <w:p>
      <w:pPr>
        <w:pStyle w:val="Heading2"/>
      </w:pPr>
      <w:r>
        <w:rPr>
          <w:rFonts w:hint="eastAsia"/>
        </w:rPr>
        <w:t xml:space="preserve">市场价格形成层</w:t>
      </w:r>
    </w:p>
    <w:p>
      <w:pPr>
        <w:pStyle w:val="FirstParagraph"/>
      </w:pPr>
      <w:r>
        <w:rPr>
          <w:rFonts w:hint="eastAsia"/>
        </w:rPr>
        <w:t xml:space="preserve">原油期货价格不仅反映当日物理缺口，也反映市场对冲突持续时间、政策缓冲可信度和运输修复进度的预期。因此本文在物理供需层之上增加市场价格形成层：</w:t>
      </w:r>
    </w:p>
    <w:p>
      <w:pPr>
        <w:pStyle w:val="BodyText"/>
      </w:pPr>
      <m:oMathPara>
        <m:oMathParaPr>
          <m:jc m:val="center"/>
        </m:oMathParaPr>
        <m:oMath>
          <m:eqArr>
            <m:e>
              <m:sSubSup>
                <m:e>
                  <m:r>
                    <m:t>P</m:t>
                  </m:r>
                </m:e>
                <m:sub>
                  <m:r>
                    <m:t>t</m:t>
                  </m:r>
                </m:sub>
                <m:sup>
                  <m:r>
                    <m:rPr>
                      <m:sty m:val="p"/>
                    </m:rPr>
                    <m:t>*</m:t>
                  </m:r>
                </m:sup>
              </m:sSubSup>
              <m:r>
                <m:rPr>
                  <m:sty m:val="p"/>
                </m:rPr>
                <m:t>=</m:t>
              </m:r>
              <m:r>
                <m:t>​</m:t>
              </m:r>
              <m:r>
                <m:t>&amp;</m:t>
              </m:r>
              <m:sSub>
                <m:e>
                  <m:r>
                    <m:t>P</m:t>
                  </m:r>
                </m:e>
                <m:sub>
                  <m:r>
                    <m:t>0</m:t>
                  </m:r>
                </m:sub>
              </m:sSub>
              <m:r>
                <m:rPr>
                  <m:sty m:val="p"/>
                </m:rPr>
                <m:t>+</m:t>
              </m:r>
              <m:r>
                <m:t>ϕ</m:t>
              </m:r>
              <m:sSub>
                <m:e>
                  <m:r>
                    <m:t>P</m:t>
                  </m:r>
                </m:e>
                <m:sub>
                  <m:r>
                    <m:t>0</m:t>
                  </m:r>
                </m:sub>
              </m:sSub>
              <m:f>
                <m:fPr>
                  <m:type m:val="bar"/>
                </m:fPr>
                <m:num>
                  <m:sSub>
                    <m:e>
                      <m:r>
                        <m:t>G</m:t>
                      </m:r>
                    </m:e>
                    <m:sub>
                      <m:r>
                        <m:t>t</m:t>
                      </m:r>
                    </m:sub>
                  </m:sSub>
                  <m:r>
                    <m:rPr>
                      <m:sty m:val="p"/>
                    </m:rPr>
                    <m:t>/</m:t>
                  </m:r>
                  <m:sSub>
                    <m:e>
                      <m:r>
                        <m:t>D</m:t>
                      </m:r>
                    </m:e>
                    <m:sub>
                      <m:r>
                        <m:t>0</m:t>
                      </m:r>
                    </m:sub>
                  </m:sSub>
                </m:num>
                <m:den>
                  <m:r>
                    <m:rPr>
                      <m:sty m:val="p"/>
                    </m:rPr>
                    <m:t>|</m:t>
                  </m:r>
                  <m:sSub>
                    <m:e>
                      <m:r>
                        <m:t>ε</m:t>
                      </m:r>
                    </m:e>
                    <m:sub>
                      <m:r>
                        <m:t>t</m:t>
                      </m:r>
                    </m:sub>
                  </m:sSub>
                  <m:r>
                    <m:rPr>
                      <m:sty m:val="p"/>
                    </m:rPr>
                    <m:t>|</m:t>
                  </m:r>
                </m:den>
              </m:f>
              <m:r>
                <m:rPr>
                  <m:sty m:val="p"/>
                </m:rPr>
                <m:t>+</m:t>
              </m:r>
              <m:sSub>
                <m:e>
                  <m:r>
                    <m:t>P</m:t>
                  </m:r>
                </m:e>
                <m:sub>
                  <m:r>
                    <m:t>0</m:t>
                  </m:r>
                </m:sub>
              </m:sSub>
              <m:r>
                <m:t>β</m:t>
              </m:r>
              <m:f>
                <m:fPr>
                  <m:type m:val="bar"/>
                </m:fPr>
                <m:num>
                  <m:r>
                    <m:t>I</m:t>
                  </m:r>
                </m:num>
                <m:den>
                  <m:sSub>
                    <m:e>
                      <m:r>
                        <m:t>D</m:t>
                      </m:r>
                    </m:e>
                    <m:sub>
                      <m:r>
                        <m:t>0</m:t>
                      </m:r>
                    </m:sub>
                  </m:sSub>
                </m:den>
              </m:f>
              <m:d>
                <m:dPr>
                  <m:begChr m:val="("/>
                  <m:sepChr m:val=""/>
                  <m:endChr m:val=")"/>
                  <m:grow/>
                </m:dPr>
                <m:e>
                  <m:r>
                    <m:t>1</m:t>
                  </m:r>
                  <m:r>
                    <m:rPr>
                      <m:sty m:val="p"/>
                    </m:rPr>
                    <m:t>−</m:t>
                  </m:r>
                  <m:sSup>
                    <m:e>
                      <m:r>
                        <m:t>e</m:t>
                      </m:r>
                    </m:e>
                    <m:sup>
                      <m:r>
                        <m:rPr>
                          <m:sty m:val="p"/>
                        </m:rPr>
                        <m:t>−</m:t>
                      </m:r>
                      <m:r>
                        <m:t>t</m:t>
                      </m:r>
                      <m:r>
                        <m:rPr>
                          <m:sty m:val="p"/>
                        </m:rPr>
                        <m:t>/</m:t>
                      </m:r>
                      <m:r>
                        <m:t>7</m:t>
                      </m:r>
                    </m:sup>
                  </m:sSup>
                </m:e>
              </m:d>
              <m:sSup>
                <m:e>
                  <m:r>
                    <m:t>e</m:t>
                  </m:r>
                </m:e>
                <m:sup>
                  <m:r>
                    <m:rPr>
                      <m:sty m:val="p"/>
                    </m:rPr>
                    <m:t>−</m:t>
                  </m:r>
                  <m:r>
                    <m:t>0.004</m:t>
                  </m:r>
                  <m:r>
                    <m:t>t</m:t>
                  </m:r>
                </m:sup>
              </m:sSup>
            </m:e>
            <m:e>
              <m:r>
                <m:t>&amp;</m:t>
              </m:r>
              <m:r>
                <m:rPr>
                  <m:sty m:val="p"/>
                </m:rPr>
                <m:t>+</m:t>
              </m:r>
              <m:sSub>
                <m:e>
                  <m:r>
                    <m:t>P</m:t>
                  </m:r>
                </m:e>
                <m:sub>
                  <m:r>
                    <m:t>0</m:t>
                  </m:r>
                </m:sub>
              </m:sSub>
              <m:r>
                <m:t>U</m:t>
              </m:r>
              <m:d>
                <m:dPr>
                  <m:begChr m:val="("/>
                  <m:sepChr m:val=""/>
                  <m:endChr m:val=")"/>
                  <m:grow/>
                </m:dPr>
                <m:e>
                  <m:r>
                    <m:t>1</m:t>
                  </m:r>
                  <m:r>
                    <m:rPr>
                      <m:sty m:val="p"/>
                    </m:rPr>
                    <m:t>−</m:t>
                  </m:r>
                  <m:sSup>
                    <m:e>
                      <m:r>
                        <m:t>e</m:t>
                      </m:r>
                    </m:e>
                    <m:sup>
                      <m:r>
                        <m:rPr>
                          <m:sty m:val="p"/>
                        </m:rPr>
                        <m:t>−</m:t>
                      </m:r>
                      <m:r>
                        <m:t>t</m:t>
                      </m:r>
                      <m:r>
                        <m:rPr>
                          <m:sty m:val="p"/>
                        </m:rPr>
                        <m:t>/</m:t>
                      </m:r>
                      <m:r>
                        <m:t>18</m:t>
                      </m:r>
                    </m:sup>
                  </m:sSup>
                </m:e>
              </m:d>
              <m:r>
                <m:rPr>
                  <m:sty m:val="p"/>
                </m:rPr>
                <m:t>+</m:t>
              </m:r>
              <m:r>
                <m:t>0.45</m:t>
              </m:r>
              <m:sSub>
                <m:e>
                  <m:r>
                    <m:t>P</m:t>
                  </m:r>
                </m:e>
                <m:sub>
                  <m:r>
                    <m:t>0</m:t>
                  </m:r>
                </m:sub>
              </m:sSub>
              <m:sSub>
                <m:e>
                  <m:r>
                    <m:t>F</m:t>
                  </m:r>
                </m:e>
                <m:sub>
                  <m:r>
                    <m:t>t</m:t>
                  </m:r>
                </m:sub>
              </m:sSub>
              <m:r>
                <m:rPr>
                  <m:sty m:val="p"/>
                </m:rPr>
                <m:t>−</m:t>
              </m:r>
              <m:sSub>
                <m:e>
                  <m:r>
                    <m:t>H</m:t>
                  </m:r>
                </m:e>
                <m:sub>
                  <m:r>
                    <m:t>t</m:t>
                  </m:r>
                </m:sub>
              </m:sSub>
              <m:r>
                <m:rPr>
                  <m:sty m:val="p"/>
                </m:rPr>
                <m:t>−</m:t>
              </m:r>
              <m:sSub>
                <m:e>
                  <m:r>
                    <m:t>L</m:t>
                  </m:r>
                </m:e>
                <m:sub>
                  <m:r>
                    <m:t>t</m:t>
                  </m:r>
                </m:sub>
              </m:sSub>
              <m:r>
                <m:rPr>
                  <m:sty m:val="p"/>
                </m:rPr>
                <m:t>.</m:t>
              </m:r>
            </m:e>
          </m:eqArr>
        </m:oMath>
      </m:oMathPara>
    </w:p>
    <w:p>
      <w:pPr>
        <w:pStyle w:val="FirstParagraph"/>
      </w:pPr>
      <w:r>
        <w:rPr>
          <w:rFonts w:hint="eastAsia"/>
        </w:rPr>
        <w:t xml:space="preserve">其中</w:t>
      </w:r>
      <w:r>
        <w:t xml:space="preserve"> </w:t>
      </w:r>
      <m:oMath>
        <m:r>
          <m:t>ϕ</m:t>
        </m:r>
      </m:oMath>
      <w:r>
        <w:t xml:space="preserve"> </w:t>
      </w:r>
      <w:r>
        <w:rPr>
          <w:rFonts w:hint="eastAsia"/>
        </w:rPr>
        <w:t xml:space="preserve">为物理缺口向期货目标价格传导的价格形成系数，不替代题面需求弹性；</w:t>
      </w:r>
      <m:oMath>
        <m:sSub>
          <m:e>
            <m:r>
              <m:t>H</m:t>
            </m:r>
          </m:e>
          <m:sub>
            <m:r>
              <m:t>t</m:t>
            </m:r>
          </m:sub>
        </m:sSub>
      </m:oMath>
      <w:r>
        <w:t xml:space="preserve"> </w:t>
      </w:r>
      <w:r>
        <w:rPr>
          <w:rFonts w:hint="eastAsia"/>
        </w:rPr>
        <w:t xml:space="preserve">为缓冲确认折价，</w:t>
      </w:r>
      <m:oMath>
        <m:sSub>
          <m:e>
            <m:r>
              <m:t>L</m:t>
            </m:r>
          </m:e>
          <m:sub>
            <m:r>
              <m:t>t</m:t>
            </m:r>
          </m:sub>
        </m:sSub>
      </m:oMath>
      <w:r>
        <w:t xml:space="preserve"> </w:t>
      </w:r>
      <w:r>
        <w:rPr>
          <w:rFonts w:hint="eastAsia"/>
        </w:rPr>
        <w:t xml:space="preserve">为预期修复折价。这里的</w:t>
      </w:r>
      <w:r>
        <w:t xml:space="preserve"> </w:t>
      </w:r>
      <m:oMath>
        <m:sSub>
          <m:e>
            <m:r>
              <m:t>ε</m:t>
            </m:r>
          </m:e>
          <m:sub>
            <m:r>
              <m:t>t</m:t>
            </m:r>
          </m:sub>
        </m:sSub>
      </m:oMath>
      <w:r>
        <w:t xml:space="preserve"> </w:t>
      </w:r>
      <w:r>
        <w:rPr>
          <w:rFonts w:hint="eastAsia"/>
        </w:rPr>
        <w:t xml:space="preserve">仍承担题面低弹性约束，</w:t>
      </w:r>
      <m:oMath>
        <m:r>
          <m:t>ϕ</m:t>
        </m:r>
      </m:oMath>
      <w:r>
        <w:t xml:space="preserve"> </w:t>
      </w:r>
      <w:r>
        <w:rPr>
          <w:rFonts w:hint="eastAsia"/>
        </w:rPr>
        <w:t xml:space="preserve">只刻画期货市场对剩余缺口的折价传导强度。模型递推式为</w:t>
      </w:r>
    </w:p>
    <w:p>
      <w:pPr>
        <w:pStyle w:val="BodyText"/>
      </w:pPr>
      <m:oMathPara>
        <m:oMathParaPr>
          <m:jc m:val="center"/>
        </m:oMathParaPr>
        <m:oMath>
          <m:sSub>
            <m:e>
              <m:acc>
                <m:accPr>
                  <m:chr m:val="̂"/>
                </m:accPr>
                <m:e>
                  <m:r>
                    <m:t>P</m:t>
                  </m:r>
                </m:e>
              </m:acc>
            </m:e>
            <m:sub>
              <m:r>
                <m:t>t</m:t>
              </m:r>
            </m:sub>
          </m:sSub>
          <m:r>
            <m:rPr>
              <m:sty m:val="p"/>
            </m:rPr>
            <m:t>=</m:t>
          </m:r>
          <m:sSub>
            <m:e>
              <m:acc>
                <m:accPr>
                  <m:chr m:val="̂"/>
                </m:accPr>
                <m:e>
                  <m:r>
                    <m:t>P</m:t>
                  </m:r>
                </m:e>
              </m:acc>
            </m:e>
            <m:sub>
              <m:r>
                <m:t>t</m:t>
              </m:r>
              <m:r>
                <m:rPr>
                  <m:sty m:val="p"/>
                </m:rPr>
                <m:t>−</m:t>
              </m:r>
              <m:r>
                <m:t>1</m:t>
              </m:r>
            </m:sub>
          </m:sSub>
          <m:r>
            <m:rPr>
              <m:sty m:val="p"/>
            </m:rPr>
            <m:t>+</m:t>
          </m:r>
          <m:r>
            <m:t>v</m:t>
          </m:r>
          <m:r>
            <m:rPr>
              <m:sty m:val="p"/>
            </m:rPr>
            <m:t>(</m:t>
          </m:r>
          <m:sSubSup>
            <m:e>
              <m:r>
                <m:t>P</m:t>
              </m:r>
            </m:e>
            <m:sub>
              <m:r>
                <m:t>t</m:t>
              </m:r>
            </m:sub>
            <m:sup>
              <m:r>
                <m:rPr>
                  <m:sty m:val="p"/>
                </m:rPr>
                <m:t>*</m:t>
              </m:r>
            </m:sup>
          </m:sSubSup>
          <m:r>
            <m:rPr>
              <m:sty m:val="p"/>
            </m:rPr>
            <m:t>−</m:t>
          </m:r>
          <m:sSub>
            <m:e>
              <m:acc>
                <m:accPr>
                  <m:chr m:val="̂"/>
                </m:accPr>
                <m:e>
                  <m:r>
                    <m:t>P</m:t>
                  </m:r>
                </m:e>
              </m:acc>
            </m:e>
            <m:sub>
              <m:r>
                <m:t>t</m:t>
              </m:r>
              <m:r>
                <m:rPr>
                  <m:sty m:val="p"/>
                </m:rPr>
                <m:t>−</m:t>
              </m:r>
              <m:r>
                <m:t>1</m:t>
              </m:r>
            </m:sub>
          </m:sSub>
          <m:r>
            <m:rPr>
              <m:sty m:val="p"/>
            </m:rPr>
            <m:t>)</m:t>
          </m:r>
          <m:r>
            <m:rPr>
              <m:sty m:val="p"/>
            </m:rPr>
            <m:t>+</m:t>
          </m:r>
          <m:r>
            <m:t>2.5</m:t>
          </m:r>
          <m:r>
            <m:rPr>
              <m:sty m:val="p"/>
            </m:rPr>
            <m:t>(</m:t>
          </m:r>
          <m:sSub>
            <m:e>
              <m:r>
                <m:t>F</m:t>
              </m:r>
            </m:e>
            <m:sub>
              <m:r>
                <m:t>t</m:t>
              </m:r>
            </m:sub>
          </m:sSub>
          <m:r>
            <m:rPr>
              <m:sty m:val="p"/>
            </m:rPr>
            <m:t>−</m:t>
          </m:r>
          <m:sSub>
            <m:e>
              <m:r>
                <m:t>F</m:t>
              </m:r>
            </m:e>
            <m:sub>
              <m:r>
                <m:t>t</m:t>
              </m:r>
              <m:r>
                <m:rPr>
                  <m:sty m:val="p"/>
                </m:rPr>
                <m:t>−</m:t>
              </m:r>
              <m:r>
                <m:t>1</m:t>
              </m:r>
            </m:sub>
          </m:sSub>
          <m:r>
            <m:rPr>
              <m:sty m:val="p"/>
            </m:rPr>
            <m:t>)</m:t>
          </m:r>
          <m:r>
            <m:rPr>
              <m:sty m:val="p"/>
            </m:rPr>
            <m:t>.</m:t>
          </m:r>
        </m:oMath>
      </m:oMathPara>
    </w:p>
    <w:p>
      <w:pPr>
        <w:pStyle w:val="FirstParagraph"/>
      </w:pPr>
      <w:r>
        <w:rPr>
          <w:rFonts w:hint="eastAsia"/>
        </w:rPr>
        <w:t xml:space="preserve">该结构保留了题面中的离散递推思想，同时允许期货市场对风险和预期做非线性再定价。需要强调，本文不把市场价格形成层视为任意补丁：风险溢价、缓冲确认折价和预期修复折价只有在具有经济含义、方向可解释、消融后误差明显恶化且扰动后结论保持稳定时才保留在主模型中。</w:t>
      </w:r>
    </w:p>
    <w:bookmarkEnd w:id="38"/>
    <w:bookmarkEnd w:id="39"/>
    <w:bookmarkStart w:id="82" w:name="参数校准与模型检验"/>
    <w:p>
      <w:pPr>
        <w:pStyle w:val="Heading1"/>
      </w:pPr>
      <w:r>
        <w:rPr>
          <w:rFonts w:hint="eastAsia"/>
        </w:rPr>
        <w:t xml:space="preserve">参数校准与模型检验</w:t>
      </w:r>
    </w:p>
    <w:bookmarkStart w:id="40" w:name="多目标校准"/>
    <w:p>
      <w:pPr>
        <w:pStyle w:val="Heading2"/>
      </w:pPr>
      <w:r>
        <w:rPr>
          <w:rFonts w:hint="eastAsia"/>
        </w:rPr>
        <w:t xml:space="preserve">多目标校准</w:t>
      </w:r>
    </w:p>
    <w:p>
      <w:pPr>
        <w:pStyle w:val="FirstParagraph"/>
      </w:pPr>
      <w:r>
        <w:rPr>
          <w:rFonts w:hint="eastAsia"/>
        </w:rPr>
        <w:t xml:space="preserve">为了避免模型只追求总体</w:t>
      </w:r>
      <w:r>
        <w:t xml:space="preserve"> RMSE </w:t>
      </w:r>
      <w:r>
        <w:rPr>
          <w:rFonts w:hint="eastAsia"/>
        </w:rPr>
        <w:t xml:space="preserve">而牺牲峰值、末日价格和局部阶段解释能力，本文采用多目标校准函数：</w:t>
      </w:r>
    </w:p>
    <w:p>
      <w:pPr>
        <w:pStyle w:val="BodyText"/>
      </w:pPr>
      <m:oMathPara>
        <m:oMathParaPr>
          <m:jc m:val="center"/>
        </m:oMathParaPr>
        <m:oMath>
          <m:eqArr>
            <m:e>
              <m:r>
                <m:rPr>
                  <m:scr m:val="script"/>
                  <m:sty m:val="p"/>
                </m:rPr>
                <m:t>L</m:t>
              </m:r>
              <m:r>
                <m:rPr>
                  <m:sty m:val="p"/>
                </m:rPr>
                <m:t>=</m:t>
              </m:r>
              <m:r>
                <m:t>​</m:t>
              </m:r>
              <m:r>
                <m:t>&amp;</m:t>
              </m:r>
              <m:r>
                <m:rPr>
                  <m:sty m:val="p"/>
                </m:rPr>
                <m:t>R</m:t>
              </m:r>
              <m:r>
                <m:rPr>
                  <m:sty m:val="p"/>
                </m:rPr>
                <m:t>M</m:t>
              </m:r>
              <m:r>
                <m:rPr>
                  <m:sty m:val="p"/>
                </m:rPr>
                <m:t>S</m:t>
              </m:r>
              <m:r>
                <m:rPr>
                  <m:sty m:val="p"/>
                </m:rPr>
                <m:t>E</m:t>
              </m:r>
              <m:r>
                <m:rPr>
                  <m:sty m:val="p"/>
                </m:rPr>
                <m:t>+</m:t>
              </m:r>
              <m:r>
                <m:t>0.20</m:t>
              </m:r>
              <m:r>
                <m:rPr>
                  <m:sty m:val="p"/>
                </m:rPr>
                <m:t>|</m:t>
              </m:r>
              <m:r>
                <m:rPr>
                  <m:sty m:val="p"/>
                </m:rPr>
                <m:t>Δ</m:t>
              </m:r>
              <m:sSub>
                <m:e>
                  <m:r>
                    <m:t>P</m:t>
                  </m:r>
                </m:e>
                <m:sub>
                  <m:r>
                    <m:rPr>
                      <m:sty m:val="p"/>
                    </m:rPr>
                    <m:t>p</m:t>
                  </m:r>
                  <m:r>
                    <m:rPr>
                      <m:sty m:val="p"/>
                    </m:rPr>
                    <m:t>e</m:t>
                  </m:r>
                  <m:r>
                    <m:rPr>
                      <m:sty m:val="p"/>
                    </m:rPr>
                    <m:t>a</m:t>
                  </m:r>
                  <m:r>
                    <m:rPr>
                      <m:sty m:val="p"/>
                    </m:rPr>
                    <m:t>k</m:t>
                  </m:r>
                </m:sub>
              </m:sSub>
              <m:r>
                <m:rPr>
                  <m:sty m:val="p"/>
                </m:rPr>
                <m:t>|</m:t>
              </m:r>
              <m:r>
                <m:rPr>
                  <m:sty m:val="p"/>
                </m:rPr>
                <m:t>+</m:t>
              </m:r>
              <m:r>
                <m:t>0.25</m:t>
              </m:r>
              <m:r>
                <m:rPr>
                  <m:sty m:val="p"/>
                </m:rPr>
                <m:t>|</m:t>
              </m:r>
              <m:r>
                <m:rPr>
                  <m:sty m:val="p"/>
                </m:rPr>
                <m:t>Δ</m:t>
              </m:r>
              <m:sSub>
                <m:e>
                  <m:r>
                    <m:t>P</m:t>
                  </m:r>
                </m:e>
                <m:sub>
                  <m:r>
                    <m:rPr>
                      <m:sty m:val="p"/>
                    </m:rPr>
                    <m:t>f</m:t>
                  </m:r>
                  <m:r>
                    <m:rPr>
                      <m:sty m:val="p"/>
                    </m:rPr>
                    <m:t>i</m:t>
                  </m:r>
                  <m:r>
                    <m:rPr>
                      <m:sty m:val="p"/>
                    </m:rPr>
                    <m:t>n</m:t>
                  </m:r>
                  <m:r>
                    <m:rPr>
                      <m:sty m:val="p"/>
                    </m:rPr>
                    <m:t>a</m:t>
                  </m:r>
                  <m:r>
                    <m:rPr>
                      <m:sty m:val="p"/>
                    </m:rPr>
                    <m:t>l</m:t>
                  </m:r>
                </m:sub>
              </m:sSub>
              <m:r>
                <m:rPr>
                  <m:sty m:val="p"/>
                </m:rPr>
                <m:t>|</m:t>
              </m:r>
            </m:e>
            <m:e>
              <m:r>
                <m:t>&amp;</m:t>
              </m:r>
              <m:r>
                <m:rPr>
                  <m:sty m:val="p"/>
                </m:rPr>
                <m:t>+</m:t>
              </m:r>
              <m:r>
                <m:t>0.15</m:t>
              </m:r>
              <m:sSub>
                <m:e>
                  <m:r>
                    <m:rPr>
                      <m:sty m:val="p"/>
                    </m:rPr>
                    <m:t>R</m:t>
                  </m:r>
                  <m:r>
                    <m:rPr>
                      <m:sty m:val="p"/>
                    </m:rPr>
                    <m:t>M</m:t>
                  </m:r>
                  <m:r>
                    <m:rPr>
                      <m:sty m:val="p"/>
                    </m:rPr>
                    <m:t>S</m:t>
                  </m:r>
                  <m:r>
                    <m:rPr>
                      <m:sty m:val="p"/>
                    </m:rPr>
                    <m:t>E</m:t>
                  </m:r>
                </m:e>
                <m:sub>
                  <m:r>
                    <m:rPr>
                      <m:sty m:val="p"/>
                    </m:rPr>
                    <m:t>h</m:t>
                  </m:r>
                  <m:r>
                    <m:rPr>
                      <m:sty m:val="p"/>
                    </m:rPr>
                    <m:t>i</m:t>
                  </m:r>
                  <m:r>
                    <m:rPr>
                      <m:sty m:val="p"/>
                    </m:rPr>
                    <m:t>g</m:t>
                  </m:r>
                  <m:r>
                    <m:rPr>
                      <m:sty m:val="p"/>
                    </m:rPr>
                    <m:t>h</m:t>
                  </m:r>
                </m:sub>
              </m:sSub>
              <m:r>
                <m:rPr>
                  <m:sty m:val="p"/>
                </m:rPr>
                <m:t>+</m:t>
              </m:r>
              <m:r>
                <m:t>0.12</m:t>
              </m:r>
              <m:sSub>
                <m:e>
                  <m:r>
                    <m:rPr>
                      <m:sty m:val="p"/>
                    </m:rPr>
                    <m:t>R</m:t>
                  </m:r>
                  <m:r>
                    <m:rPr>
                      <m:sty m:val="p"/>
                    </m:rPr>
                    <m:t>M</m:t>
                  </m:r>
                  <m:r>
                    <m:rPr>
                      <m:sty m:val="p"/>
                    </m:rPr>
                    <m:t>S</m:t>
                  </m:r>
                  <m:r>
                    <m:rPr>
                      <m:sty m:val="p"/>
                    </m:rPr>
                    <m:t>E</m:t>
                  </m:r>
                </m:e>
                <m:sub>
                  <m:r>
                    <m:rPr>
                      <m:sty m:val="p"/>
                    </m:rPr>
                    <m:t>e</m:t>
                  </m:r>
                  <m:r>
                    <m:rPr>
                      <m:sty m:val="p"/>
                    </m:rPr>
                    <m:t>a</m:t>
                  </m:r>
                  <m:r>
                    <m:rPr>
                      <m:sty m:val="p"/>
                    </m:rPr>
                    <m:t>r</m:t>
                  </m:r>
                  <m:r>
                    <m:rPr>
                      <m:sty m:val="p"/>
                    </m:rPr>
                    <m:t>l</m:t>
                  </m:r>
                  <m:r>
                    <m:rPr>
                      <m:sty m:val="p"/>
                    </m:rPr>
                    <m:t>y</m:t>
                  </m:r>
                </m:sub>
              </m:sSub>
              <m:r>
                <m:rPr>
                  <m:sty m:val="p"/>
                </m:rPr>
                <m:t>+</m:t>
              </m:r>
              <m:r>
                <m:t>0.12</m:t>
              </m:r>
              <m:sSub>
                <m:e>
                  <m:r>
                    <m:rPr>
                      <m:sty m:val="p"/>
                    </m:rPr>
                    <m:t>R</m:t>
                  </m:r>
                  <m:r>
                    <m:rPr>
                      <m:sty m:val="p"/>
                    </m:rPr>
                    <m:t>M</m:t>
                  </m:r>
                  <m:r>
                    <m:rPr>
                      <m:sty m:val="p"/>
                    </m:rPr>
                    <m:t>S</m:t>
                  </m:r>
                  <m:r>
                    <m:rPr>
                      <m:sty m:val="p"/>
                    </m:rPr>
                    <m:t>E</m:t>
                  </m:r>
                </m:e>
                <m:sub>
                  <m:r>
                    <m:rPr>
                      <m:sty m:val="p"/>
                    </m:rPr>
                    <m:t>m</m:t>
                  </m:r>
                  <m:r>
                    <m:rPr>
                      <m:sty m:val="p"/>
                    </m:rPr>
                    <m:t>i</m:t>
                  </m:r>
                  <m:r>
                    <m:rPr>
                      <m:sty m:val="p"/>
                    </m:rPr>
                    <m:t>d</m:t>
                  </m:r>
                </m:sub>
              </m:sSub>
            </m:e>
            <m:e>
              <m:r>
                <m:t>&amp;</m:t>
              </m:r>
              <m:r>
                <m:rPr>
                  <m:sty m:val="p"/>
                </m:rPr>
                <m:t>+</m:t>
              </m:r>
              <m:r>
                <m:t>0.18</m:t>
              </m:r>
              <m:sSub>
                <m:e>
                  <m:r>
                    <m:rPr>
                      <m:sty m:val="p"/>
                    </m:rPr>
                    <m:t>R</m:t>
                  </m:r>
                  <m:r>
                    <m:rPr>
                      <m:sty m:val="p"/>
                    </m:rPr>
                    <m:t>M</m:t>
                  </m:r>
                  <m:r>
                    <m:rPr>
                      <m:sty m:val="p"/>
                    </m:rPr>
                    <m:t>S</m:t>
                  </m:r>
                  <m:r>
                    <m:rPr>
                      <m:sty m:val="p"/>
                    </m:rPr>
                    <m:t>E</m:t>
                  </m:r>
                </m:e>
                <m:sub>
                  <m:r>
                    <m:rPr>
                      <m:sty m:val="p"/>
                    </m:rPr>
                    <m:t>l</m:t>
                  </m:r>
                  <m:r>
                    <m:rPr>
                      <m:sty m:val="p"/>
                    </m:rPr>
                    <m:t>a</m:t>
                  </m:r>
                  <m:r>
                    <m:rPr>
                      <m:sty m:val="p"/>
                    </m:rPr>
                    <m:t>t</m:t>
                  </m:r>
                  <m:r>
                    <m:rPr>
                      <m:sty m:val="p"/>
                    </m:rPr>
                    <m:t>e</m:t>
                  </m:r>
                </m:sub>
              </m:sSub>
              <m:r>
                <m:rPr>
                  <m:sty m:val="p"/>
                </m:rPr>
                <m:t>+</m:t>
              </m:r>
              <m:r>
                <m:t>0.18</m:t>
              </m:r>
              <m:sSub>
                <m:e>
                  <m:r>
                    <m:rPr>
                      <m:sty m:val="p"/>
                    </m:rPr>
                    <m:t>R</m:t>
                  </m:r>
                  <m:r>
                    <m:rPr>
                      <m:sty m:val="p"/>
                    </m:rPr>
                    <m:t>M</m:t>
                  </m:r>
                  <m:r>
                    <m:rPr>
                      <m:sty m:val="p"/>
                    </m:rPr>
                    <m:t>S</m:t>
                  </m:r>
                  <m:r>
                    <m:rPr>
                      <m:sty m:val="p"/>
                    </m:rPr>
                    <m:t>E</m:t>
                  </m:r>
                </m:e>
                <m:sub>
                  <m:r>
                    <m:rPr>
                      <m:sty m:val="p"/>
                    </m:rPr>
                    <m:t>l</m:t>
                  </m:r>
                  <m:r>
                    <m:rPr>
                      <m:sty m:val="p"/>
                    </m:rPr>
                    <m:t>o</m:t>
                  </m:r>
                  <m:r>
                    <m:rPr>
                      <m:sty m:val="p"/>
                    </m:rPr>
                    <m:t>w</m:t>
                  </m:r>
                </m:sub>
              </m:sSub>
              <m:r>
                <m:rPr>
                  <m:sty m:val="p"/>
                </m:rPr>
                <m:t>.</m:t>
              </m:r>
            </m:e>
          </m:eqArr>
        </m:oMath>
      </m:oMathPara>
    </w:p>
    <w:p>
      <w:pPr>
        <w:pStyle w:val="FirstParagraph"/>
      </w:pPr>
      <w:r>
        <w:rPr>
          <w:rFonts w:hint="eastAsia"/>
        </w:rPr>
        <w:t xml:space="preserve">校准过程包括</w:t>
      </w:r>
      <w:r>
        <w:t xml:space="preserve"> 36000 </w:t>
      </w:r>
      <w:r>
        <w:rPr>
          <w:rFonts w:hint="eastAsia"/>
        </w:rPr>
        <w:t xml:space="preserve">组固定种子随机搜索、差分进化连续精修、800</w:t>
      </w:r>
      <w:r>
        <w:t xml:space="preserve"> </w:t>
      </w:r>
      <w:r>
        <w:rPr>
          <w:rFonts w:hint="eastAsia"/>
        </w:rPr>
        <w:t xml:space="preserve">组局部稳健性复核以及</w:t>
      </w:r>
      <w:r>
        <w:t xml:space="preserve"> 60000 </w:t>
      </w:r>
      <w:r>
        <w:rPr>
          <w:rFonts w:hint="eastAsia"/>
        </w:rPr>
        <w:t xml:space="preserve">组拟合质量精修。所有精修均在既有模型结构内完成，不新增额外机制项。</w:t>
      </w:r>
    </w:p>
    <w:p>
      <w:pPr>
        <w:pStyle w:val="TableCaption"/>
      </w:pPr>
      <w:r>
        <w:rPr>
          <w:rFonts w:hint="eastAsia"/>
        </w:rPr>
        <w:t xml:space="preserve">综合最优短期动态模型参数</w:t>
      </w:r>
    </w:p>
    <w:tbl>
      <w:tblPr>
        <w:tblStyle w:val="Table"/>
        <w:tblW w:type="auto" w:w="0"/>
        <w:tblLook w:firstRow="1" w:lastRow="0" w:firstColumn="0" w:lastColumn="0" w:noHBand="0" w:noVBand="0" w:val="0020"/>
        <w:tblCaption w:val="综合最优短期动态模型参数"/>
      </w:tblPr>
      <w:tblGrid>
        <w:gridCol w:w="1980"/>
        <w:gridCol w:w="1980"/>
        <w:gridCol w:w="1980"/>
        <w:gridCol w:w="1980"/>
      </w:tblGrid>
      <w:tr>
        <w:trPr>
          <w:tblHeader w:val="on"/>
        </w:trPr>
        <w:tc>
          <w:tcPr/>
          <w:p>
            <w:pPr>
              <w:pStyle w:val="Compact"/>
              <w:jc w:val="left"/>
            </w:pPr>
            <w:r>
              <w:rPr>
                <w:rFonts w:hint="eastAsia"/>
              </w:rPr>
              <w:t xml:space="preserve">参数</w:t>
            </w:r>
          </w:p>
        </w:tc>
        <w:tc>
          <w:tcPr/>
          <w:p>
            <w:pPr>
              <w:pStyle w:val="Compact"/>
              <w:jc w:val="right"/>
            </w:pPr>
            <w:r>
              <w:rPr>
                <w:rFonts w:hint="eastAsia"/>
              </w:rPr>
              <w:t xml:space="preserve">数值</w:t>
            </w:r>
          </w:p>
        </w:tc>
        <w:tc>
          <w:tcPr/>
          <w:p>
            <w:pPr>
              <w:pStyle w:val="Compact"/>
              <w:jc w:val="left"/>
            </w:pPr>
            <w:r>
              <w:rPr>
                <w:rFonts w:hint="eastAsia"/>
              </w:rPr>
              <w:t xml:space="preserve">参数</w:t>
            </w:r>
          </w:p>
        </w:tc>
        <w:tc>
          <w:tcPr/>
          <w:p>
            <w:pPr>
              <w:pStyle w:val="Compact"/>
              <w:jc w:val="right"/>
            </w:pPr>
            <w:r>
              <w:rPr>
                <w:rFonts w:hint="eastAsia"/>
              </w:rPr>
              <w:t xml:space="preserve">数值</w:t>
            </w:r>
          </w:p>
        </w:tc>
      </w:tr>
      <w:tr>
        <w:tc>
          <w:tcPr/>
          <w:p>
            <w:pPr>
              <w:pStyle w:val="Compact"/>
              <w:jc w:val="left"/>
            </w:pPr>
            <w:r>
              <w:rPr>
                <w:rFonts w:hint="eastAsia"/>
              </w:rPr>
              <w:t xml:space="preserve">供应中断量</w:t>
            </w:r>
          </w:p>
        </w:tc>
        <w:tc>
          <w:tcPr/>
          <w:p>
            <w:pPr>
              <w:pStyle w:val="Compact"/>
              <w:jc w:val="right"/>
            </w:pPr>
            <w:r>
              <w:t xml:space="preserve">1493</w:t>
            </w:r>
          </w:p>
        </w:tc>
        <w:tc>
          <w:tcPr/>
          <w:p>
            <w:pPr>
              <w:pStyle w:val="Compact"/>
              <w:jc w:val="left"/>
            </w:pPr>
            <w:r>
              <w:t xml:space="preserve">SPR </w:t>
            </w:r>
            <w:r>
              <w:rPr>
                <w:rFonts w:hint="eastAsia"/>
              </w:rPr>
              <w:t xml:space="preserve">释放上限</w:t>
            </w:r>
          </w:p>
        </w:tc>
        <w:tc>
          <w:tcPr/>
          <w:p>
            <w:pPr>
              <w:pStyle w:val="Compact"/>
              <w:jc w:val="right"/>
            </w:pPr>
            <w:r>
              <w:t xml:space="preserve">670</w:t>
            </w:r>
          </w:p>
        </w:tc>
      </w:tr>
      <w:tr>
        <w:tc>
          <w:tcPr/>
          <w:p>
            <w:pPr>
              <w:pStyle w:val="Compact"/>
              <w:jc w:val="left"/>
            </w:pPr>
            <w:r>
              <w:t xml:space="preserve">SPR </w:t>
            </w:r>
            <w:r>
              <w:rPr>
                <w:rFonts w:hint="eastAsia"/>
              </w:rPr>
              <w:t xml:space="preserve">启动延迟</w:t>
            </w:r>
          </w:p>
        </w:tc>
        <w:tc>
          <w:tcPr/>
          <w:p>
            <w:pPr>
              <w:pStyle w:val="Compact"/>
              <w:jc w:val="right"/>
            </w:pPr>
            <w:r>
              <w:t xml:space="preserve">3</w:t>
            </w:r>
          </w:p>
        </w:tc>
        <w:tc>
          <w:tcPr/>
          <w:p>
            <w:pPr>
              <w:pStyle w:val="Compact"/>
              <w:jc w:val="left"/>
            </w:pPr>
            <w:r>
              <w:rPr>
                <w:rFonts w:hint="eastAsia"/>
              </w:rPr>
              <w:t xml:space="preserve">绕道启动日</w:t>
            </w:r>
          </w:p>
        </w:tc>
        <w:tc>
          <w:tcPr/>
          <w:p>
            <w:pPr>
              <w:pStyle w:val="Compact"/>
              <w:jc w:val="right"/>
            </w:pPr>
            <w:r>
              <w:t xml:space="preserve">8</w:t>
            </w:r>
          </w:p>
        </w:tc>
      </w:tr>
      <w:tr>
        <w:tc>
          <w:tcPr/>
          <w:p>
            <w:pPr>
              <w:pStyle w:val="Compact"/>
              <w:jc w:val="left"/>
            </w:pPr>
            <w:r>
              <w:rPr>
                <w:rFonts w:hint="eastAsia"/>
              </w:rPr>
              <w:t xml:space="preserve">绕道能力上限</w:t>
            </w:r>
          </w:p>
        </w:tc>
        <w:tc>
          <w:tcPr/>
          <w:p>
            <w:pPr>
              <w:pStyle w:val="Compact"/>
              <w:jc w:val="right"/>
            </w:pPr>
            <w:r>
              <w:t xml:space="preserve">237</w:t>
            </w:r>
          </w:p>
        </w:tc>
        <w:tc>
          <w:tcPr/>
          <w:p>
            <w:pPr>
              <w:pStyle w:val="Compact"/>
              <w:jc w:val="left"/>
            </w:pPr>
            <w:r>
              <w:rPr>
                <w:rFonts w:hint="eastAsia"/>
              </w:rPr>
              <w:t xml:space="preserve">长期需求弹性</w:t>
            </w:r>
          </w:p>
        </w:tc>
        <w:tc>
          <w:tcPr/>
          <w:p>
            <w:pPr>
              <w:pStyle w:val="Compact"/>
              <w:jc w:val="right"/>
            </w:pPr>
            <w:r>
              <w:t xml:space="preserve">-0.25</w:t>
            </w:r>
          </w:p>
        </w:tc>
      </w:tr>
      <w:tr>
        <w:tc>
          <w:tcPr/>
          <w:p>
            <w:pPr>
              <w:pStyle w:val="Compact"/>
              <w:jc w:val="left"/>
            </w:pPr>
            <w:r>
              <w:rPr>
                <w:rFonts w:hint="eastAsia"/>
              </w:rPr>
              <w:t xml:space="preserve">恐慌初始强度</w:t>
            </w:r>
          </w:p>
        </w:tc>
        <w:tc>
          <w:tcPr/>
          <w:p>
            <w:pPr>
              <w:pStyle w:val="Compact"/>
              <w:jc w:val="right"/>
            </w:pPr>
            <w:r>
              <w:t xml:space="preserve">0.12</w:t>
            </w:r>
          </w:p>
        </w:tc>
        <w:tc>
          <w:tcPr/>
          <w:p>
            <w:pPr>
              <w:pStyle w:val="Compact"/>
              <w:jc w:val="left"/>
            </w:pPr>
            <w:r>
              <w:rPr>
                <w:rFonts w:hint="eastAsia"/>
              </w:rPr>
              <w:t xml:space="preserve">恐慌衰减速度</w:t>
            </w:r>
          </w:p>
        </w:tc>
        <w:tc>
          <w:tcPr/>
          <w:p>
            <w:pPr>
              <w:pStyle w:val="Compact"/>
              <w:jc w:val="right"/>
            </w:pPr>
            <w:r>
              <w:t xml:space="preserve">0.11</w:t>
            </w:r>
          </w:p>
        </w:tc>
      </w:tr>
      <w:tr>
        <w:tc>
          <w:tcPr/>
          <w:p>
            <w:pPr>
              <w:pStyle w:val="Compact"/>
              <w:jc w:val="left"/>
            </w:pPr>
            <w:r>
              <w:rPr>
                <w:rFonts w:hint="eastAsia"/>
              </w:rPr>
              <w:t xml:space="preserve">库存日缓冲上限</w:t>
            </w:r>
          </w:p>
        </w:tc>
        <w:tc>
          <w:tcPr/>
          <w:p>
            <w:pPr>
              <w:pStyle w:val="Compact"/>
              <w:jc w:val="right"/>
            </w:pPr>
            <w:r>
              <w:t xml:space="preserve">250</w:t>
            </w:r>
          </w:p>
        </w:tc>
        <w:tc>
          <w:tcPr/>
          <w:p>
            <w:pPr>
              <w:pStyle w:val="Compact"/>
              <w:jc w:val="left"/>
            </w:pPr>
            <w:r>
              <w:rPr>
                <w:rFonts w:hint="eastAsia"/>
              </w:rPr>
              <w:t xml:space="preserve">价格传导系数</w:t>
            </w:r>
            <w:r>
              <w:t xml:space="preserve"> </w:t>
            </w:r>
            <m:oMath>
              <m:r>
                <m:t>ϕ</m:t>
              </m:r>
            </m:oMath>
          </w:p>
        </w:tc>
        <w:tc>
          <w:tcPr/>
          <w:p>
            <w:pPr>
              <w:pStyle w:val="Compact"/>
              <w:jc w:val="right"/>
            </w:pPr>
            <w:r>
              <w:t xml:space="preserve">0.028</w:t>
            </w:r>
          </w:p>
        </w:tc>
      </w:tr>
      <w:tr>
        <w:tc>
          <w:tcPr/>
          <w:p>
            <w:pPr>
              <w:pStyle w:val="Compact"/>
              <w:jc w:val="left"/>
            </w:pPr>
            <w:r>
              <w:rPr>
                <w:rFonts w:hint="eastAsia"/>
              </w:rPr>
              <w:t xml:space="preserve">调整速度</w:t>
            </w:r>
            <w:r>
              <w:t xml:space="preserve"> </w:t>
            </w:r>
            <m:oMath>
              <m:r>
                <m:t>v</m:t>
              </m:r>
            </m:oMath>
          </w:p>
        </w:tc>
        <w:tc>
          <w:tcPr/>
          <w:p>
            <w:pPr>
              <w:pStyle w:val="Compact"/>
              <w:jc w:val="right"/>
            </w:pPr>
            <w:r>
              <w:t xml:space="preserve">0.344</w:t>
            </w:r>
          </w:p>
        </w:tc>
        <w:tc>
          <w:tcPr/>
          <w:p>
            <w:pPr>
              <w:pStyle w:val="Compact"/>
              <w:jc w:val="left"/>
            </w:pPr>
            <w:r>
              <w:rPr>
                <w:rFonts w:hint="eastAsia"/>
              </w:rPr>
              <w:t xml:space="preserve">风险权重</w:t>
            </w:r>
            <w:r>
              <w:t xml:space="preserve"> </w:t>
            </w:r>
            <m:oMath>
              <m:r>
                <m:t>β</m:t>
              </m:r>
            </m:oMath>
          </w:p>
        </w:tc>
        <w:tc>
          <w:tcPr/>
          <w:p>
            <w:pPr>
              <w:pStyle w:val="Compact"/>
              <w:jc w:val="right"/>
            </w:pPr>
            <w:r>
              <w:t xml:space="preserve">2.462</w:t>
            </w:r>
          </w:p>
        </w:tc>
      </w:tr>
      <w:tr>
        <w:tc>
          <w:tcPr/>
          <w:p>
            <w:pPr>
              <w:pStyle w:val="Compact"/>
              <w:jc w:val="left"/>
            </w:pPr>
            <w:r>
              <w:rPr>
                <w:rFonts w:hint="eastAsia"/>
              </w:rPr>
              <w:t xml:space="preserve">不确定性/制度风险强度</w:t>
            </w:r>
          </w:p>
        </w:tc>
        <w:tc>
          <w:tcPr/>
          <w:p>
            <w:pPr>
              <w:pStyle w:val="Compact"/>
              <w:jc w:val="right"/>
            </w:pPr>
            <w:r>
              <w:t xml:space="preserve">0.247</w:t>
            </w:r>
          </w:p>
        </w:tc>
        <w:tc>
          <w:tcPr/>
          <w:p>
            <w:pPr>
              <w:pStyle w:val="Compact"/>
              <w:jc w:val="left"/>
            </w:pPr>
            <w:r>
              <w:rPr>
                <w:rFonts w:hint="eastAsia"/>
              </w:rPr>
              <w:t xml:space="preserve">库存响应系数</w:t>
            </w:r>
          </w:p>
        </w:tc>
        <w:tc>
          <w:tcPr/>
          <w:p>
            <w:pPr>
              <w:pStyle w:val="Compact"/>
              <w:jc w:val="right"/>
            </w:pPr>
            <w:r>
              <w:t xml:space="preserve">0.666</w:t>
            </w:r>
          </w:p>
        </w:tc>
      </w:tr>
      <w:tr>
        <w:tc>
          <w:tcPr/>
          <w:p>
            <w:pPr>
              <w:pStyle w:val="Compact"/>
              <w:jc w:val="left"/>
            </w:pPr>
            <w:r>
              <w:rPr>
                <w:rFonts w:hint="eastAsia"/>
              </w:rPr>
              <w:t xml:space="preserve">缓冲确认强度</w:t>
            </w:r>
          </w:p>
        </w:tc>
        <w:tc>
          <w:tcPr/>
          <w:p>
            <w:pPr>
              <w:pStyle w:val="Compact"/>
              <w:jc w:val="right"/>
            </w:pPr>
            <w:r>
              <w:t xml:space="preserve">0.220</w:t>
            </w:r>
          </w:p>
        </w:tc>
        <w:tc>
          <w:tcPr/>
          <w:p>
            <w:pPr>
              <w:pStyle w:val="Compact"/>
              <w:jc w:val="left"/>
            </w:pPr>
            <w:r>
              <w:rPr>
                <w:rFonts w:hint="eastAsia"/>
              </w:rPr>
              <w:t xml:space="preserve">预期修复强度</w:t>
            </w:r>
          </w:p>
        </w:tc>
        <w:tc>
          <w:tcPr/>
          <w:p>
            <w:pPr>
              <w:pStyle w:val="Compact"/>
              <w:jc w:val="right"/>
            </w:pPr>
            <w:r>
              <w:t xml:space="preserve">0.240</w:t>
            </w:r>
          </w:p>
        </w:tc>
      </w:tr>
    </w:tbl>
    <w:p>
      <w:pPr>
        <w:pStyle w:val="BodyText"/>
      </w:pPr>
      <w:r>
        <w:rPr>
          <w:rFonts w:hint="eastAsia"/>
        </w:rPr>
        <w:t xml:space="preserve">表中参数可分为两类理解：供应中断量、SPR</w:t>
      </w:r>
      <w:r>
        <w:t xml:space="preserve"> </w:t>
      </w:r>
      <w:r>
        <w:rPr>
          <w:rFonts w:hint="eastAsia"/>
        </w:rPr>
        <w:t xml:space="preserve">上限、绕道能力、库存缓冲和需求弹性受题面范围约束；风险权重、价格调整速度、缓冲确认和预期修复强度属于行为价格形成参数，必须依赖数据校准和防御性检验。本文后续所有模型评价均围绕这一区分展开，避免把校准参数包装成外生事实。</w:t>
      </w:r>
    </w:p>
    <w:bookmarkEnd w:id="40"/>
    <w:bookmarkStart w:id="47" w:name="拟合结果"/>
    <w:p>
      <w:pPr>
        <w:pStyle w:val="Heading2"/>
      </w:pPr>
      <w:r>
        <w:rPr>
          <w:rFonts w:hint="eastAsia"/>
        </w:rPr>
        <w:t xml:space="preserve">拟合结果</w:t>
      </w:r>
    </w:p>
    <w:p>
      <w:pPr>
        <w:pStyle w:val="FirstParagraph"/>
      </w:pPr>
      <w:r>
        <w:rPr>
          <w:rFonts w:hint="eastAsia"/>
        </w:rPr>
        <w:t xml:space="preserve">综合最优模型在冲突窗口内取得</w:t>
      </w:r>
      <w:r>
        <w:t xml:space="preserve"> RMSE </w:t>
      </w:r>
      <w:r>
        <w:rPr>
          <w:rFonts w:hint="eastAsia"/>
        </w:rPr>
        <w:t xml:space="preserve">为</w:t>
      </w:r>
      <w:r>
        <w:t xml:space="preserve"> 3.44 </w:t>
      </w:r>
      <w:r>
        <w:rPr>
          <w:rFonts w:hint="eastAsia"/>
        </w:rPr>
        <w:t xml:space="preserve">美元/桶、MAE</w:t>
      </w:r>
      <w:r>
        <w:t xml:space="preserve"> </w:t>
      </w:r>
      <w:r>
        <w:rPr>
          <w:rFonts w:hint="eastAsia"/>
        </w:rPr>
        <w:t xml:space="preserve">为</w:t>
      </w:r>
      <w:r>
        <w:t xml:space="preserve"> 2.85 </w:t>
      </w:r>
      <w:r>
        <w:rPr>
          <w:rFonts w:hint="eastAsia"/>
        </w:rPr>
        <w:t xml:space="preserve">美元/桶。模拟峰值为</w:t>
      </w:r>
      <w:r>
        <w:t xml:space="preserve"> 110.42 </w:t>
      </w:r>
      <w:r>
        <w:rPr>
          <w:rFonts w:hint="eastAsia"/>
        </w:rPr>
        <w:t xml:space="preserve">美元/桶，实际最高收盘价为</w:t>
      </w:r>
      <w:r>
        <w:t xml:space="preserve"> 114.06 </w:t>
      </w:r>
      <w:r>
        <w:rPr>
          <w:rFonts w:hint="eastAsia"/>
        </w:rPr>
        <w:t xml:space="preserve">美元/桶，峰值低估</w:t>
      </w:r>
      <w:r>
        <w:t xml:space="preserve"> 3.64 </w:t>
      </w:r>
      <w:r>
        <w:rPr>
          <w:rFonts w:hint="eastAsia"/>
        </w:rPr>
        <w:t xml:space="preserve">美元/桶；末日模拟价格为</w:t>
      </w:r>
      <w:r>
        <w:t xml:space="preserve"> 110.42 </w:t>
      </w:r>
      <w:r>
        <w:rPr>
          <w:rFonts w:hint="eastAsia"/>
        </w:rPr>
        <w:t xml:space="preserve">美元/桶，实际末日价格为</w:t>
      </w:r>
      <w:r>
        <w:t xml:space="preserve"> 110.31 </w:t>
      </w:r>
      <w:r>
        <w:rPr>
          <w:rFonts w:hint="eastAsia"/>
        </w:rPr>
        <w:t xml:space="preserve">美元/桶，末日误差仅为</w:t>
      </w:r>
      <w:r>
        <w:t xml:space="preserve"> 0.11 </w:t>
      </w:r>
      <w:r>
        <w:rPr>
          <w:rFonts w:hint="eastAsia"/>
        </w:rPr>
        <w:t xml:space="preserve">美元/桶。</w:t>
      </w:r>
    </w:p>
    <w:p>
      <w:pPr>
        <w:pStyle w:val="CaptionedFigure"/>
      </w:pPr>
      <w:r>
        <w:drawing>
          <wp:inline>
            <wp:extent cx="4907280" cy="2587474"/>
            <wp:effectExtent b="0" l="0" r="0" t="0"/>
            <wp:docPr descr="" title="" id="42" name="Picture"/>
            <a:graphic>
              <a:graphicData uri="http://schemas.openxmlformats.org/drawingml/2006/picture">
                <pic:pic>
                  <pic:nvPicPr>
                    <pic:cNvPr descr="短期模型拟合效果.png" id="43" name="Picture"/>
                    <pic:cNvPicPr>
                      <a:picLocks noChangeArrowheads="1" noChangeAspect="1"/>
                    </pic:cNvPicPr>
                  </pic:nvPicPr>
                  <pic:blipFill>
                    <a:blip r:embed="rId41"/>
                    <a:stretch>
                      <a:fillRect/>
                    </a:stretch>
                  </pic:blipFill>
                  <pic:spPr bwMode="auto">
                    <a:xfrm>
                      <a:off x="0" y="0"/>
                      <a:ext cx="4907280" cy="2587474"/>
                    </a:xfrm>
                    <a:prstGeom prst="rect">
                      <a:avLst/>
                    </a:prstGeom>
                    <a:noFill/>
                    <a:ln w="9525">
                      <a:noFill/>
                      <a:headEnd/>
                      <a:tailEnd/>
                    </a:ln>
                  </pic:spPr>
                </pic:pic>
              </a:graphicData>
            </a:graphic>
          </wp:inline>
        </w:drawing>
      </w:r>
    </w:p>
    <w:p>
      <w:pPr>
        <w:pStyle w:val="ImageCaption"/>
      </w:pPr>
      <w:r>
        <w:rPr>
          <w:rFonts w:hint="eastAsia"/>
        </w:rPr>
        <w:t xml:space="preserve">短期动态模型拟合效果。模型较好刻画了前期冲击、中期平台和后期再定价。</w:t>
      </w:r>
    </w:p>
    <w:p>
      <w:pPr>
        <w:pStyle w:val="TableCaption"/>
      </w:pPr>
      <w:r>
        <w:rPr>
          <w:rFonts w:hint="eastAsia"/>
        </w:rPr>
        <w:t xml:space="preserve">短期动态模型分段误差</w:t>
      </w:r>
    </w:p>
    <w:tbl>
      <w:tblPr>
        <w:tblStyle w:val="Table"/>
        <w:tblW w:type="auto" w:w="0"/>
        <w:tblLook w:firstRow="1" w:lastRow="0" w:firstColumn="0" w:lastColumn="0" w:noHBand="0" w:noVBand="0" w:val="0020"/>
        <w:tblCaption w:val="短期动态模型分段误差"/>
      </w:tblPr>
      <w:tblGrid>
        <w:gridCol w:w="1584"/>
        <w:gridCol w:w="1584"/>
        <w:gridCol w:w="1584"/>
        <w:gridCol w:w="1584"/>
        <w:gridCol w:w="1584"/>
      </w:tblGrid>
      <w:tr>
        <w:trPr>
          <w:tblHeader w:val="on"/>
        </w:trPr>
        <w:tc>
          <w:tcPr/>
          <w:p>
            <w:pPr>
              <w:pStyle w:val="Compact"/>
              <w:jc w:val="left"/>
            </w:pPr>
            <w:r>
              <w:rPr>
                <w:rFonts w:hint="eastAsia"/>
              </w:rPr>
              <w:t xml:space="preserve">分段</w:t>
            </w:r>
          </w:p>
        </w:tc>
        <w:tc>
          <w:tcPr/>
          <w:p>
            <w:pPr>
              <w:pStyle w:val="Compact"/>
              <w:jc w:val="right"/>
            </w:pPr>
            <w:r>
              <w:rPr>
                <w:rFonts w:hint="eastAsia"/>
              </w:rPr>
              <w:t xml:space="preserve">样本数</w:t>
            </w:r>
          </w:p>
        </w:tc>
        <w:tc>
          <w:tcPr/>
          <w:p>
            <w:pPr>
              <w:pStyle w:val="Compact"/>
              <w:jc w:val="right"/>
            </w:pPr>
            <w:r>
              <w:t xml:space="preserve">RMSE</w:t>
            </w:r>
          </w:p>
        </w:tc>
        <w:tc>
          <w:tcPr/>
          <w:p>
            <w:pPr>
              <w:pStyle w:val="Compact"/>
              <w:jc w:val="right"/>
            </w:pPr>
            <w:r>
              <w:t xml:space="preserve">MAE</w:t>
            </w:r>
          </w:p>
        </w:tc>
        <w:tc>
          <w:tcPr/>
          <w:p>
            <w:pPr>
              <w:pStyle w:val="Compact"/>
              <w:jc w:val="right"/>
            </w:pPr>
            <w:r>
              <w:rPr>
                <w:rFonts w:hint="eastAsia"/>
              </w:rPr>
              <w:t xml:space="preserve">最大绝对误差</w:t>
            </w:r>
          </w:p>
        </w:tc>
      </w:tr>
      <w:tr>
        <w:tc>
          <w:tcPr/>
          <w:p>
            <w:pPr>
              <w:pStyle w:val="Compact"/>
              <w:jc w:val="left"/>
            </w:pPr>
            <w:r>
              <w:rPr>
                <w:rFonts w:hint="eastAsia"/>
              </w:rPr>
              <w:t xml:space="preserve">全窗口</w:t>
            </w:r>
          </w:p>
        </w:tc>
        <w:tc>
          <w:tcPr/>
          <w:p>
            <w:pPr>
              <w:pStyle w:val="Compact"/>
              <w:jc w:val="right"/>
            </w:pPr>
            <w:r>
              <w:t xml:space="preserve">46</w:t>
            </w:r>
          </w:p>
        </w:tc>
        <w:tc>
          <w:tcPr/>
          <w:p>
            <w:pPr>
              <w:pStyle w:val="Compact"/>
              <w:jc w:val="right"/>
            </w:pPr>
            <w:r>
              <w:t xml:space="preserve">3.44</w:t>
            </w:r>
          </w:p>
        </w:tc>
        <w:tc>
          <w:tcPr/>
          <w:p>
            <w:pPr>
              <w:pStyle w:val="Compact"/>
              <w:jc w:val="right"/>
            </w:pPr>
            <w:r>
              <w:t xml:space="preserve">2.85</w:t>
            </w:r>
          </w:p>
        </w:tc>
        <w:tc>
          <w:tcPr/>
          <w:p>
            <w:pPr>
              <w:pStyle w:val="Compact"/>
              <w:jc w:val="right"/>
            </w:pPr>
            <w:r>
              <w:t xml:space="preserve">7.43</w:t>
            </w:r>
          </w:p>
        </w:tc>
      </w:tr>
      <w:tr>
        <w:tc>
          <w:tcPr/>
          <w:p>
            <w:pPr>
              <w:pStyle w:val="Compact"/>
              <w:jc w:val="left"/>
            </w:pPr>
            <w:r>
              <w:rPr>
                <w:rFonts w:hint="eastAsia"/>
              </w:rPr>
              <w:t xml:space="preserve">前期冲击</w:t>
            </w:r>
          </w:p>
        </w:tc>
        <w:tc>
          <w:tcPr/>
          <w:p>
            <w:pPr>
              <w:pStyle w:val="Compact"/>
              <w:jc w:val="right"/>
            </w:pPr>
            <w:r>
              <w:t xml:space="preserve">11</w:t>
            </w:r>
          </w:p>
        </w:tc>
        <w:tc>
          <w:tcPr/>
          <w:p>
            <w:pPr>
              <w:pStyle w:val="Compact"/>
              <w:jc w:val="right"/>
            </w:pPr>
            <w:r>
              <w:t xml:space="preserve">3.14</w:t>
            </w:r>
          </w:p>
        </w:tc>
        <w:tc>
          <w:tcPr/>
          <w:p>
            <w:pPr>
              <w:pStyle w:val="Compact"/>
              <w:jc w:val="right"/>
            </w:pPr>
            <w:r>
              <w:t xml:space="preserve">2.72</w:t>
            </w:r>
          </w:p>
        </w:tc>
        <w:tc>
          <w:tcPr/>
          <w:p>
            <w:pPr>
              <w:pStyle w:val="Compact"/>
              <w:jc w:val="right"/>
            </w:pPr>
            <w:r>
              <w:t xml:space="preserve">5.91</w:t>
            </w:r>
          </w:p>
        </w:tc>
      </w:tr>
      <w:tr>
        <w:tc>
          <w:tcPr/>
          <w:p>
            <w:pPr>
              <w:pStyle w:val="Compact"/>
              <w:jc w:val="left"/>
            </w:pPr>
            <w:r>
              <w:rPr>
                <w:rFonts w:hint="eastAsia"/>
              </w:rPr>
              <w:t xml:space="preserve">中期平台</w:t>
            </w:r>
          </w:p>
        </w:tc>
        <w:tc>
          <w:tcPr/>
          <w:p>
            <w:pPr>
              <w:pStyle w:val="Compact"/>
              <w:jc w:val="right"/>
            </w:pPr>
            <w:r>
              <w:t xml:space="preserve">14</w:t>
            </w:r>
          </w:p>
        </w:tc>
        <w:tc>
          <w:tcPr/>
          <w:p>
            <w:pPr>
              <w:pStyle w:val="Compact"/>
              <w:jc w:val="right"/>
            </w:pPr>
            <w:r>
              <w:t xml:space="preserve">4.39</w:t>
            </w:r>
          </w:p>
        </w:tc>
        <w:tc>
          <w:tcPr/>
          <w:p>
            <w:pPr>
              <w:pStyle w:val="Compact"/>
              <w:jc w:val="right"/>
            </w:pPr>
            <w:r>
              <w:t xml:space="preserve">3.72</w:t>
            </w:r>
          </w:p>
        </w:tc>
        <w:tc>
          <w:tcPr/>
          <w:p>
            <w:pPr>
              <w:pStyle w:val="Compact"/>
              <w:jc w:val="right"/>
            </w:pPr>
            <w:r>
              <w:t xml:space="preserve">7.43</w:t>
            </w:r>
          </w:p>
        </w:tc>
      </w:tr>
      <w:tr>
        <w:tc>
          <w:tcPr/>
          <w:p>
            <w:pPr>
              <w:pStyle w:val="Compact"/>
              <w:jc w:val="left"/>
            </w:pPr>
            <w:r>
              <w:rPr>
                <w:rFonts w:hint="eastAsia"/>
              </w:rPr>
              <w:t xml:space="preserve">后期再定价</w:t>
            </w:r>
          </w:p>
        </w:tc>
        <w:tc>
          <w:tcPr/>
          <w:p>
            <w:pPr>
              <w:pStyle w:val="Compact"/>
              <w:jc w:val="right"/>
            </w:pPr>
            <w:r>
              <w:t xml:space="preserve">21</w:t>
            </w:r>
          </w:p>
        </w:tc>
        <w:tc>
          <w:tcPr/>
          <w:p>
            <w:pPr>
              <w:pStyle w:val="Compact"/>
              <w:jc w:val="right"/>
            </w:pPr>
            <w:r>
              <w:t xml:space="preserve">2.81</w:t>
            </w:r>
          </w:p>
        </w:tc>
        <w:tc>
          <w:tcPr/>
          <w:p>
            <w:pPr>
              <w:pStyle w:val="Compact"/>
              <w:jc w:val="right"/>
            </w:pPr>
            <w:r>
              <w:t xml:space="preserve">2.35</w:t>
            </w:r>
          </w:p>
        </w:tc>
        <w:tc>
          <w:tcPr/>
          <w:p>
            <w:pPr>
              <w:pStyle w:val="Compact"/>
              <w:jc w:val="right"/>
            </w:pPr>
            <w:r>
              <w:t xml:space="preserve">5.24</w:t>
            </w:r>
          </w:p>
        </w:tc>
      </w:tr>
      <w:tr>
        <w:tc>
          <w:tcPr/>
          <w:p>
            <w:pPr>
              <w:pStyle w:val="Compact"/>
              <w:jc w:val="left"/>
            </w:pPr>
            <w:r>
              <w:rPr>
                <w:rFonts w:hint="eastAsia"/>
              </w:rPr>
              <w:t xml:space="preserve">高价平台</w:t>
            </w:r>
          </w:p>
        </w:tc>
        <w:tc>
          <w:tcPr/>
          <w:p>
            <w:pPr>
              <w:pStyle w:val="Compact"/>
              <w:jc w:val="right"/>
            </w:pPr>
            <w:r>
              <w:t xml:space="preserve">4</w:t>
            </w:r>
          </w:p>
        </w:tc>
        <w:tc>
          <w:tcPr/>
          <w:p>
            <w:pPr>
              <w:pStyle w:val="Compact"/>
              <w:jc w:val="right"/>
            </w:pPr>
            <w:r>
              <w:t xml:space="preserve">2.83</w:t>
            </w:r>
          </w:p>
        </w:tc>
        <w:tc>
          <w:tcPr/>
          <w:p>
            <w:pPr>
              <w:pStyle w:val="Compact"/>
              <w:jc w:val="right"/>
            </w:pPr>
            <w:r>
              <w:t xml:space="preserve">2.34</w:t>
            </w:r>
          </w:p>
        </w:tc>
        <w:tc>
          <w:tcPr/>
          <w:p>
            <w:pPr>
              <w:pStyle w:val="Compact"/>
              <w:jc w:val="right"/>
            </w:pPr>
            <w:r>
              <w:t xml:space="preserve">3.91</w:t>
            </w:r>
          </w:p>
        </w:tc>
      </w:tr>
      <w:tr>
        <w:tc>
          <w:tcPr/>
          <w:p>
            <w:pPr>
              <w:pStyle w:val="Compact"/>
              <w:jc w:val="left"/>
            </w:pPr>
            <w:r>
              <w:rPr>
                <w:rFonts w:hint="eastAsia"/>
              </w:rPr>
              <w:t xml:space="preserve">低价回落</w:t>
            </w:r>
          </w:p>
        </w:tc>
        <w:tc>
          <w:tcPr/>
          <w:p>
            <w:pPr>
              <w:pStyle w:val="Compact"/>
              <w:jc w:val="right"/>
            </w:pPr>
            <w:r>
              <w:t xml:space="preserve">21</w:t>
            </w:r>
          </w:p>
        </w:tc>
        <w:tc>
          <w:tcPr/>
          <w:p>
            <w:pPr>
              <w:pStyle w:val="Compact"/>
              <w:jc w:val="right"/>
            </w:pPr>
            <w:r>
              <w:t xml:space="preserve">3.38</w:t>
            </w:r>
          </w:p>
        </w:tc>
        <w:tc>
          <w:tcPr/>
          <w:p>
            <w:pPr>
              <w:pStyle w:val="Compact"/>
              <w:jc w:val="right"/>
            </w:pPr>
            <w:r>
              <w:t xml:space="preserve">2.94</w:t>
            </w:r>
          </w:p>
        </w:tc>
        <w:tc>
          <w:tcPr/>
          <w:p>
            <w:pPr>
              <w:pStyle w:val="Compact"/>
              <w:jc w:val="right"/>
            </w:pPr>
            <w:r>
              <w:t xml:space="preserve">5.91</w:t>
            </w:r>
          </w:p>
        </w:tc>
      </w:tr>
    </w:tbl>
    <w:p>
      <w:pPr>
        <w:pStyle w:val="CaptionedFigure"/>
      </w:pPr>
      <w:r>
        <w:drawing>
          <wp:inline>
            <wp:extent cx="4907280" cy="2765921"/>
            <wp:effectExtent b="0" l="0" r="0" t="0"/>
            <wp:docPr descr="" title="" id="45" name="Picture"/>
            <a:graphic>
              <a:graphicData uri="http://schemas.openxmlformats.org/drawingml/2006/picture">
                <pic:pic>
                  <pic:nvPicPr>
                    <pic:cNvPr descr="短期模型机制贡献.png" id="46" name="Picture"/>
                    <pic:cNvPicPr>
                      <a:picLocks noChangeArrowheads="1" noChangeAspect="1"/>
                    </pic:cNvPicPr>
                  </pic:nvPicPr>
                  <pic:blipFill>
                    <a:blip r:embed="rId44"/>
                    <a:stretch>
                      <a:fillRect/>
                    </a:stretch>
                  </pic:blipFill>
                  <pic:spPr bwMode="auto">
                    <a:xfrm>
                      <a:off x="0" y="0"/>
                      <a:ext cx="4907280" cy="2765921"/>
                    </a:xfrm>
                    <a:prstGeom prst="rect">
                      <a:avLst/>
                    </a:prstGeom>
                    <a:noFill/>
                    <a:ln w="9525">
                      <a:noFill/>
                      <a:headEnd/>
                      <a:tailEnd/>
                    </a:ln>
                  </pic:spPr>
                </pic:pic>
              </a:graphicData>
            </a:graphic>
          </wp:inline>
        </w:drawing>
      </w:r>
    </w:p>
    <w:p>
      <w:pPr>
        <w:pStyle w:val="ImageCaption"/>
      </w:pPr>
      <w:r>
        <w:rPr>
          <w:rFonts w:hint="eastAsia"/>
        </w:rPr>
        <w:t xml:space="preserve">短期模型机制贡献分解。风险溢价推升价格，缓冲确认和预期修复压低价格。</w:t>
      </w:r>
    </w:p>
    <w:bookmarkEnd w:id="47"/>
    <w:bookmarkStart w:id="54" w:name="基准对比与防御性检验"/>
    <w:p>
      <w:pPr>
        <w:pStyle w:val="Heading2"/>
      </w:pPr>
      <w:r>
        <w:rPr>
          <w:rFonts w:hint="eastAsia"/>
        </w:rPr>
        <w:t xml:space="preserve">基准对比与防御性检验</w:t>
      </w:r>
    </w:p>
    <w:p>
      <w:pPr>
        <w:pStyle w:val="FirstParagraph"/>
      </w:pPr>
      <w:r>
        <w:rPr>
          <w:rFonts w:hint="eastAsia"/>
        </w:rPr>
        <w:t xml:space="preserve">金融时间序列中，上一日价格朴素基准是强基准。如果模型不能优于</w:t>
      </w:r>
      <w:r>
        <w:rPr>
          <w:rFonts w:hint="eastAsia"/>
        </w:rPr>
        <w:t xml:space="preserve">“今天等于昨天”</w:t>
      </w:r>
      <w:r>
        <w:rPr>
          <w:rFonts w:hint="eastAsia"/>
        </w:rPr>
        <w:t xml:space="preserve">，则复杂机制缺乏价值。本文设置朴素上一日基准、三日均值基准、漂移随机游走基准和滚动</w:t>
      </w:r>
      <w:r>
        <w:t xml:space="preserve"> ARIMA(1,1,0) </w:t>
      </w:r>
      <w:r>
        <w:rPr>
          <w:rFonts w:hint="eastAsia"/>
        </w:rPr>
        <w:t xml:space="preserve">基准，所有基准在预测第</w:t>
      </w:r>
      <w:r>
        <w:t xml:space="preserve"> </w:t>
      </w:r>
      <m:oMath>
        <m:r>
          <m:t>t</m:t>
        </m:r>
      </m:oMath>
      <w:r>
        <w:t xml:space="preserve"> </w:t>
      </w:r>
      <w:r>
        <w:rPr>
          <w:rFonts w:hint="eastAsia"/>
        </w:rPr>
        <w:t xml:space="preserve">日时只使用</w:t>
      </w:r>
      <w:r>
        <w:t xml:space="preserve"> </w:t>
      </w:r>
      <m:oMath>
        <m:r>
          <m:t>t</m:t>
        </m:r>
        <m:r>
          <m:rPr>
            <m:sty m:val="p"/>
          </m:rPr>
          <m:t>−</m:t>
        </m:r>
        <m:r>
          <m:t>1</m:t>
        </m:r>
      </m:oMath>
      <w:r>
        <w:t xml:space="preserve"> </w:t>
      </w:r>
      <w:r>
        <w:rPr>
          <w:rFonts w:hint="eastAsia"/>
        </w:rPr>
        <w:t xml:space="preserve">日及以前信息。</w:t>
      </w:r>
    </w:p>
    <w:p>
      <w:pPr>
        <w:pStyle w:val="TableCaption"/>
      </w:pPr>
      <w:r>
        <w:rPr>
          <w:rFonts w:hint="eastAsia"/>
        </w:rPr>
        <w:t xml:space="preserve">模型检验框架</w:t>
      </w:r>
    </w:p>
    <w:tbl>
      <w:tblPr>
        <w:tblStyle w:val="Table"/>
        <w:tblW w:type="auto" w:w="0"/>
        <w:tblLook w:firstRow="1" w:lastRow="0" w:firstColumn="0" w:lastColumn="0" w:noHBand="0" w:noVBand="0" w:val="0020"/>
        <w:tblCaption w:val="模型检验框架"/>
      </w:tblPr>
      <w:tblGrid>
        <w:gridCol w:w="2640"/>
        <w:gridCol w:w="2640"/>
        <w:gridCol w:w="2640"/>
      </w:tblGrid>
      <w:tr>
        <w:trPr>
          <w:tblHeader w:val="on"/>
        </w:trPr>
        <w:tc>
          <w:tcPr/>
          <w:p>
            <w:pPr>
              <w:pStyle w:val="Compact"/>
              <w:jc w:val="left"/>
            </w:pPr>
            <w:r>
              <w:rPr>
                <w:rFonts w:hint="eastAsia"/>
              </w:rPr>
              <w:t xml:space="preserve">检验维度</w:t>
            </w:r>
          </w:p>
        </w:tc>
        <w:tc>
          <w:tcPr/>
          <w:p>
            <w:pPr>
              <w:pStyle w:val="Compact"/>
              <w:jc w:val="left"/>
            </w:pPr>
            <w:r>
              <w:rPr>
                <w:rFonts w:hint="eastAsia"/>
              </w:rPr>
              <w:t xml:space="preserve">需要回答的问题</w:t>
            </w:r>
          </w:p>
        </w:tc>
        <w:tc>
          <w:tcPr/>
          <w:p>
            <w:pPr>
              <w:pStyle w:val="Compact"/>
              <w:jc w:val="left"/>
            </w:pPr>
            <w:r>
              <w:rPr>
                <w:rFonts w:hint="eastAsia"/>
              </w:rPr>
              <w:t xml:space="preserve">本文对应方法</w:t>
            </w:r>
          </w:p>
        </w:tc>
      </w:tr>
      <w:tr>
        <w:tc>
          <w:tcPr/>
          <w:p>
            <w:pPr>
              <w:pStyle w:val="Compact"/>
              <w:jc w:val="left"/>
            </w:pPr>
            <w:r>
              <w:rPr>
                <w:rFonts w:hint="eastAsia"/>
              </w:rPr>
              <w:t xml:space="preserve">准确性</w:t>
            </w:r>
          </w:p>
        </w:tc>
        <w:tc>
          <w:tcPr/>
          <w:p>
            <w:pPr>
              <w:pStyle w:val="Compact"/>
              <w:jc w:val="left"/>
            </w:pPr>
            <w:r>
              <w:rPr>
                <w:rFonts w:hint="eastAsia"/>
              </w:rPr>
              <w:t xml:space="preserve">模型误差是否足够低？</w:t>
            </w:r>
          </w:p>
        </w:tc>
        <w:tc>
          <w:tcPr/>
          <w:p>
            <w:pPr>
              <w:pStyle w:val="Compact"/>
              <w:jc w:val="left"/>
            </w:pPr>
            <w:r>
              <w:rPr>
                <w:rFonts w:hint="eastAsia"/>
              </w:rPr>
              <w:t xml:space="preserve">RMSE、MAE、MAPE、分段误差</w:t>
            </w:r>
          </w:p>
        </w:tc>
      </w:tr>
      <w:tr>
        <w:tc>
          <w:tcPr/>
          <w:p>
            <w:pPr>
              <w:pStyle w:val="Compact"/>
              <w:jc w:val="left"/>
            </w:pPr>
            <w:r>
              <w:rPr>
                <w:rFonts w:hint="eastAsia"/>
              </w:rPr>
              <w:t xml:space="preserve">有效性</w:t>
            </w:r>
          </w:p>
        </w:tc>
        <w:tc>
          <w:tcPr/>
          <w:p>
            <w:pPr>
              <w:pStyle w:val="Compact"/>
              <w:jc w:val="left"/>
            </w:pPr>
            <w:r>
              <w:rPr>
                <w:rFonts w:hint="eastAsia"/>
              </w:rPr>
              <w:t xml:space="preserve">是否打败朴素基准？</w:t>
            </w:r>
          </w:p>
        </w:tc>
        <w:tc>
          <w:tcPr/>
          <w:p>
            <w:pPr>
              <w:pStyle w:val="Compact"/>
              <w:jc w:val="left"/>
            </w:pPr>
            <w:r>
              <w:rPr>
                <w:rFonts w:hint="eastAsia"/>
              </w:rPr>
              <w:t xml:space="preserve">上一日基准、三日均值、随机游走、滚动</w:t>
            </w:r>
            <w:r>
              <w:t xml:space="preserve"> ARIMA</w:t>
            </w:r>
          </w:p>
        </w:tc>
      </w:tr>
      <w:tr>
        <w:tc>
          <w:tcPr/>
          <w:p>
            <w:pPr>
              <w:pStyle w:val="Compact"/>
              <w:jc w:val="left"/>
            </w:pPr>
            <w:r>
              <w:rPr>
                <w:rFonts w:hint="eastAsia"/>
              </w:rPr>
              <w:t xml:space="preserve">时序性</w:t>
            </w:r>
          </w:p>
        </w:tc>
        <w:tc>
          <w:tcPr/>
          <w:p>
            <w:pPr>
              <w:pStyle w:val="Compact"/>
              <w:jc w:val="left"/>
            </w:pPr>
            <w:r>
              <w:rPr>
                <w:rFonts w:hint="eastAsia"/>
              </w:rPr>
              <w:t xml:space="preserve">是否只是慢半拍跟随？</w:t>
            </w:r>
          </w:p>
        </w:tc>
        <w:tc>
          <w:tcPr/>
          <w:p>
            <w:pPr>
              <w:pStyle w:val="Compact"/>
              <w:jc w:val="left"/>
            </w:pPr>
            <w:r>
              <w:rPr>
                <w:rFonts w:hint="eastAsia"/>
              </w:rPr>
              <w:t xml:space="preserve">曲线平移检验、拐点局部检验</w:t>
            </w:r>
          </w:p>
        </w:tc>
      </w:tr>
      <w:tr>
        <w:tc>
          <w:tcPr/>
          <w:p>
            <w:pPr>
              <w:pStyle w:val="Compact"/>
              <w:jc w:val="left"/>
            </w:pPr>
            <w:r>
              <w:rPr>
                <w:rFonts w:hint="eastAsia"/>
              </w:rPr>
              <w:t xml:space="preserve">机制性</w:t>
            </w:r>
          </w:p>
        </w:tc>
        <w:tc>
          <w:tcPr/>
          <w:p>
            <w:pPr>
              <w:pStyle w:val="Compact"/>
              <w:jc w:val="left"/>
            </w:pPr>
            <w:r>
              <w:rPr>
                <w:rFonts w:hint="eastAsia"/>
              </w:rPr>
              <w:t xml:space="preserve">每个机制是否有贡献？</w:t>
            </w:r>
          </w:p>
        </w:tc>
        <w:tc>
          <w:tcPr/>
          <w:p>
            <w:pPr>
              <w:pStyle w:val="Compact"/>
              <w:jc w:val="left"/>
            </w:pPr>
            <w:r>
              <w:rPr>
                <w:rFonts w:hint="eastAsia"/>
              </w:rPr>
              <w:t xml:space="preserve">SPR、库存、绕道、需求、风险、预期修复消融实验</w:t>
            </w:r>
          </w:p>
        </w:tc>
      </w:tr>
      <w:tr>
        <w:tc>
          <w:tcPr/>
          <w:p>
            <w:pPr>
              <w:pStyle w:val="Compact"/>
              <w:jc w:val="left"/>
            </w:pPr>
            <w:r>
              <w:rPr>
                <w:rFonts w:hint="eastAsia"/>
              </w:rPr>
              <w:t xml:space="preserve">稳健性</w:t>
            </w:r>
          </w:p>
        </w:tc>
        <w:tc>
          <w:tcPr/>
          <w:p>
            <w:pPr>
              <w:pStyle w:val="Compact"/>
              <w:jc w:val="left"/>
            </w:pPr>
            <w:r>
              <w:rPr>
                <w:rFonts w:hint="eastAsia"/>
              </w:rPr>
              <w:t xml:space="preserve">是否依赖少数神奇参数？</w:t>
            </w:r>
          </w:p>
        </w:tc>
        <w:tc>
          <w:tcPr/>
          <w:p>
            <w:pPr>
              <w:pStyle w:val="Compact"/>
              <w:jc w:val="left"/>
            </w:pPr>
            <m:oMath>
              <m:r>
                <m:rPr>
                  <m:sty m:val="p"/>
                </m:rPr>
                <m:t>±</m:t>
              </m:r>
              <m:r>
                <m:t>15</m:t>
              </m:r>
              <m:r>
                <m:rPr>
                  <m:sty m:val="p"/>
                </m:rPr>
                <m:t>%</m:t>
              </m:r>
            </m:oMath>
            <w:r>
              <w:t xml:space="preserve"> </w:t>
            </w:r>
            <w:r>
              <w:rPr>
                <w:rFonts w:hint="eastAsia"/>
              </w:rPr>
              <w:t xml:space="preserve">参数扰动、局部优秀参数邻域</w:t>
            </w:r>
          </w:p>
        </w:tc>
      </w:tr>
      <w:tr>
        <w:tc>
          <w:tcPr/>
          <w:p>
            <w:pPr>
              <w:pStyle w:val="Compact"/>
              <w:jc w:val="left"/>
            </w:pPr>
            <w:r>
              <w:rPr>
                <w:rFonts w:hint="eastAsia"/>
              </w:rPr>
              <w:t xml:space="preserve">合规性</w:t>
            </w:r>
          </w:p>
        </w:tc>
        <w:tc>
          <w:tcPr/>
          <w:p>
            <w:pPr>
              <w:pStyle w:val="Compact"/>
              <w:jc w:val="left"/>
            </w:pPr>
            <w:r>
              <w:rPr>
                <w:rFonts w:hint="eastAsia"/>
              </w:rPr>
              <w:t xml:space="preserve">是否把结论硬写进代码？</w:t>
            </w:r>
          </w:p>
        </w:tc>
        <w:tc>
          <w:tcPr/>
          <w:p>
            <w:pPr>
              <w:pStyle w:val="Compact"/>
              <w:jc w:val="left"/>
            </w:pPr>
            <w:r>
              <w:rPr>
                <w:rFonts w:hint="eastAsia"/>
              </w:rPr>
              <w:t xml:space="preserve">递推代码硬编码审计、价格上限触发检查</w:t>
            </w:r>
          </w:p>
        </w:tc>
      </w:tr>
    </w:tbl>
    <w:p/>
    <w:p>
      <w:pPr>
        <w:pStyle w:val="TableCaption"/>
      </w:pPr>
      <w:r>
        <w:rPr>
          <w:rFonts w:hint="eastAsia"/>
        </w:rPr>
        <w:t xml:space="preserve">短期模型与朴素/时间序列基准对比</w:t>
      </w:r>
    </w:p>
    <w:tbl>
      <w:tblPr>
        <w:tblStyle w:val="Table"/>
        <w:tblW w:type="auto" w:w="0"/>
        <w:tblLook w:firstRow="1" w:lastRow="0" w:firstColumn="0" w:lastColumn="0" w:noHBand="0" w:noVBand="0" w:val="0020"/>
        <w:tblCaption w:val="短期模型与朴素/时间序列基准对比"/>
      </w:tblPr>
      <w:tblGrid>
        <w:gridCol w:w="1584"/>
        <w:gridCol w:w="1584"/>
        <w:gridCol w:w="1584"/>
        <w:gridCol w:w="1584"/>
        <w:gridCol w:w="1584"/>
      </w:tblGrid>
      <w:tr>
        <w:trPr>
          <w:tblHeader w:val="on"/>
        </w:trPr>
        <w:tc>
          <w:tcPr/>
          <w:p>
            <w:pPr>
              <w:pStyle w:val="Compact"/>
              <w:jc w:val="left"/>
            </w:pPr>
            <w:r>
              <w:rPr>
                <w:rFonts w:hint="eastAsia"/>
              </w:rPr>
              <w:t xml:space="preserve">模型</w:t>
            </w:r>
          </w:p>
        </w:tc>
        <w:tc>
          <w:tcPr/>
          <w:p>
            <w:pPr>
              <w:pStyle w:val="Compact"/>
              <w:jc w:val="right"/>
            </w:pPr>
            <w:r>
              <w:t xml:space="preserve">RMSE</w:t>
            </w:r>
          </w:p>
        </w:tc>
        <w:tc>
          <w:tcPr/>
          <w:p>
            <w:pPr>
              <w:pStyle w:val="Compact"/>
              <w:jc w:val="right"/>
            </w:pPr>
            <w:r>
              <w:t xml:space="preserve">MAE</w:t>
            </w:r>
          </w:p>
        </w:tc>
        <w:tc>
          <w:tcPr/>
          <w:p>
            <w:pPr>
              <w:pStyle w:val="Compact"/>
              <w:jc w:val="right"/>
            </w:pPr>
            <w:r>
              <w:t xml:space="preserve">MAPE</w:t>
            </w:r>
          </w:p>
        </w:tc>
        <w:tc>
          <w:tcPr/>
          <w:p>
            <w:pPr>
              <w:pStyle w:val="Compact"/>
              <w:jc w:val="right"/>
            </w:pPr>
            <w:r>
              <w:rPr>
                <w:rFonts w:hint="eastAsia"/>
              </w:rPr>
              <w:t xml:space="preserve">方向命中率</w:t>
            </w:r>
          </w:p>
        </w:tc>
      </w:tr>
      <w:tr>
        <w:tc>
          <w:tcPr/>
          <w:p>
            <w:pPr>
              <w:pStyle w:val="Compact"/>
              <w:jc w:val="left"/>
            </w:pPr>
            <w:r>
              <w:rPr>
                <w:rFonts w:hint="eastAsia"/>
              </w:rPr>
              <w:t xml:space="preserve">本文短期动态模型</w:t>
            </w:r>
          </w:p>
        </w:tc>
        <w:tc>
          <w:tcPr/>
          <w:p>
            <w:pPr>
              <w:pStyle w:val="Compact"/>
              <w:jc w:val="right"/>
            </w:pPr>
            <w:r>
              <w:t xml:space="preserve">3.44</w:t>
            </w:r>
          </w:p>
        </w:tc>
        <w:tc>
          <w:tcPr/>
          <w:p>
            <w:pPr>
              <w:pStyle w:val="Compact"/>
              <w:jc w:val="right"/>
            </w:pPr>
            <w:r>
              <w:t xml:space="preserve">2.85</w:t>
            </w:r>
          </w:p>
        </w:tc>
        <w:tc>
          <w:tcPr/>
          <w:p>
            <w:pPr>
              <w:pStyle w:val="Compact"/>
              <w:jc w:val="right"/>
            </w:pPr>
            <w:r>
              <w:t xml:space="preserve">2.86%</w:t>
            </w:r>
          </w:p>
        </w:tc>
        <w:tc>
          <w:tcPr/>
          <w:p>
            <w:pPr>
              <w:pStyle w:val="Compact"/>
              <w:jc w:val="right"/>
            </w:pPr>
            <w:r>
              <w:t xml:space="preserve">64.4%</w:t>
            </w:r>
          </w:p>
        </w:tc>
      </w:tr>
      <w:tr>
        <w:tc>
          <w:tcPr/>
          <w:p>
            <w:pPr>
              <w:pStyle w:val="Compact"/>
              <w:jc w:val="left"/>
            </w:pPr>
            <w:r>
              <w:rPr>
                <w:rFonts w:hint="eastAsia"/>
              </w:rPr>
              <w:t xml:space="preserve">朴素上一日基准</w:t>
            </w:r>
          </w:p>
        </w:tc>
        <w:tc>
          <w:tcPr/>
          <w:p>
            <w:pPr>
              <w:pStyle w:val="Compact"/>
              <w:jc w:val="right"/>
            </w:pPr>
            <w:r>
              <w:t xml:space="preserve">4.47</w:t>
            </w:r>
          </w:p>
        </w:tc>
        <w:tc>
          <w:tcPr/>
          <w:p>
            <w:pPr>
              <w:pStyle w:val="Compact"/>
              <w:jc w:val="right"/>
            </w:pPr>
            <w:r>
              <w:t xml:space="preserve">3.57</w:t>
            </w:r>
          </w:p>
        </w:tc>
        <w:tc>
          <w:tcPr/>
          <w:p>
            <w:pPr>
              <w:pStyle w:val="Compact"/>
              <w:jc w:val="right"/>
            </w:pPr>
            <w:r>
              <w:t xml:space="preserve">3.54%</w:t>
            </w:r>
          </w:p>
        </w:tc>
        <w:tc>
          <w:tcPr/>
          <w:p>
            <w:pPr>
              <w:pStyle w:val="Compact"/>
              <w:jc w:val="right"/>
            </w:pPr>
            <w:r>
              <w:t xml:space="preserve">46.7%</w:t>
            </w:r>
          </w:p>
        </w:tc>
      </w:tr>
      <w:tr>
        <w:tc>
          <w:tcPr/>
          <w:p>
            <w:pPr>
              <w:pStyle w:val="Compact"/>
              <w:jc w:val="left"/>
            </w:pPr>
            <w:r>
              <w:rPr>
                <w:rFonts w:hint="eastAsia"/>
              </w:rPr>
              <w:t xml:space="preserve">三日均值基准</w:t>
            </w:r>
          </w:p>
        </w:tc>
        <w:tc>
          <w:tcPr/>
          <w:p>
            <w:pPr>
              <w:pStyle w:val="Compact"/>
              <w:jc w:val="right"/>
            </w:pPr>
            <w:r>
              <w:t xml:space="preserve">5.18</w:t>
            </w:r>
          </w:p>
        </w:tc>
        <w:tc>
          <w:tcPr/>
          <w:p>
            <w:pPr>
              <w:pStyle w:val="Compact"/>
              <w:jc w:val="right"/>
            </w:pPr>
            <w:r>
              <w:t xml:space="preserve">4.16</w:t>
            </w:r>
          </w:p>
        </w:tc>
        <w:tc>
          <w:tcPr/>
          <w:p>
            <w:pPr>
              <w:pStyle w:val="Compact"/>
              <w:jc w:val="right"/>
            </w:pPr>
            <w:r>
              <w:t xml:space="preserve">4.15%</w:t>
            </w:r>
          </w:p>
        </w:tc>
        <w:tc>
          <w:tcPr/>
          <w:p>
            <w:pPr>
              <w:pStyle w:val="Compact"/>
              <w:jc w:val="right"/>
            </w:pPr>
            <w:r>
              <w:t xml:space="preserve">44.4%</w:t>
            </w:r>
          </w:p>
        </w:tc>
      </w:tr>
      <w:tr>
        <w:tc>
          <w:tcPr/>
          <w:p>
            <w:pPr>
              <w:pStyle w:val="Compact"/>
              <w:jc w:val="left"/>
            </w:pPr>
            <w:r>
              <w:rPr>
                <w:rFonts w:hint="eastAsia"/>
              </w:rPr>
              <w:t xml:space="preserve">漂移随机游走基准</w:t>
            </w:r>
          </w:p>
        </w:tc>
        <w:tc>
          <w:tcPr/>
          <w:p>
            <w:pPr>
              <w:pStyle w:val="Compact"/>
              <w:jc w:val="right"/>
            </w:pPr>
            <w:r>
              <w:t xml:space="preserve">4.84</w:t>
            </w:r>
          </w:p>
        </w:tc>
        <w:tc>
          <w:tcPr/>
          <w:p>
            <w:pPr>
              <w:pStyle w:val="Compact"/>
              <w:jc w:val="right"/>
            </w:pPr>
            <w:r>
              <w:t xml:space="preserve">3.94</w:t>
            </w:r>
          </w:p>
        </w:tc>
        <w:tc>
          <w:tcPr/>
          <w:p>
            <w:pPr>
              <w:pStyle w:val="Compact"/>
              <w:jc w:val="right"/>
            </w:pPr>
            <w:r>
              <w:t xml:space="preserve">3.91%</w:t>
            </w:r>
          </w:p>
        </w:tc>
        <w:tc>
          <w:tcPr/>
          <w:p>
            <w:pPr>
              <w:pStyle w:val="Compact"/>
              <w:jc w:val="right"/>
            </w:pPr>
            <w:r>
              <w:t xml:space="preserve">46.7%</w:t>
            </w:r>
          </w:p>
        </w:tc>
      </w:tr>
      <w:tr>
        <w:tc>
          <w:tcPr/>
          <w:p>
            <w:pPr>
              <w:pStyle w:val="Compact"/>
              <w:jc w:val="left"/>
            </w:pPr>
            <w:r>
              <w:rPr>
                <w:rFonts w:hint="eastAsia"/>
              </w:rPr>
              <w:t xml:space="preserve">滚动</w:t>
            </w:r>
            <w:r>
              <w:t xml:space="preserve"> ARIMA(1,1,0) </w:t>
            </w:r>
            <w:r>
              <w:rPr>
                <w:rFonts w:hint="eastAsia"/>
              </w:rPr>
              <w:t xml:space="preserve">基准</w:t>
            </w:r>
          </w:p>
        </w:tc>
        <w:tc>
          <w:tcPr/>
          <w:p>
            <w:pPr>
              <w:pStyle w:val="Compact"/>
              <w:jc w:val="right"/>
            </w:pPr>
            <w:r>
              <w:t xml:space="preserve">4.53</w:t>
            </w:r>
          </w:p>
        </w:tc>
        <w:tc>
          <w:tcPr/>
          <w:p>
            <w:pPr>
              <w:pStyle w:val="Compact"/>
              <w:jc w:val="right"/>
            </w:pPr>
            <w:r>
              <w:t xml:space="preserve">3.67</w:t>
            </w:r>
          </w:p>
        </w:tc>
        <w:tc>
          <w:tcPr/>
          <w:p>
            <w:pPr>
              <w:pStyle w:val="Compact"/>
              <w:jc w:val="right"/>
            </w:pPr>
            <w:r>
              <w:t xml:space="preserve">3.63%</w:t>
            </w:r>
          </w:p>
        </w:tc>
        <w:tc>
          <w:tcPr/>
          <w:p>
            <w:pPr>
              <w:pStyle w:val="Compact"/>
              <w:jc w:val="right"/>
            </w:pPr>
            <w:r>
              <w:t xml:space="preserve">46.7%</w:t>
            </w:r>
          </w:p>
        </w:tc>
      </w:tr>
    </w:tbl>
    <w:p>
      <w:pPr>
        <w:pStyle w:val="CaptionedFigure"/>
      </w:pPr>
      <w:r>
        <w:drawing>
          <wp:inline>
            <wp:extent cx="4587240" cy="2533904"/>
            <wp:effectExtent b="0" l="0" r="0" t="0"/>
            <wp:docPr descr="" title="" id="49" name="Picture"/>
            <a:graphic>
              <a:graphicData uri="http://schemas.openxmlformats.org/drawingml/2006/picture">
                <pic:pic>
                  <pic:nvPicPr>
                    <pic:cNvPr descr="短期模型基准对比.png" id="50" name="Picture"/>
                    <pic:cNvPicPr>
                      <a:picLocks noChangeArrowheads="1" noChangeAspect="1"/>
                    </pic:cNvPicPr>
                  </pic:nvPicPr>
                  <pic:blipFill>
                    <a:blip r:embed="rId48"/>
                    <a:stretch>
                      <a:fillRect/>
                    </a:stretch>
                  </pic:blipFill>
                  <pic:spPr bwMode="auto">
                    <a:xfrm>
                      <a:off x="0" y="0"/>
                      <a:ext cx="4587240" cy="2533904"/>
                    </a:xfrm>
                    <a:prstGeom prst="rect">
                      <a:avLst/>
                    </a:prstGeom>
                    <a:noFill/>
                    <a:ln w="9525">
                      <a:noFill/>
                      <a:headEnd/>
                      <a:tailEnd/>
                    </a:ln>
                  </pic:spPr>
                </pic:pic>
              </a:graphicData>
            </a:graphic>
          </wp:inline>
        </w:drawing>
      </w:r>
    </w:p>
    <w:p>
      <w:pPr>
        <w:pStyle w:val="ImageCaption"/>
      </w:pPr>
      <w:r>
        <w:rPr>
          <w:rFonts w:hint="eastAsia"/>
        </w:rPr>
        <w:t xml:space="preserve">短期模型与朴素/时间序列基准</w:t>
      </w:r>
      <w:r>
        <w:t xml:space="preserve"> RMSE </w:t>
      </w:r>
      <w:r>
        <w:rPr>
          <w:rFonts w:hint="eastAsia"/>
        </w:rPr>
        <w:t xml:space="preserve">对比。本文模型相对朴素基准改善约</w:t>
      </w:r>
      <w:r>
        <w:t xml:space="preserve"> 23.0%。</w:t>
      </w:r>
    </w:p>
    <w:p>
      <w:pPr>
        <w:pStyle w:val="BodyText"/>
      </w:pPr>
      <w:r>
        <w:rPr>
          <w:rFonts w:hint="eastAsia"/>
        </w:rPr>
        <w:t xml:space="preserve">为排除</w:t>
      </w:r>
      <w:r>
        <w:rPr>
          <w:rFonts w:hint="eastAsia"/>
        </w:rPr>
        <w:t xml:space="preserve">“模型只是滞后复制真实曲线”</w:t>
      </w:r>
      <w:r>
        <w:rPr>
          <w:rFonts w:hint="eastAsia"/>
        </w:rPr>
        <w:t xml:space="preserve">的风险，本文将模型曲线整体向左、向右平移</w:t>
      </w:r>
      <w:r>
        <w:t xml:space="preserve"> 1–5 </w:t>
      </w:r>
      <w:r>
        <w:rPr>
          <w:rFonts w:hint="eastAsia"/>
        </w:rPr>
        <w:t xml:space="preserve">天后重新计算</w:t>
      </w:r>
      <w:r>
        <w:t xml:space="preserve"> </w:t>
      </w:r>
      <w:r>
        <w:rPr>
          <w:rFonts w:hint="eastAsia"/>
        </w:rPr>
        <w:t xml:space="preserve">RMSE。结果显示，原始位置</w:t>
      </w:r>
      <w:r>
        <w:t xml:space="preserve"> RMSE </w:t>
      </w:r>
      <w:r>
        <w:rPr>
          <w:rFonts w:hint="eastAsia"/>
        </w:rPr>
        <w:t xml:space="preserve">最低，为</w:t>
      </w:r>
      <w:r>
        <w:t xml:space="preserve"> </w:t>
      </w:r>
      <w:r>
        <w:rPr>
          <w:rFonts w:hint="eastAsia"/>
        </w:rPr>
        <w:t xml:space="preserve">3.44；向左平移</w:t>
      </w:r>
      <w:r>
        <w:t xml:space="preserve"> 1 </w:t>
      </w:r>
      <w:r>
        <w:rPr>
          <w:rFonts w:hint="eastAsia"/>
        </w:rPr>
        <w:t xml:space="preserve">天后</w:t>
      </w:r>
      <w:r>
        <w:t xml:space="preserve"> RMSE </w:t>
      </w:r>
      <w:r>
        <w:rPr>
          <w:rFonts w:hint="eastAsia"/>
        </w:rPr>
        <w:t xml:space="preserve">升至</w:t>
      </w:r>
      <w:r>
        <w:t xml:space="preserve"> </w:t>
      </w:r>
      <w:r>
        <w:rPr>
          <w:rFonts w:hint="eastAsia"/>
        </w:rPr>
        <w:t xml:space="preserve">3.87，向左平移</w:t>
      </w:r>
      <w:r>
        <w:t xml:space="preserve"> 2 </w:t>
      </w:r>
      <w:r>
        <w:rPr>
          <w:rFonts w:hint="eastAsia"/>
        </w:rPr>
        <w:t xml:space="preserve">天后升至</w:t>
      </w:r>
      <w:r>
        <w:t xml:space="preserve"> </w:t>
      </w:r>
      <w:r>
        <w:rPr>
          <w:rFonts w:hint="eastAsia"/>
        </w:rPr>
        <w:t xml:space="preserve">4.64，说明模型不存在明显滞后复制。</w:t>
      </w:r>
    </w:p>
    <w:p>
      <w:pPr>
        <w:pStyle w:val="CaptionedFigure"/>
      </w:pPr>
      <w:r>
        <w:drawing>
          <wp:inline>
            <wp:extent cx="4480560" cy="2594008"/>
            <wp:effectExtent b="0" l="0" r="0" t="0"/>
            <wp:docPr descr="" title="" id="52" name="Picture"/>
            <a:graphic>
              <a:graphicData uri="http://schemas.openxmlformats.org/drawingml/2006/picture">
                <pic:pic>
                  <pic:nvPicPr>
                    <pic:cNvPr descr="短期模型滞后平移检验.png" id="53" name="Picture"/>
                    <pic:cNvPicPr>
                      <a:picLocks noChangeArrowheads="1" noChangeAspect="1"/>
                    </pic:cNvPicPr>
                  </pic:nvPicPr>
                  <pic:blipFill>
                    <a:blip r:embed="rId51"/>
                    <a:stretch>
                      <a:fillRect/>
                    </a:stretch>
                  </pic:blipFill>
                  <pic:spPr bwMode="auto">
                    <a:xfrm>
                      <a:off x="0" y="0"/>
                      <a:ext cx="4480560" cy="2594008"/>
                    </a:xfrm>
                    <a:prstGeom prst="rect">
                      <a:avLst/>
                    </a:prstGeom>
                    <a:noFill/>
                    <a:ln w="9525">
                      <a:noFill/>
                      <a:headEnd/>
                      <a:tailEnd/>
                    </a:ln>
                  </pic:spPr>
                </pic:pic>
              </a:graphicData>
            </a:graphic>
          </wp:inline>
        </w:drawing>
      </w:r>
    </w:p>
    <w:p>
      <w:pPr>
        <w:pStyle w:val="ImageCaption"/>
      </w:pPr>
      <w:r>
        <w:rPr>
          <w:rFonts w:hint="eastAsia"/>
        </w:rPr>
        <w:t xml:space="preserve">模型曲线平移后的</w:t>
      </w:r>
      <w:r>
        <w:t xml:space="preserve"> RMSE </w:t>
      </w:r>
      <w:r>
        <w:rPr>
          <w:rFonts w:hint="eastAsia"/>
        </w:rPr>
        <w:t xml:space="preserve">检验。原始位置误差最低。</w:t>
      </w:r>
    </w:p>
    <w:bookmarkEnd w:id="54"/>
    <w:bookmarkStart w:id="61" w:name="机制消融与过拟合防御"/>
    <w:p>
      <w:pPr>
        <w:pStyle w:val="Heading2"/>
      </w:pPr>
      <w:r>
        <w:rPr>
          <w:rFonts w:hint="eastAsia"/>
        </w:rPr>
        <w:t xml:space="preserve">机制消融与过拟合防御</w:t>
      </w:r>
    </w:p>
    <w:p>
      <w:pPr>
        <w:pStyle w:val="FirstParagraph"/>
      </w:pPr>
      <w:r>
        <w:rPr>
          <w:rFonts w:hint="eastAsia"/>
        </w:rPr>
        <w:t xml:space="preserve">本文在同一短期模型中逐项关闭关键机制，并保持其余参数不重新校准。消融结果显示，去除</w:t>
      </w:r>
      <w:r>
        <w:t xml:space="preserve"> SPR </w:t>
      </w:r>
      <w:r>
        <w:rPr>
          <w:rFonts w:hint="eastAsia"/>
        </w:rPr>
        <w:t xml:space="preserve">后</w:t>
      </w:r>
      <w:r>
        <w:t xml:space="preserve"> RMSE </w:t>
      </w:r>
      <w:r>
        <w:rPr>
          <w:rFonts w:hint="eastAsia"/>
        </w:rPr>
        <w:t xml:space="preserve">从</w:t>
      </w:r>
      <w:r>
        <w:t xml:space="preserve"> 3.44 </w:t>
      </w:r>
      <w:r>
        <w:rPr>
          <w:rFonts w:hint="eastAsia"/>
        </w:rPr>
        <w:t xml:space="preserve">升至</w:t>
      </w:r>
      <w:r>
        <w:t xml:space="preserve"> </w:t>
      </w:r>
      <w:r>
        <w:rPr>
          <w:rFonts w:hint="eastAsia"/>
        </w:rPr>
        <w:t xml:space="preserve">5.86；去除风险与不确定性溢价后</w:t>
      </w:r>
      <w:r>
        <w:t xml:space="preserve"> RMSE </w:t>
      </w:r>
      <w:r>
        <w:rPr>
          <w:rFonts w:hint="eastAsia"/>
        </w:rPr>
        <w:t xml:space="preserve">升至</w:t>
      </w:r>
      <w:r>
        <w:t xml:space="preserve"> </w:t>
      </w:r>
      <w:r>
        <w:rPr>
          <w:rFonts w:hint="eastAsia"/>
        </w:rPr>
        <w:t xml:space="preserve">30.69；去除预期修复折价后后期</w:t>
      </w:r>
      <w:r>
        <w:t xml:space="preserve"> RMSE </w:t>
      </w:r>
      <w:r>
        <w:rPr>
          <w:rFonts w:hint="eastAsia"/>
        </w:rPr>
        <w:t xml:space="preserve">升至</w:t>
      </w:r>
      <w:r>
        <w:t xml:space="preserve"> </w:t>
      </w:r>
      <w:r>
        <w:rPr>
          <w:rFonts w:hint="eastAsia"/>
        </w:rPr>
        <w:t xml:space="preserve">10.09。这说明题面物理层和市场价格形成层均有边际贡献。</w:t>
      </w:r>
    </w:p>
    <w:p>
      <w:pPr>
        <w:pStyle w:val="CaptionedFigure"/>
      </w:pPr>
      <w:r>
        <w:drawing>
          <wp:inline>
            <wp:extent cx="4800600" cy="2480310"/>
            <wp:effectExtent b="0" l="0" r="0" t="0"/>
            <wp:docPr descr="" title="" id="56" name="Picture"/>
            <a:graphic>
              <a:graphicData uri="http://schemas.openxmlformats.org/drawingml/2006/picture">
                <pic:pic>
                  <pic:nvPicPr>
                    <pic:cNvPr descr="短期模型机制消融实验.png" id="57" name="Picture"/>
                    <pic:cNvPicPr>
                      <a:picLocks noChangeArrowheads="1" noChangeAspect="1"/>
                    </pic:cNvPicPr>
                  </pic:nvPicPr>
                  <pic:blipFill>
                    <a:blip r:embed="rId55"/>
                    <a:stretch>
                      <a:fillRect/>
                    </a:stretch>
                  </pic:blipFill>
                  <pic:spPr bwMode="auto">
                    <a:xfrm>
                      <a:off x="0" y="0"/>
                      <a:ext cx="4800600" cy="2480310"/>
                    </a:xfrm>
                    <a:prstGeom prst="rect">
                      <a:avLst/>
                    </a:prstGeom>
                    <a:noFill/>
                    <a:ln w="9525">
                      <a:noFill/>
                      <a:headEnd/>
                      <a:tailEnd/>
                    </a:ln>
                  </pic:spPr>
                </pic:pic>
              </a:graphicData>
            </a:graphic>
          </wp:inline>
        </w:drawing>
      </w:r>
    </w:p>
    <w:p>
      <w:pPr>
        <w:pStyle w:val="ImageCaption"/>
      </w:pPr>
      <w:r>
        <w:rPr>
          <w:rFonts w:hint="eastAsia"/>
        </w:rPr>
        <w:t xml:space="preserve">短期模型机制消融实验。关闭关键机制后误差结构显著恶化。</w:t>
      </w:r>
    </w:p>
    <w:p>
      <w:pPr>
        <w:pStyle w:val="BodyText"/>
      </w:pPr>
      <w:r>
        <w:rPr>
          <w:rFonts w:hint="eastAsia"/>
        </w:rPr>
        <w:t xml:space="preserve">由于冲突窗口只有</w:t>
      </w:r>
      <w:r>
        <w:t xml:space="preserve"> 46 </w:t>
      </w:r>
      <w:r>
        <w:rPr>
          <w:rFonts w:hint="eastAsia"/>
        </w:rPr>
        <w:t xml:space="preserve">个交易日，而校准参数较多，本文主动进行过拟合压力测试和代码硬编码审计。结果显示，在</w:t>
      </w:r>
      <w:r>
        <w:t xml:space="preserve"> 1000 </w:t>
      </w:r>
      <w:r>
        <w:rPr>
          <w:rFonts w:hint="eastAsia"/>
        </w:rPr>
        <w:t xml:space="preserve">组</w:t>
      </w:r>
      <w:r>
        <w:t xml:space="preserve"> </w:t>
      </w:r>
      <m:oMath>
        <m:r>
          <m:rPr>
            <m:sty m:val="p"/>
          </m:rPr>
          <m:t>±</m:t>
        </m:r>
        <m:r>
          <m:t>15</m:t>
        </m:r>
        <m:r>
          <m:rPr>
            <m:sty m:val="p"/>
          </m:rPr>
          <m:t>%</m:t>
        </m:r>
      </m:oMath>
      <w:r>
        <w:t xml:space="preserve"> </w:t>
      </w:r>
      <w:r>
        <w:rPr>
          <w:rFonts w:hint="eastAsia"/>
        </w:rPr>
        <w:t xml:space="preserve">参数扰动中，96.6%</w:t>
      </w:r>
      <w:r>
        <w:t xml:space="preserve"> </w:t>
      </w:r>
      <w:r>
        <w:rPr>
          <w:rFonts w:hint="eastAsia"/>
        </w:rPr>
        <w:t xml:space="preserve">的样本模拟峰值仍落在</w:t>
      </w:r>
      <w:r>
        <w:t xml:space="preserve"> 105–125 </w:t>
      </w:r>
      <w:r>
        <w:rPr>
          <w:rFonts w:hint="eastAsia"/>
        </w:rPr>
        <w:t xml:space="preserve">美元/桶区间；代码审计确认递推核心未出现将</w:t>
      </w:r>
      <w:r>
        <w:t xml:space="preserve"> 120 </w:t>
      </w:r>
      <w:r>
        <w:rPr>
          <w:rFonts w:hint="eastAsia"/>
        </w:rPr>
        <w:t xml:space="preserve">美元硬编码为上限的条件分支。本文因此将模型定位为</w:t>
      </w:r>
      <w:r>
        <w:rPr>
          <w:rFonts w:hint="eastAsia"/>
        </w:rPr>
        <w:t xml:space="preserve">“事件机制递推模型”</w:t>
      </w:r>
      <w:r>
        <w:rPr>
          <w:rFonts w:hint="eastAsia"/>
        </w:rPr>
        <w:t xml:space="preserve">，而非通用日度交易预测器。</w:t>
      </w:r>
    </w:p>
    <w:p>
      <w:pPr>
        <w:pStyle w:val="CaptionedFigure"/>
      </w:pPr>
      <w:r>
        <w:drawing>
          <wp:inline>
            <wp:extent cx="4693920" cy="2048256"/>
            <wp:effectExtent b="0" l="0" r="0" t="0"/>
            <wp:docPr descr="" title="" id="59" name="Picture"/>
            <a:graphic>
              <a:graphicData uri="http://schemas.openxmlformats.org/drawingml/2006/picture">
                <pic:pic>
                  <pic:nvPicPr>
                    <pic:cNvPr descr="短期模型过拟合压力测试.png" id="60" name="Picture"/>
                    <pic:cNvPicPr>
                      <a:picLocks noChangeArrowheads="1" noChangeAspect="1"/>
                    </pic:cNvPicPr>
                  </pic:nvPicPr>
                  <pic:blipFill>
                    <a:blip r:embed="rId58"/>
                    <a:stretch>
                      <a:fillRect/>
                    </a:stretch>
                  </pic:blipFill>
                  <pic:spPr bwMode="auto">
                    <a:xfrm>
                      <a:off x="0" y="0"/>
                      <a:ext cx="4693920" cy="2048256"/>
                    </a:xfrm>
                    <a:prstGeom prst="rect">
                      <a:avLst/>
                    </a:prstGeom>
                    <a:noFill/>
                    <a:ln w="9525">
                      <a:noFill/>
                      <a:headEnd/>
                      <a:tailEnd/>
                    </a:ln>
                  </pic:spPr>
                </pic:pic>
              </a:graphicData>
            </a:graphic>
          </wp:inline>
        </w:drawing>
      </w:r>
    </w:p>
    <w:p>
      <w:pPr>
        <w:pStyle w:val="ImageCaption"/>
      </w:pPr>
      <w:r>
        <w:rPr>
          <w:rFonts w:hint="eastAsia"/>
        </w:rPr>
        <w:t xml:space="preserve">短期模型过拟合压力测试。多数扰动样本仍保持在合理价格平台附近。</w:t>
      </w:r>
    </w:p>
    <w:bookmarkEnd w:id="61"/>
    <w:bookmarkStart w:id="65" w:name="分段误差与残差诊断"/>
    <w:p>
      <w:pPr>
        <w:pStyle w:val="Heading2"/>
      </w:pPr>
      <w:r>
        <w:rPr>
          <w:rFonts w:hint="eastAsia"/>
        </w:rPr>
        <w:t xml:space="preserve">分段误差与残差诊断</w:t>
      </w:r>
    </w:p>
    <w:p>
      <w:pPr>
        <w:pStyle w:val="FirstParagraph"/>
      </w:pPr>
      <w:r>
        <w:rPr>
          <w:rFonts w:hint="eastAsia"/>
        </w:rPr>
        <w:t xml:space="preserve">仅报告全窗口</w:t>
      </w:r>
      <w:r>
        <w:t xml:space="preserve"> RMSE </w:t>
      </w:r>
      <w:r>
        <w:rPr>
          <w:rFonts w:hint="eastAsia"/>
        </w:rPr>
        <w:t xml:space="preserve">容易掩盖局部失败。本文进一步检查逐日残差、滚动误差、实际值与模拟值一致性以及残差自相关。分段误差显示，中期平台是最难解释的部分，RMSE</w:t>
      </w:r>
      <w:r>
        <w:t xml:space="preserve"> </w:t>
      </w:r>
      <w:r>
        <w:rPr>
          <w:rFonts w:hint="eastAsia"/>
        </w:rPr>
        <w:t xml:space="preserve">为</w:t>
      </w:r>
      <w:r>
        <w:t xml:space="preserve"> 4.39 </w:t>
      </w:r>
      <w:r>
        <w:rPr>
          <w:rFonts w:hint="eastAsia"/>
        </w:rPr>
        <w:t xml:space="preserve">美元/桶；后期再定价阶段</w:t>
      </w:r>
      <w:r>
        <w:t xml:space="preserve"> RMSE </w:t>
      </w:r>
      <w:r>
        <w:rPr>
          <w:rFonts w:hint="eastAsia"/>
        </w:rPr>
        <w:t xml:space="preserve">降至</w:t>
      </w:r>
      <w:r>
        <w:t xml:space="preserve"> 2.81 </w:t>
      </w:r>
      <w:r>
        <w:rPr>
          <w:rFonts w:hint="eastAsia"/>
        </w:rPr>
        <w:t xml:space="preserve">美元/桶，说明缓冲确认折价和预期修复折价对解释后期回落有实际作用。</w:t>
      </w:r>
    </w:p>
    <w:p>
      <w:pPr>
        <w:pStyle w:val="CaptionedFigure"/>
      </w:pPr>
      <w:r>
        <w:drawing>
          <wp:inline>
            <wp:extent cx="4907280" cy="3655675"/>
            <wp:effectExtent b="0" l="0" r="0" t="0"/>
            <wp:docPr descr="" title="" id="63" name="Picture"/>
            <a:graphic>
              <a:graphicData uri="http://schemas.openxmlformats.org/drawingml/2006/picture">
                <pic:pic>
                  <pic:nvPicPr>
                    <pic:cNvPr descr="短期模型残差诊断增强.png" id="64" name="Picture"/>
                    <pic:cNvPicPr>
                      <a:picLocks noChangeArrowheads="1" noChangeAspect="1"/>
                    </pic:cNvPicPr>
                  </pic:nvPicPr>
                  <pic:blipFill>
                    <a:blip r:embed="rId62"/>
                    <a:stretch>
                      <a:fillRect/>
                    </a:stretch>
                  </pic:blipFill>
                  <pic:spPr bwMode="auto">
                    <a:xfrm>
                      <a:off x="0" y="0"/>
                      <a:ext cx="4907280" cy="3655675"/>
                    </a:xfrm>
                    <a:prstGeom prst="rect">
                      <a:avLst/>
                    </a:prstGeom>
                    <a:noFill/>
                    <a:ln w="9525">
                      <a:noFill/>
                      <a:headEnd/>
                      <a:tailEnd/>
                    </a:ln>
                  </pic:spPr>
                </pic:pic>
              </a:graphicData>
            </a:graphic>
          </wp:inline>
        </w:drawing>
      </w:r>
    </w:p>
    <w:p>
      <w:pPr>
        <w:pStyle w:val="ImageCaption"/>
      </w:pPr>
      <w:r>
        <w:rPr>
          <w:rFonts w:hint="eastAsia"/>
        </w:rPr>
        <w:t xml:space="preserve">短期模型增强残差诊断。图中展示一致性、残差分布、滚动误差和残差自相关。</w:t>
      </w:r>
    </w:p>
    <w:p>
      <w:pPr>
        <w:pStyle w:val="BodyText"/>
      </w:pPr>
      <w:r>
        <w:rPr>
          <w:rFonts w:hint="eastAsia"/>
        </w:rPr>
        <w:t xml:space="preserve">增强诊断表明，模型没有通过牺牲某一局部阶段来换取总体</w:t>
      </w:r>
      <w:r>
        <w:t xml:space="preserve"> </w:t>
      </w:r>
      <w:r>
        <w:rPr>
          <w:rFonts w:hint="eastAsia"/>
        </w:rPr>
        <w:t xml:space="preserve">RMSE。实际值与模拟值的一致性图说明模型能够跟随冲突窗口的主要价格平台；残差分布没有出现单侧系统性偏移；滚动误差在中期平台阶段略高，符合市场对封锁持续时间和缓冲机制可持续性反复定价的事实。残差一阶自相关约为</w:t>
      </w:r>
      <w:r>
        <w:t xml:space="preserve"> </w:t>
      </w:r>
      <w:r>
        <w:rPr>
          <w:rFonts w:hint="eastAsia"/>
        </w:rPr>
        <w:t xml:space="preserve">0.254，说明仍存在一定连续偏差，但未形成明显强自相关。</w:t>
      </w:r>
    </w:p>
    <w:bookmarkEnd w:id="65"/>
    <w:bookmarkStart w:id="69" w:name="统计审计与-r-语言辅助定位"/>
    <w:p>
      <w:pPr>
        <w:pStyle w:val="Heading2"/>
      </w:pPr>
      <w:r>
        <w:rPr>
          <w:rFonts w:hint="eastAsia"/>
        </w:rPr>
        <w:t xml:space="preserve">统计审计与</w:t>
      </w:r>
      <w:r>
        <w:t xml:space="preserve"> R </w:t>
      </w:r>
      <w:r>
        <w:rPr>
          <w:rFonts w:hint="eastAsia"/>
        </w:rPr>
        <w:t xml:space="preserve">语言辅助定位</w:t>
      </w:r>
    </w:p>
    <w:p>
      <w:pPr>
        <w:pStyle w:val="FirstParagraph"/>
      </w:pPr>
      <w:r>
        <w:rPr>
          <w:rFonts w:hint="eastAsia"/>
        </w:rPr>
        <w:t xml:space="preserve">为进一步提高模型检验的严谨性，本文新增统计审计。该审计不改变短期主模型，只在剔除首日后构造可比较样本，将综合机制递推模型与朴素上一日基准进行误差和统计检验。之所以剔除首日，是因为朴素上一日基准需要上一交易日真实价格作为输入，首日没有可比预测值。因此，本节统计审计中的</w:t>
      </w:r>
      <w:r>
        <w:t xml:space="preserve"> RMSE </w:t>
      </w:r>
      <w:r>
        <w:rPr>
          <w:rFonts w:hint="eastAsia"/>
        </w:rPr>
        <w:t xml:space="preserve">与前文全窗口</w:t>
      </w:r>
      <w:r>
        <w:t xml:space="preserve"> RMSE </w:t>
      </w:r>
      <w:r>
        <w:rPr>
          <w:rFonts w:hint="eastAsia"/>
        </w:rPr>
        <w:t xml:space="preserve">略有差异。</w:t>
      </w:r>
    </w:p>
    <w:p>
      <w:pPr>
        <w:pStyle w:val="TableCaption"/>
      </w:pPr>
      <w:r>
        <w:rPr>
          <w:rFonts w:hint="eastAsia"/>
        </w:rPr>
        <w:t xml:space="preserve">短期模型统计审计结果</w:t>
      </w:r>
    </w:p>
    <w:tbl>
      <w:tblPr>
        <w:tblStyle w:val="Table"/>
        <w:tblW w:type="auto" w:w="0"/>
        <w:tblLook w:firstRow="1" w:lastRow="0" w:firstColumn="0" w:lastColumn="0" w:noHBand="0" w:noVBand="0" w:val="0020"/>
        <w:tblCaption w:val="短期模型统计审计结果"/>
      </w:tblPr>
      <w:tblGrid>
        <w:gridCol w:w="1980"/>
        <w:gridCol w:w="1980"/>
        <w:gridCol w:w="1980"/>
        <w:gridCol w:w="1980"/>
      </w:tblGrid>
      <w:tr>
        <w:trPr>
          <w:tblHeader w:val="on"/>
        </w:trPr>
        <w:tc>
          <w:tcPr/>
          <w:p>
            <w:pPr>
              <w:pStyle w:val="Compact"/>
              <w:jc w:val="left"/>
            </w:pPr>
            <w:r>
              <w:rPr>
                <w:rFonts w:hint="eastAsia"/>
              </w:rPr>
              <w:t xml:space="preserve">检验项</w:t>
            </w:r>
          </w:p>
        </w:tc>
        <w:tc>
          <w:tcPr/>
          <w:p>
            <w:pPr>
              <w:pStyle w:val="Compact"/>
              <w:jc w:val="right"/>
            </w:pPr>
            <w:r>
              <w:rPr>
                <w:rFonts w:hint="eastAsia"/>
              </w:rPr>
              <w:t xml:space="preserve">本文模型</w:t>
            </w:r>
          </w:p>
        </w:tc>
        <w:tc>
          <w:tcPr/>
          <w:p>
            <w:pPr>
              <w:pStyle w:val="Compact"/>
              <w:jc w:val="right"/>
            </w:pPr>
            <w:r>
              <w:rPr>
                <w:rFonts w:hint="eastAsia"/>
              </w:rPr>
              <w:t xml:space="preserve">对照或</w:t>
            </w:r>
            <w:r>
              <w:t xml:space="preserve"> p </w:t>
            </w:r>
            <w:r>
              <w:rPr>
                <w:rFonts w:hint="eastAsia"/>
              </w:rPr>
              <w:t xml:space="preserve">值</w:t>
            </w:r>
          </w:p>
        </w:tc>
        <w:tc>
          <w:tcPr/>
          <w:p>
            <w:pPr>
              <w:pStyle w:val="Compact"/>
              <w:jc w:val="left"/>
            </w:pPr>
            <w:r>
              <w:rPr>
                <w:rFonts w:hint="eastAsia"/>
              </w:rPr>
              <w:t xml:space="preserve">解释</w:t>
            </w:r>
          </w:p>
        </w:tc>
      </w:tr>
      <w:tr>
        <w:tc>
          <w:tcPr/>
          <w:p>
            <w:pPr>
              <w:pStyle w:val="Compact"/>
              <w:jc w:val="left"/>
            </w:pPr>
            <w:r>
              <w:t xml:space="preserve">RMSE</w:t>
            </w:r>
          </w:p>
        </w:tc>
        <w:tc>
          <w:tcPr/>
          <w:p>
            <w:pPr>
              <w:pStyle w:val="Compact"/>
              <w:jc w:val="right"/>
            </w:pPr>
            <w:r>
              <w:t xml:space="preserve">3.47</w:t>
            </w:r>
          </w:p>
        </w:tc>
        <w:tc>
          <w:tcPr/>
          <w:p>
            <w:pPr>
              <w:pStyle w:val="Compact"/>
              <w:jc w:val="right"/>
            </w:pPr>
            <w:r>
              <w:t xml:space="preserve">4.52</w:t>
            </w:r>
          </w:p>
        </w:tc>
        <w:tc>
          <w:tcPr/>
          <w:p>
            <w:pPr>
              <w:pStyle w:val="Compact"/>
              <w:jc w:val="left"/>
            </w:pPr>
            <w:r>
              <w:rPr>
                <w:rFonts w:hint="eastAsia"/>
              </w:rPr>
              <w:t xml:space="preserve">对照为朴素上一日基准，改善约</w:t>
            </w:r>
            <w:r>
              <w:t xml:space="preserve"> 23.2%</w:t>
            </w:r>
          </w:p>
        </w:tc>
      </w:tr>
      <w:tr>
        <w:tc>
          <w:tcPr/>
          <w:p>
            <w:pPr>
              <w:pStyle w:val="Compact"/>
              <w:jc w:val="left"/>
            </w:pPr>
            <w:r>
              <w:t xml:space="preserve">MAE</w:t>
            </w:r>
          </w:p>
        </w:tc>
        <w:tc>
          <w:tcPr/>
          <w:p>
            <w:pPr>
              <w:pStyle w:val="Compact"/>
              <w:jc w:val="right"/>
            </w:pPr>
            <w:r>
              <w:t xml:space="preserve">2.88</w:t>
            </w:r>
          </w:p>
        </w:tc>
        <w:tc>
          <w:tcPr/>
          <w:p>
            <w:pPr>
              <w:pStyle w:val="Compact"/>
              <w:jc w:val="right"/>
            </w:pPr>
            <w:r>
              <w:t xml:space="preserve">3.65</w:t>
            </w:r>
          </w:p>
        </w:tc>
        <w:tc>
          <w:tcPr/>
          <w:p>
            <w:pPr>
              <w:pStyle w:val="Compact"/>
              <w:jc w:val="left"/>
            </w:pPr>
            <w:r>
              <w:rPr>
                <w:rFonts w:hint="eastAsia"/>
              </w:rPr>
              <w:t xml:space="preserve">平均绝对误差低于朴素基准</w:t>
            </w:r>
          </w:p>
        </w:tc>
      </w:tr>
      <w:tr>
        <w:tc>
          <w:tcPr/>
          <w:p>
            <w:pPr>
              <w:pStyle w:val="Compact"/>
              <w:jc w:val="left"/>
            </w:pPr>
            <w:r>
              <w:t xml:space="preserve">MAPE</w:t>
            </w:r>
          </w:p>
        </w:tc>
        <w:tc>
          <w:tcPr/>
          <w:p>
            <w:pPr>
              <w:pStyle w:val="Compact"/>
              <w:jc w:val="right"/>
            </w:pPr>
            <w:r>
              <w:t xml:space="preserve">2.87%</w:t>
            </w:r>
          </w:p>
        </w:tc>
        <w:tc>
          <w:tcPr/>
          <w:p>
            <w:pPr>
              <w:pStyle w:val="Compact"/>
              <w:jc w:val="right"/>
            </w:pPr>
            <w:r>
              <w:t xml:space="preserve">3.62%</w:t>
            </w:r>
          </w:p>
        </w:tc>
        <w:tc>
          <w:tcPr/>
          <w:p>
            <w:pPr>
              <w:pStyle w:val="Compact"/>
              <w:jc w:val="left"/>
            </w:pPr>
            <w:r>
              <w:rPr>
                <w:rFonts w:hint="eastAsia"/>
              </w:rPr>
              <w:t xml:space="preserve">相对误差低于朴素基准</w:t>
            </w:r>
          </w:p>
        </w:tc>
      </w:tr>
      <w:tr>
        <w:tc>
          <w:tcPr/>
          <w:p>
            <w:pPr>
              <w:pStyle w:val="Compact"/>
              <w:jc w:val="left"/>
            </w:pPr>
            <w:r>
              <w:t xml:space="preserve">DM </w:t>
            </w:r>
            <w:r>
              <w:rPr>
                <w:rFonts w:hint="eastAsia"/>
              </w:rPr>
              <w:t xml:space="preserve">平方损失检验</w:t>
            </w:r>
          </w:p>
        </w:tc>
        <w:tc>
          <w:tcPr/>
          <w:p>
            <w:pPr>
              <w:pStyle w:val="Compact"/>
              <w:jc w:val="right"/>
            </w:pPr>
            <w:r>
              <w:t xml:space="preserve">-2.06</w:t>
            </w:r>
          </w:p>
        </w:tc>
        <w:tc>
          <w:tcPr/>
          <w:p>
            <w:pPr>
              <w:pStyle w:val="Compact"/>
              <w:jc w:val="right"/>
            </w:pPr>
            <w:r>
              <w:t xml:space="preserve">0.023</w:t>
            </w:r>
          </w:p>
        </w:tc>
        <w:tc>
          <w:tcPr/>
          <w:p>
            <w:pPr>
              <w:pStyle w:val="Compact"/>
              <w:jc w:val="left"/>
            </w:pPr>
            <w:r>
              <w:t xml:space="preserve">R </w:t>
            </w:r>
            <w:r>
              <w:rPr>
                <w:rFonts w:hint="eastAsia"/>
              </w:rPr>
              <w:t xml:space="preserve">独立复核下，单侧检验支持模型优于朴素基准</w:t>
            </w:r>
          </w:p>
        </w:tc>
      </w:tr>
      <w:tr>
        <w:tc>
          <w:tcPr/>
          <w:p>
            <w:pPr>
              <w:pStyle w:val="Compact"/>
              <w:jc w:val="left"/>
            </w:pPr>
            <w:r>
              <w:t xml:space="preserve">DM </w:t>
            </w:r>
            <w:r>
              <w:rPr>
                <w:rFonts w:hint="eastAsia"/>
              </w:rPr>
              <w:t xml:space="preserve">绝对损失检验</w:t>
            </w:r>
          </w:p>
        </w:tc>
        <w:tc>
          <w:tcPr/>
          <w:p>
            <w:pPr>
              <w:pStyle w:val="Compact"/>
              <w:jc w:val="right"/>
            </w:pPr>
            <w:r>
              <w:t xml:space="preserve">-1.68</w:t>
            </w:r>
          </w:p>
        </w:tc>
        <w:tc>
          <w:tcPr/>
          <w:p>
            <w:pPr>
              <w:pStyle w:val="Compact"/>
              <w:jc w:val="right"/>
            </w:pPr>
            <w:r>
              <w:t xml:space="preserve">0.050</w:t>
            </w:r>
          </w:p>
        </w:tc>
        <w:tc>
          <w:tcPr/>
          <w:p>
            <w:pPr>
              <w:pStyle w:val="Compact"/>
              <w:jc w:val="left"/>
            </w:pPr>
            <w:r>
              <w:rPr>
                <w:rFonts w:hint="eastAsia"/>
              </w:rPr>
              <w:t xml:space="preserve">绝对损失优势接近</w:t>
            </w:r>
            <w:r>
              <w:t xml:space="preserve"> 5% </w:t>
            </w:r>
            <w:r>
              <w:rPr>
                <w:rFonts w:hint="eastAsia"/>
              </w:rPr>
              <w:t xml:space="preserve">显著性边界</w:t>
            </w:r>
          </w:p>
        </w:tc>
      </w:tr>
      <w:tr>
        <w:tc>
          <w:tcPr/>
          <w:p>
            <w:pPr>
              <w:pStyle w:val="Compact"/>
              <w:jc w:val="left"/>
            </w:pPr>
            <w:r>
              <w:rPr>
                <w:rFonts w:hint="eastAsia"/>
              </w:rPr>
              <w:t xml:space="preserve">方向命中率</w:t>
            </w:r>
          </w:p>
        </w:tc>
        <w:tc>
          <w:tcPr/>
          <w:p>
            <w:pPr>
              <w:pStyle w:val="Compact"/>
              <w:jc w:val="right"/>
            </w:pPr>
            <w:r>
              <w:t xml:space="preserve">63.6%</w:t>
            </w:r>
          </w:p>
        </w:tc>
        <w:tc>
          <w:tcPr/>
          <w:p>
            <w:pPr>
              <w:pStyle w:val="Compact"/>
              <w:jc w:val="right"/>
            </w:pPr>
            <w:r>
              <w:t xml:space="preserve">0.048</w:t>
            </w:r>
          </w:p>
        </w:tc>
        <w:tc>
          <w:tcPr/>
          <w:p>
            <w:pPr>
              <w:pStyle w:val="Compact"/>
              <w:jc w:val="left"/>
            </w:pPr>
            <w:r>
              <w:rPr>
                <w:rFonts w:hint="eastAsia"/>
              </w:rPr>
              <w:t xml:space="preserve">相对随机</w:t>
            </w:r>
            <w:r>
              <w:t xml:space="preserve"> 50% </w:t>
            </w:r>
            <w:r>
              <w:rPr>
                <w:rFonts w:hint="eastAsia"/>
              </w:rPr>
              <w:t xml:space="preserve">的单侧二项检验</w:t>
            </w:r>
          </w:p>
        </w:tc>
      </w:tr>
      <w:tr>
        <w:tc>
          <w:tcPr/>
          <w:p>
            <w:pPr>
              <w:pStyle w:val="Compact"/>
              <w:jc w:val="left"/>
            </w:pPr>
            <w:r>
              <w:t xml:space="preserve">Ljung–Box lag10</w:t>
            </w:r>
          </w:p>
        </w:tc>
        <w:tc>
          <w:tcPr/>
          <w:p>
            <w:pPr>
              <w:pStyle w:val="Compact"/>
              <w:jc w:val="right"/>
            </w:pPr>
            <w:r>
              <w:t xml:space="preserve">10.92</w:t>
            </w:r>
          </w:p>
        </w:tc>
        <w:tc>
          <w:tcPr/>
          <w:p>
            <w:pPr>
              <w:pStyle w:val="Compact"/>
              <w:jc w:val="right"/>
            </w:pPr>
            <w:r>
              <w:t xml:space="preserve">0.364</w:t>
            </w:r>
          </w:p>
        </w:tc>
        <w:tc>
          <w:tcPr/>
          <w:p>
            <w:pPr>
              <w:pStyle w:val="Compact"/>
              <w:jc w:val="left"/>
            </w:pPr>
            <w:r>
              <w:rPr>
                <w:rFonts w:hint="eastAsia"/>
              </w:rPr>
              <w:t xml:space="preserve">未发现显著线性残差自相关</w:t>
            </w:r>
          </w:p>
        </w:tc>
      </w:tr>
      <w:tr>
        <w:tc>
          <w:tcPr/>
          <w:p>
            <w:pPr>
              <w:pStyle w:val="Compact"/>
              <w:jc w:val="left"/>
            </w:pPr>
            <w:r>
              <w:t xml:space="preserve">ARCH–LM lag5</w:t>
            </w:r>
          </w:p>
        </w:tc>
        <w:tc>
          <w:tcPr/>
          <w:p>
            <w:pPr>
              <w:pStyle w:val="Compact"/>
              <w:jc w:val="right"/>
            </w:pPr>
            <w:r>
              <w:t xml:space="preserve">5.22</w:t>
            </w:r>
          </w:p>
        </w:tc>
        <w:tc>
          <w:tcPr/>
          <w:p>
            <w:pPr>
              <w:pStyle w:val="Compact"/>
              <w:jc w:val="right"/>
            </w:pPr>
            <w:r>
              <w:t xml:space="preserve">0.389</w:t>
            </w:r>
          </w:p>
        </w:tc>
        <w:tc>
          <w:tcPr/>
          <w:p>
            <w:pPr>
              <w:pStyle w:val="Compact"/>
              <w:jc w:val="left"/>
            </w:pPr>
            <w:r>
              <w:rPr>
                <w:rFonts w:hint="eastAsia"/>
              </w:rPr>
              <w:t xml:space="preserve">未发现强条件异方差证据</w:t>
            </w:r>
          </w:p>
        </w:tc>
      </w:tr>
      <w:tr>
        <w:tc>
          <w:tcPr/>
          <w:p>
            <w:pPr>
              <w:pStyle w:val="Compact"/>
              <w:jc w:val="left"/>
            </w:pPr>
            <w:r>
              <w:t xml:space="preserve">Newey–West </w:t>
            </w:r>
            <w:r>
              <w:rPr>
                <w:rFonts w:hint="eastAsia"/>
              </w:rPr>
              <w:t xml:space="preserve">校准斜率</w:t>
            </w:r>
          </w:p>
        </w:tc>
        <w:tc>
          <w:tcPr/>
          <w:p>
            <w:pPr>
              <w:pStyle w:val="Compact"/>
              <w:jc w:val="right"/>
            </w:pPr>
            <w:r>
              <w:t xml:space="preserve">1.046</w:t>
            </w:r>
          </w:p>
        </w:tc>
        <w:tc>
          <w:tcPr/>
          <w:p>
            <w:pPr>
              <w:pStyle w:val="Compact"/>
              <w:jc w:val="right"/>
            </w:pPr>
            <m:oMath>
              <m:r>
                <m:rPr>
                  <m:sty m:val="p"/>
                </m:rPr>
                <m:t>&lt;</m:t>
              </m:r>
              <m:r>
                <m:t>0.001</m:t>
              </m:r>
            </m:oMath>
          </w:p>
        </w:tc>
        <w:tc>
          <w:tcPr/>
          <w:p>
            <w:pPr>
              <w:pStyle w:val="Compact"/>
              <w:jc w:val="left"/>
            </w:pPr>
            <w:r>
              <w:rPr>
                <w:rFonts w:hint="eastAsia"/>
              </w:rPr>
              <w:t xml:space="preserve">稳健标准误下拟合值与真实价格保持显著线性关系</w:t>
            </w:r>
          </w:p>
        </w:tc>
      </w:tr>
    </w:tbl>
    <w:p>
      <w:pPr>
        <w:pStyle w:val="CaptionedFigure"/>
      </w:pPr>
      <w:r>
        <w:drawing>
          <wp:inline>
            <wp:extent cx="4907280" cy="2826593"/>
            <wp:effectExtent b="0" l="0" r="0" t="0"/>
            <wp:docPr descr="" title="" id="67" name="Picture"/>
            <a:graphic>
              <a:graphicData uri="http://schemas.openxmlformats.org/drawingml/2006/picture">
                <pic:pic>
                  <pic:nvPicPr>
                    <pic:cNvPr descr="短期模型统计审计.png" id="68" name="Picture"/>
                    <pic:cNvPicPr>
                      <a:picLocks noChangeArrowheads="1" noChangeAspect="1"/>
                    </pic:cNvPicPr>
                  </pic:nvPicPr>
                  <pic:blipFill>
                    <a:blip r:embed="rId66"/>
                    <a:stretch>
                      <a:fillRect/>
                    </a:stretch>
                  </pic:blipFill>
                  <pic:spPr bwMode="auto">
                    <a:xfrm>
                      <a:off x="0" y="0"/>
                      <a:ext cx="4907280" cy="2826593"/>
                    </a:xfrm>
                    <a:prstGeom prst="rect">
                      <a:avLst/>
                    </a:prstGeom>
                    <a:noFill/>
                    <a:ln w="9525">
                      <a:noFill/>
                      <a:headEnd/>
                      <a:tailEnd/>
                    </a:ln>
                  </pic:spPr>
                </pic:pic>
              </a:graphicData>
            </a:graphic>
          </wp:inline>
        </w:drawing>
      </w:r>
    </w:p>
    <w:p>
      <w:pPr>
        <w:pStyle w:val="ImageCaption"/>
      </w:pPr>
      <w:r>
        <w:rPr>
          <w:rFonts w:hint="eastAsia"/>
        </w:rPr>
        <w:t xml:space="preserve">短期模型统计审计。图中展示残差序列、残差自相关、残差分布和相对朴素基准的平方损失差。</w:t>
      </w:r>
    </w:p>
    <w:p>
      <w:pPr>
        <w:pStyle w:val="BodyText"/>
      </w:pPr>
      <w:r>
        <w:rPr>
          <w:rFonts w:hint="eastAsia"/>
        </w:rPr>
        <w:t xml:space="preserve">分段统计也给出一个更细的判断：前段冲击吸收和后段预期修复阶段，本文模型相对朴素基准的</w:t>
      </w:r>
      <w:r>
        <w:t xml:space="preserve"> RMSE </w:t>
      </w:r>
      <w:r>
        <w:rPr>
          <w:rFonts w:hint="eastAsia"/>
        </w:rPr>
        <w:t xml:space="preserve">改善率分别约为</w:t>
      </w:r>
      <w:r>
        <w:t xml:space="preserve"> 33.4% </w:t>
      </w:r>
      <w:r>
        <w:rPr>
          <w:rFonts w:hint="eastAsia"/>
        </w:rPr>
        <w:t xml:space="preserve">和</w:t>
      </w:r>
      <w:r>
        <w:t xml:space="preserve"> </w:t>
      </w:r>
      <w:r>
        <w:rPr>
          <w:rFonts w:hint="eastAsia"/>
        </w:rPr>
        <w:t xml:space="preserve">34.1%；中段平台维持阶段改善率约为</w:t>
      </w:r>
      <w:r>
        <w:t xml:space="preserve"> </w:t>
      </w:r>
      <w:r>
        <w:rPr>
          <w:rFonts w:hint="eastAsia"/>
        </w:rPr>
        <w:t xml:space="preserve">3.9%，说明平台震荡期仍是后续优化重点。总体看，DM</w:t>
      </w:r>
      <w:r>
        <w:t xml:space="preserve"> </w:t>
      </w:r>
      <w:r>
        <w:rPr>
          <w:rFonts w:hint="eastAsia"/>
        </w:rPr>
        <w:t xml:space="preserve">检验和方向命中检验提供了支持性统计证据，但样本只有</w:t>
      </w:r>
      <w:r>
        <w:t xml:space="preserve"> 45 </w:t>
      </w:r>
      <w:r>
        <w:rPr>
          <w:rFonts w:hint="eastAsia"/>
        </w:rPr>
        <w:t xml:space="preserve">个可比较交易日，本文不把它写成压倒性证明，而是作为基准对比、滞后检验和机制消融之外的补充验证。</w:t>
      </w:r>
    </w:p>
    <w:p>
      <w:pPr>
        <w:pStyle w:val="BodyText"/>
      </w:pPr>
      <w:r>
        <w:t xml:space="preserve">R </w:t>
      </w:r>
      <w:r>
        <w:rPr>
          <w:rFonts w:hint="eastAsia"/>
        </w:rPr>
        <w:t xml:space="preserve">语言在本文中的定位是计量审计辅助层，而不是替代</w:t>
      </w:r>
      <w:r>
        <w:t xml:space="preserve"> Python </w:t>
      </w:r>
      <w:r>
        <w:rPr>
          <w:rFonts w:hint="eastAsia"/>
        </w:rPr>
        <w:t xml:space="preserve">主模型。当前项目已保留可选</w:t>
      </w:r>
      <w:r>
        <w:t xml:space="preserve"> R </w:t>
      </w:r>
      <w:r>
        <w:rPr>
          <w:rFonts w:hint="eastAsia"/>
        </w:rPr>
        <w:t xml:space="preserve">审计脚本，用于独立复核</w:t>
      </w:r>
      <w:r>
        <w:t xml:space="preserve"> DM </w:t>
      </w:r>
      <w:r>
        <w:rPr>
          <w:rFonts w:hint="eastAsia"/>
        </w:rPr>
        <w:t xml:space="preserve">检验、方向检验、Ljung–Box</w:t>
      </w:r>
      <w:r>
        <w:t xml:space="preserve"> </w:t>
      </w:r>
      <w:r>
        <w:rPr>
          <w:rFonts w:hint="eastAsia"/>
        </w:rPr>
        <w:t xml:space="preserve">残差诊断，并补充</w:t>
      </w:r>
      <w:r>
        <w:t xml:space="preserve"> ADF </w:t>
      </w:r>
      <w:r>
        <w:rPr>
          <w:rFonts w:hint="eastAsia"/>
        </w:rPr>
        <w:t xml:space="preserve">平稳性检验、ARCH/GARCH</w:t>
      </w:r>
      <w:r>
        <w:t xml:space="preserve"> </w:t>
      </w:r>
      <w:r>
        <w:rPr>
          <w:rFonts w:hint="eastAsia"/>
        </w:rPr>
        <w:t xml:space="preserve">波动聚集审计和</w:t>
      </w:r>
      <w:r>
        <w:t xml:space="preserve"> Newey–West </w:t>
      </w:r>
      <w:r>
        <w:rPr>
          <w:rFonts w:hint="eastAsia"/>
        </w:rPr>
        <w:t xml:space="preserve">稳健校准回归。R</w:t>
      </w:r>
      <w:r>
        <w:t xml:space="preserve"> </w:t>
      </w:r>
      <w:r>
        <w:rPr>
          <w:rFonts w:hint="eastAsia"/>
        </w:rPr>
        <w:t xml:space="preserve">审计显示，价格水平和对数价格不能拒绝单位根假设，而对数收益率可拒绝单位根假设，这与金融时间序列通常应在收益率层面开展统计建模的经验一致；GARCH(1,1)</w:t>
      </w:r>
      <w:r>
        <w:t xml:space="preserve"> </w:t>
      </w:r>
      <w:r>
        <w:rPr>
          <w:rFonts w:hint="eastAsia"/>
        </w:rPr>
        <w:t xml:space="preserve">在短样本下给出较高波动持续性，仅作为冲突窗口波动聚集的提示，不替代机制递推主模型。主模型仍由</w:t>
      </w:r>
      <w:r>
        <w:t xml:space="preserve"> Python </w:t>
      </w:r>
      <w:r>
        <w:rPr>
          <w:rFonts w:hint="eastAsia"/>
        </w:rPr>
        <w:t xml:space="preserve">完整复现，避免在交付阶段引入不必要的多语言依赖。</w:t>
      </w:r>
    </w:p>
    <w:bookmarkEnd w:id="69"/>
    <w:bookmarkStart w:id="70" w:name="机制消融的定量证据"/>
    <w:p>
      <w:pPr>
        <w:pStyle w:val="Heading2"/>
      </w:pPr>
      <w:r>
        <w:rPr>
          <w:rFonts w:hint="eastAsia"/>
        </w:rPr>
        <w:t xml:space="preserve">机制消融的定量证据</w:t>
      </w:r>
    </w:p>
    <w:p>
      <w:pPr>
        <w:pStyle w:val="FirstParagraph"/>
      </w:pPr>
      <w:r>
        <w:rPr>
          <w:rFonts w:hint="eastAsia"/>
        </w:rPr>
        <w:t xml:space="preserve">为了进一步回答</w:t>
      </w:r>
      <w:r>
        <w:rPr>
          <w:rFonts w:hint="eastAsia"/>
        </w:rPr>
        <w:t xml:space="preserve">“扩展机制是不是为了拟合曲线而硬加的补丁”</w:t>
      </w:r>
      <w:r>
        <w:rPr>
          <w:rFonts w:hint="eastAsia"/>
        </w:rPr>
        <w:t xml:space="preserve">，本文对完整模型进行逐项消融：关闭某一机制时，其他参数保持不变，不重新校准。这样做的含义是检验单个机制在同一参数体系下的边际贡献，而不是重新给每个缺失机制模型寻找最优参数。</w:t>
      </w:r>
    </w:p>
    <w:p>
      <w:pPr>
        <w:pStyle w:val="TableCaption"/>
      </w:pPr>
      <w:r>
        <w:rPr>
          <w:rFonts w:hint="eastAsia"/>
        </w:rPr>
        <w:t xml:space="preserve">短期模型机制消融实验</w:t>
      </w:r>
    </w:p>
    <w:tbl>
      <w:tblPr>
        <w:tblStyle w:val="Table"/>
        <w:tblW w:type="auto" w:w="0"/>
        <w:tblLook w:firstRow="1" w:lastRow="0" w:firstColumn="0" w:lastColumn="0" w:noHBand="0" w:noVBand="0" w:val="0020"/>
        <w:tblCaption w:val="短期模型机制消融实验"/>
      </w:tblPr>
      <w:tblGrid>
        <w:gridCol w:w="1584"/>
        <w:gridCol w:w="1584"/>
        <w:gridCol w:w="1584"/>
        <w:gridCol w:w="1584"/>
        <w:gridCol w:w="1584"/>
      </w:tblGrid>
      <w:tr>
        <w:trPr>
          <w:tblHeader w:val="on"/>
        </w:trPr>
        <w:tc>
          <w:tcPr/>
          <w:p>
            <w:pPr>
              <w:pStyle w:val="Compact"/>
              <w:jc w:val="left"/>
            </w:pPr>
            <w:r>
              <w:rPr>
                <w:rFonts w:hint="eastAsia"/>
              </w:rPr>
              <w:t xml:space="preserve">消融实验</w:t>
            </w:r>
          </w:p>
        </w:tc>
        <w:tc>
          <w:tcPr/>
          <w:p>
            <w:pPr>
              <w:pStyle w:val="Compact"/>
              <w:jc w:val="right"/>
            </w:pPr>
            <w:r>
              <w:t xml:space="preserve">RMSE</w:t>
            </w:r>
          </w:p>
        </w:tc>
        <w:tc>
          <w:tcPr/>
          <w:p>
            <w:pPr>
              <w:pStyle w:val="Compact"/>
              <w:jc w:val="right"/>
            </w:pPr>
            <w:r>
              <w:rPr>
                <w:rFonts w:hint="eastAsia"/>
              </w:rPr>
              <w:t xml:space="preserve">RMSE变化</w:t>
            </w:r>
          </w:p>
        </w:tc>
        <w:tc>
          <w:tcPr/>
          <w:p>
            <w:pPr>
              <w:pStyle w:val="Compact"/>
              <w:jc w:val="right"/>
            </w:pPr>
            <w:r>
              <w:rPr>
                <w:rFonts w:hint="eastAsia"/>
              </w:rPr>
              <w:t xml:space="preserve">后期RMSE</w:t>
            </w:r>
          </w:p>
        </w:tc>
        <w:tc>
          <w:tcPr/>
          <w:p>
            <w:pPr>
              <w:pStyle w:val="Compact"/>
              <w:jc w:val="right"/>
            </w:pPr>
            <w:r>
              <w:rPr>
                <w:rFonts w:hint="eastAsia"/>
              </w:rPr>
              <w:t xml:space="preserve">低价回落RMSE</w:t>
            </w:r>
          </w:p>
        </w:tc>
      </w:tr>
      <w:tr>
        <w:tc>
          <w:tcPr/>
          <w:p>
            <w:pPr>
              <w:pStyle w:val="Compact"/>
              <w:jc w:val="left"/>
            </w:pPr>
            <w:r>
              <w:rPr>
                <w:rFonts w:hint="eastAsia"/>
              </w:rPr>
              <w:t xml:space="preserve">完整模型</w:t>
            </w:r>
          </w:p>
        </w:tc>
        <w:tc>
          <w:tcPr/>
          <w:p>
            <w:pPr>
              <w:pStyle w:val="Compact"/>
              <w:jc w:val="right"/>
            </w:pPr>
            <w:r>
              <w:t xml:space="preserve">3.44</w:t>
            </w:r>
          </w:p>
        </w:tc>
        <w:tc>
          <w:tcPr/>
          <w:p>
            <w:pPr>
              <w:pStyle w:val="Compact"/>
              <w:jc w:val="right"/>
            </w:pPr>
            <w:r>
              <w:t xml:space="preserve">0.00</w:t>
            </w:r>
          </w:p>
        </w:tc>
        <w:tc>
          <w:tcPr/>
          <w:p>
            <w:pPr>
              <w:pStyle w:val="Compact"/>
              <w:jc w:val="right"/>
            </w:pPr>
            <w:r>
              <w:t xml:space="preserve">2.81</w:t>
            </w:r>
          </w:p>
        </w:tc>
        <w:tc>
          <w:tcPr/>
          <w:p>
            <w:pPr>
              <w:pStyle w:val="Compact"/>
              <w:jc w:val="right"/>
            </w:pPr>
            <w:r>
              <w:t xml:space="preserve">3.38</w:t>
            </w:r>
          </w:p>
        </w:tc>
      </w:tr>
      <w:tr>
        <w:tc>
          <w:tcPr/>
          <w:p>
            <w:pPr>
              <w:pStyle w:val="Compact"/>
              <w:jc w:val="left"/>
            </w:pPr>
            <w:r>
              <w:rPr>
                <w:rFonts w:hint="eastAsia"/>
              </w:rPr>
              <w:t xml:space="preserve">无</w:t>
            </w:r>
            <w:r>
              <w:t xml:space="preserve"> SPR</w:t>
            </w:r>
          </w:p>
        </w:tc>
        <w:tc>
          <w:tcPr/>
          <w:p>
            <w:pPr>
              <w:pStyle w:val="Compact"/>
              <w:jc w:val="right"/>
            </w:pPr>
            <w:r>
              <w:t xml:space="preserve">5.86</w:t>
            </w:r>
          </w:p>
        </w:tc>
        <w:tc>
          <w:tcPr/>
          <w:p>
            <w:pPr>
              <w:pStyle w:val="Compact"/>
              <w:jc w:val="right"/>
            </w:pPr>
            <w:r>
              <w:t xml:space="preserve">+2.42</w:t>
            </w:r>
          </w:p>
        </w:tc>
        <w:tc>
          <w:tcPr/>
          <w:p>
            <w:pPr>
              <w:pStyle w:val="Compact"/>
              <w:jc w:val="right"/>
            </w:pPr>
            <w:r>
              <w:t xml:space="preserve">5.84</w:t>
            </w:r>
          </w:p>
        </w:tc>
        <w:tc>
          <w:tcPr/>
          <w:p>
            <w:pPr>
              <w:pStyle w:val="Compact"/>
              <w:jc w:val="right"/>
            </w:pPr>
            <w:r>
              <w:t xml:space="preserve">6.46</w:t>
            </w:r>
          </w:p>
        </w:tc>
      </w:tr>
      <w:tr>
        <w:tc>
          <w:tcPr/>
          <w:p>
            <w:pPr>
              <w:pStyle w:val="Compact"/>
              <w:jc w:val="left"/>
            </w:pPr>
            <w:r>
              <w:rPr>
                <w:rFonts w:hint="eastAsia"/>
              </w:rPr>
              <w:t xml:space="preserve">无库存</w:t>
            </w:r>
          </w:p>
        </w:tc>
        <w:tc>
          <w:tcPr/>
          <w:p>
            <w:pPr>
              <w:pStyle w:val="Compact"/>
              <w:jc w:val="right"/>
            </w:pPr>
            <w:r>
              <w:t xml:space="preserve">3.47</w:t>
            </w:r>
          </w:p>
        </w:tc>
        <w:tc>
          <w:tcPr/>
          <w:p>
            <w:pPr>
              <w:pStyle w:val="Compact"/>
              <w:jc w:val="right"/>
            </w:pPr>
            <w:r>
              <w:t xml:space="preserve">+0.03</w:t>
            </w:r>
          </w:p>
        </w:tc>
        <w:tc>
          <w:tcPr/>
          <w:p>
            <w:pPr>
              <w:pStyle w:val="Compact"/>
              <w:jc w:val="right"/>
            </w:pPr>
            <w:r>
              <w:t xml:space="preserve">2.75</w:t>
            </w:r>
          </w:p>
        </w:tc>
        <w:tc>
          <w:tcPr/>
          <w:p>
            <w:pPr>
              <w:pStyle w:val="Compact"/>
              <w:jc w:val="right"/>
            </w:pPr>
            <w:r>
              <w:t xml:space="preserve">3.55</w:t>
            </w:r>
          </w:p>
        </w:tc>
      </w:tr>
      <w:tr>
        <w:tc>
          <w:tcPr/>
          <w:p>
            <w:pPr>
              <w:pStyle w:val="Compact"/>
              <w:jc w:val="left"/>
            </w:pPr>
            <w:r>
              <w:rPr>
                <w:rFonts w:hint="eastAsia"/>
              </w:rPr>
              <w:t xml:space="preserve">无绕道</w:t>
            </w:r>
          </w:p>
        </w:tc>
        <w:tc>
          <w:tcPr/>
          <w:p>
            <w:pPr>
              <w:pStyle w:val="Compact"/>
              <w:jc w:val="right"/>
            </w:pPr>
            <w:r>
              <w:t xml:space="preserve">3.46</w:t>
            </w:r>
          </w:p>
        </w:tc>
        <w:tc>
          <w:tcPr/>
          <w:p>
            <w:pPr>
              <w:pStyle w:val="Compact"/>
              <w:jc w:val="right"/>
            </w:pPr>
            <w:r>
              <w:t xml:space="preserve">+0.02</w:t>
            </w:r>
          </w:p>
        </w:tc>
        <w:tc>
          <w:tcPr/>
          <w:p>
            <w:pPr>
              <w:pStyle w:val="Compact"/>
              <w:jc w:val="right"/>
            </w:pPr>
            <w:r>
              <w:t xml:space="preserve">2.75</w:t>
            </w:r>
          </w:p>
        </w:tc>
        <w:tc>
          <w:tcPr/>
          <w:p>
            <w:pPr>
              <w:pStyle w:val="Compact"/>
              <w:jc w:val="right"/>
            </w:pPr>
            <w:r>
              <w:t xml:space="preserve">3.47</w:t>
            </w:r>
          </w:p>
        </w:tc>
      </w:tr>
      <w:tr>
        <w:tc>
          <w:tcPr/>
          <w:p>
            <w:pPr>
              <w:pStyle w:val="Compact"/>
              <w:jc w:val="left"/>
            </w:pPr>
            <w:r>
              <w:rPr>
                <w:rFonts w:hint="eastAsia"/>
              </w:rPr>
              <w:t xml:space="preserve">无需求收缩</w:t>
            </w:r>
          </w:p>
        </w:tc>
        <w:tc>
          <w:tcPr/>
          <w:p>
            <w:pPr>
              <w:pStyle w:val="Compact"/>
              <w:jc w:val="right"/>
            </w:pPr>
            <w:r>
              <w:t xml:space="preserve">4.64</w:t>
            </w:r>
          </w:p>
        </w:tc>
        <w:tc>
          <w:tcPr/>
          <w:p>
            <w:pPr>
              <w:pStyle w:val="Compact"/>
              <w:jc w:val="right"/>
            </w:pPr>
            <w:r>
              <w:t xml:space="preserve">+1.20</w:t>
            </w:r>
          </w:p>
        </w:tc>
        <w:tc>
          <w:tcPr/>
          <w:p>
            <w:pPr>
              <w:pStyle w:val="Compact"/>
              <w:jc w:val="right"/>
            </w:pPr>
            <w:r>
              <w:t xml:space="preserve">2.69</w:t>
            </w:r>
          </w:p>
        </w:tc>
        <w:tc>
          <w:tcPr/>
          <w:p>
            <w:pPr>
              <w:pStyle w:val="Compact"/>
              <w:jc w:val="right"/>
            </w:pPr>
            <w:r>
              <w:t xml:space="preserve">5.16</w:t>
            </w:r>
          </w:p>
        </w:tc>
      </w:tr>
      <w:tr>
        <w:tc>
          <w:tcPr/>
          <w:p>
            <w:pPr>
              <w:pStyle w:val="Compact"/>
              <w:jc w:val="left"/>
            </w:pPr>
            <w:r>
              <w:rPr>
                <w:rFonts w:hint="eastAsia"/>
              </w:rPr>
              <w:t xml:space="preserve">无恐慌溢价</w:t>
            </w:r>
          </w:p>
        </w:tc>
        <w:tc>
          <w:tcPr/>
          <w:p>
            <w:pPr>
              <w:pStyle w:val="Compact"/>
              <w:jc w:val="right"/>
            </w:pPr>
            <w:r>
              <w:t xml:space="preserve">3.62</w:t>
            </w:r>
          </w:p>
        </w:tc>
        <w:tc>
          <w:tcPr/>
          <w:p>
            <w:pPr>
              <w:pStyle w:val="Compact"/>
              <w:jc w:val="right"/>
            </w:pPr>
            <w:r>
              <w:t xml:space="preserve">+0.18</w:t>
            </w:r>
          </w:p>
        </w:tc>
        <w:tc>
          <w:tcPr/>
          <w:p>
            <w:pPr>
              <w:pStyle w:val="Compact"/>
              <w:jc w:val="right"/>
            </w:pPr>
            <w:r>
              <w:t xml:space="preserve">2.79</w:t>
            </w:r>
          </w:p>
        </w:tc>
        <w:tc>
          <w:tcPr/>
          <w:p>
            <w:pPr>
              <w:pStyle w:val="Compact"/>
              <w:jc w:val="right"/>
            </w:pPr>
            <w:r>
              <w:t xml:space="preserve">3.43</w:t>
            </w:r>
          </w:p>
        </w:tc>
      </w:tr>
      <w:tr>
        <w:tc>
          <w:tcPr/>
          <w:p>
            <w:pPr>
              <w:pStyle w:val="Compact"/>
              <w:jc w:val="left"/>
            </w:pPr>
            <w:r>
              <w:rPr>
                <w:rFonts w:hint="eastAsia"/>
              </w:rPr>
              <w:t xml:space="preserve">无风险溢价</w:t>
            </w:r>
          </w:p>
        </w:tc>
        <w:tc>
          <w:tcPr/>
          <w:p>
            <w:pPr>
              <w:pStyle w:val="Compact"/>
              <w:jc w:val="right"/>
            </w:pPr>
            <w:r>
              <w:t xml:space="preserve">30.69</w:t>
            </w:r>
          </w:p>
        </w:tc>
        <w:tc>
          <w:tcPr/>
          <w:p>
            <w:pPr>
              <w:pStyle w:val="Compact"/>
              <w:jc w:val="right"/>
            </w:pPr>
            <w:r>
              <w:t xml:space="preserve">+27.25</w:t>
            </w:r>
          </w:p>
        </w:tc>
        <w:tc>
          <w:tcPr/>
          <w:p>
            <w:pPr>
              <w:pStyle w:val="Compact"/>
              <w:jc w:val="right"/>
            </w:pPr>
            <w:r>
              <w:t xml:space="preserve">36.02</w:t>
            </w:r>
          </w:p>
        </w:tc>
        <w:tc>
          <w:tcPr/>
          <w:p>
            <w:pPr>
              <w:pStyle w:val="Compact"/>
              <w:jc w:val="right"/>
            </w:pPr>
            <w:r>
              <w:t xml:space="preserve">25.71</w:t>
            </w:r>
          </w:p>
        </w:tc>
      </w:tr>
      <w:tr>
        <w:tc>
          <w:tcPr/>
          <w:p>
            <w:pPr>
              <w:pStyle w:val="Compact"/>
              <w:jc w:val="left"/>
            </w:pPr>
            <w:r>
              <w:rPr>
                <w:rFonts w:hint="eastAsia"/>
              </w:rPr>
              <w:t xml:space="preserve">无缓冲折价</w:t>
            </w:r>
          </w:p>
        </w:tc>
        <w:tc>
          <w:tcPr/>
          <w:p>
            <w:pPr>
              <w:pStyle w:val="Compact"/>
              <w:jc w:val="right"/>
            </w:pPr>
            <w:r>
              <w:t xml:space="preserve">5.07</w:t>
            </w:r>
          </w:p>
        </w:tc>
        <w:tc>
          <w:tcPr/>
          <w:p>
            <w:pPr>
              <w:pStyle w:val="Compact"/>
              <w:jc w:val="right"/>
            </w:pPr>
            <w:r>
              <w:t xml:space="preserve">+1.63</w:t>
            </w:r>
          </w:p>
        </w:tc>
        <w:tc>
          <w:tcPr/>
          <w:p>
            <w:pPr>
              <w:pStyle w:val="Compact"/>
              <w:jc w:val="right"/>
            </w:pPr>
            <w:r>
              <w:t xml:space="preserve">4.33</w:t>
            </w:r>
          </w:p>
        </w:tc>
        <w:tc>
          <w:tcPr/>
          <w:p>
            <w:pPr>
              <w:pStyle w:val="Compact"/>
              <w:jc w:val="right"/>
            </w:pPr>
            <w:r>
              <w:t xml:space="preserve">6.18</w:t>
            </w:r>
          </w:p>
        </w:tc>
      </w:tr>
      <w:tr>
        <w:tc>
          <w:tcPr/>
          <w:p>
            <w:pPr>
              <w:pStyle w:val="Compact"/>
              <w:jc w:val="left"/>
            </w:pPr>
            <w:r>
              <w:rPr>
                <w:rFonts w:hint="eastAsia"/>
              </w:rPr>
              <w:t xml:space="preserve">无修复折价</w:t>
            </w:r>
          </w:p>
        </w:tc>
        <w:tc>
          <w:tcPr/>
          <w:p>
            <w:pPr>
              <w:pStyle w:val="Compact"/>
              <w:jc w:val="right"/>
            </w:pPr>
            <w:r>
              <w:t xml:space="preserve">7.31</w:t>
            </w:r>
          </w:p>
        </w:tc>
        <w:tc>
          <w:tcPr/>
          <w:p>
            <w:pPr>
              <w:pStyle w:val="Compact"/>
              <w:jc w:val="right"/>
            </w:pPr>
            <w:r>
              <w:t xml:space="preserve">+3.87</w:t>
            </w:r>
          </w:p>
        </w:tc>
        <w:tc>
          <w:tcPr/>
          <w:p>
            <w:pPr>
              <w:pStyle w:val="Compact"/>
              <w:jc w:val="right"/>
            </w:pPr>
            <w:r>
              <w:t xml:space="preserve">10.09</w:t>
            </w:r>
          </w:p>
        </w:tc>
        <w:tc>
          <w:tcPr/>
          <w:p>
            <w:pPr>
              <w:pStyle w:val="Compact"/>
              <w:jc w:val="right"/>
            </w:pPr>
            <w:r>
              <w:t xml:space="preserve">9.77</w:t>
            </w:r>
          </w:p>
        </w:tc>
      </w:tr>
      <w:tr>
        <w:tc>
          <w:tcPr/>
          <w:p>
            <w:pPr>
              <w:pStyle w:val="Compact"/>
              <w:jc w:val="left"/>
            </w:pPr>
            <w:r>
              <w:rPr>
                <w:rFonts w:hint="eastAsia"/>
              </w:rPr>
              <w:t xml:space="preserve">无市场修正</w:t>
            </w:r>
          </w:p>
        </w:tc>
        <w:tc>
          <w:tcPr/>
          <w:p>
            <w:pPr>
              <w:pStyle w:val="Compact"/>
              <w:jc w:val="right"/>
            </w:pPr>
            <w:r>
              <w:t xml:space="preserve">26.99</w:t>
            </w:r>
          </w:p>
        </w:tc>
        <w:tc>
          <w:tcPr/>
          <w:p>
            <w:pPr>
              <w:pStyle w:val="Compact"/>
              <w:jc w:val="right"/>
            </w:pPr>
            <w:r>
              <w:t xml:space="preserve">+23.55</w:t>
            </w:r>
          </w:p>
        </w:tc>
        <w:tc>
          <w:tcPr/>
          <w:p>
            <w:pPr>
              <w:pStyle w:val="Compact"/>
              <w:jc w:val="right"/>
            </w:pPr>
            <w:r>
              <w:t xml:space="preserve">29.33</w:t>
            </w:r>
          </w:p>
        </w:tc>
        <w:tc>
          <w:tcPr/>
          <w:p>
            <w:pPr>
              <w:pStyle w:val="Compact"/>
              <w:jc w:val="right"/>
            </w:pPr>
            <w:r>
              <w:t xml:space="preserve">18.90</w:t>
            </w:r>
          </w:p>
        </w:tc>
      </w:tr>
    </w:tbl>
    <w:p>
      <w:pPr>
        <w:pStyle w:val="BodyText"/>
      </w:pPr>
      <w:r>
        <w:rPr>
          <w:rFonts w:hint="eastAsia"/>
        </w:rPr>
        <w:t xml:space="preserve">消融结果可以分成两层理解。第一层是题面物理层：SPR</w:t>
      </w:r>
      <w:r>
        <w:t xml:space="preserve"> </w:t>
      </w:r>
      <w:r>
        <w:rPr>
          <w:rFonts w:hint="eastAsia"/>
        </w:rPr>
        <w:t xml:space="preserve">释放和需求收缩的影响最清楚，去除</w:t>
      </w:r>
      <w:r>
        <w:t xml:space="preserve"> SPR </w:t>
      </w:r>
      <w:r>
        <w:rPr>
          <w:rFonts w:hint="eastAsia"/>
        </w:rPr>
        <w:t xml:space="preserve">后</w:t>
      </w:r>
      <w:r>
        <w:t xml:space="preserve"> RMSE </w:t>
      </w:r>
      <w:r>
        <w:rPr>
          <w:rFonts w:hint="eastAsia"/>
        </w:rPr>
        <w:t xml:space="preserve">从</w:t>
      </w:r>
      <w:r>
        <w:t xml:space="preserve"> 3.44 </w:t>
      </w:r>
      <w:r>
        <w:rPr>
          <w:rFonts w:hint="eastAsia"/>
        </w:rPr>
        <w:t xml:space="preserve">升至</w:t>
      </w:r>
      <w:r>
        <w:t xml:space="preserve"> </w:t>
      </w:r>
      <w:r>
        <w:rPr>
          <w:rFonts w:hint="eastAsia"/>
        </w:rPr>
        <w:t xml:space="preserve">5.86，去除需求收缩后低价回落</w:t>
      </w:r>
      <w:r>
        <w:t xml:space="preserve"> RMSE </w:t>
      </w:r>
      <w:r>
        <w:rPr>
          <w:rFonts w:hint="eastAsia"/>
        </w:rPr>
        <w:t xml:space="preserve">升至</w:t>
      </w:r>
      <w:r>
        <w:t xml:space="preserve"> </w:t>
      </w:r>
      <w:r>
        <w:rPr>
          <w:rFonts w:hint="eastAsia"/>
        </w:rPr>
        <w:t xml:space="preserve">5.16，说明政策缓冲和需求侧调整不是装饰项。商业库存与绕道运输在</w:t>
      </w:r>
      <w:r>
        <w:t xml:space="preserve"> 46 </w:t>
      </w:r>
      <w:r>
        <w:rPr>
          <w:rFonts w:hint="eastAsia"/>
        </w:rPr>
        <w:t xml:space="preserve">个交易日短窗口内边际影响较小，但它们在</w:t>
      </w:r>
      <w:r>
        <w:t xml:space="preserve"> 60–180 </w:t>
      </w:r>
      <w:r>
        <w:rPr>
          <w:rFonts w:hint="eastAsia"/>
        </w:rPr>
        <w:t xml:space="preserve">天预测中会影响库存压力、剩余缺口和二次跳涨风险，因此不应因为短窗口贡献小就从长期模型中删除。</w:t>
      </w:r>
    </w:p>
    <w:p>
      <w:pPr>
        <w:pStyle w:val="BodyText"/>
      </w:pPr>
      <w:r>
        <w:rPr>
          <w:rFonts w:hint="eastAsia"/>
        </w:rPr>
        <w:t xml:space="preserve">第二层是市场价格形成层：风险与不确定性溢价负责解释价格快速进入高位平台，缓冲确认折价和预期修复折价负责解释后期再定价。若去除预期修复折价，后期</w:t>
      </w:r>
      <w:r>
        <w:t xml:space="preserve"> RMSE </w:t>
      </w:r>
      <w:r>
        <w:rPr>
          <w:rFonts w:hint="eastAsia"/>
        </w:rPr>
        <w:t xml:space="preserve">从</w:t>
      </w:r>
      <w:r>
        <w:t xml:space="preserve"> 2.81 </w:t>
      </w:r>
      <w:r>
        <w:rPr>
          <w:rFonts w:hint="eastAsia"/>
        </w:rPr>
        <w:t xml:space="preserve">升至</w:t>
      </w:r>
      <w:r>
        <w:t xml:space="preserve"> </w:t>
      </w:r>
      <w:r>
        <w:rPr>
          <w:rFonts w:hint="eastAsia"/>
        </w:rPr>
        <w:t xml:space="preserve">10.09，说明市场对政策缓冲和运输恢复的预期并不是可有可无的修饰，而是解释后期回落的关键机制。</w:t>
      </w:r>
    </w:p>
    <w:bookmarkEnd w:id="70"/>
    <w:bookmarkStart w:id="74" w:name="拐点预测步长与事件边界"/>
    <w:p>
      <w:pPr>
        <w:pStyle w:val="Heading2"/>
      </w:pPr>
      <w:r>
        <w:rPr>
          <w:rFonts w:hint="eastAsia"/>
        </w:rPr>
        <w:t xml:space="preserve">拐点、预测步长与事件边界</w:t>
      </w:r>
    </w:p>
    <w:p>
      <w:pPr>
        <w:pStyle w:val="FirstParagraph"/>
      </w:pPr>
      <w:r>
        <w:rPr>
          <w:rFonts w:hint="eastAsia"/>
        </w:rPr>
        <w:t xml:space="preserve">本文模型不是普通日度交易意义上的</w:t>
      </w:r>
      <w:r>
        <w:t xml:space="preserve"> </w:t>
      </w:r>
      <m:oMath>
        <m:r>
          <m:t>T</m:t>
        </m:r>
        <m:r>
          <m:rPr>
            <m:sty m:val="p"/>
          </m:rPr>
          <m:t>+</m:t>
        </m:r>
        <m:r>
          <m:t>1</m:t>
        </m:r>
      </m:oMath>
      <w:r>
        <w:t xml:space="preserve"> </w:t>
      </w:r>
      <w:r>
        <w:rPr>
          <w:rFonts w:hint="eastAsia"/>
        </w:rPr>
        <w:t xml:space="preserve">预测器，而是条件机制递推模型。模型给定冲突开始、题面参数和校准参数后，从初始价格开始逐日递推；真实价格只用于参数校准和事后评价，不在每日递推时作为当日输入。因此，RMSE</w:t>
      </w:r>
      <w:r>
        <w:t xml:space="preserve"> </w:t>
      </w:r>
      <w:r>
        <w:rPr>
          <w:rFonts w:hint="eastAsia"/>
        </w:rPr>
        <w:t xml:space="preserve">为</w:t>
      </w:r>
      <w:r>
        <w:t xml:space="preserve"> 3.44 </w:t>
      </w:r>
      <w:r>
        <w:rPr>
          <w:rFonts w:hint="eastAsia"/>
        </w:rPr>
        <w:t xml:space="preserve">的含义是模型对整段冲突路径的条件解释误差，而不是在普通市场环境下每天预测明天价格的交易误差。</w:t>
      </w:r>
    </w:p>
    <w:p>
      <w:pPr>
        <w:pStyle w:val="BodyText"/>
      </w:pPr>
      <w:r>
        <w:rPr>
          <w:rFonts w:hint="eastAsia"/>
        </w:rPr>
        <w:t xml:space="preserve">为了检查模型在突变日是否只是慢半拍跟随真实价格，本文选取实际价格绝对变动最大的</w:t>
      </w:r>
      <w:r>
        <w:t xml:space="preserve"> 10 </w:t>
      </w:r>
      <w:r>
        <w:rPr>
          <w:rFonts w:hint="eastAsia"/>
        </w:rPr>
        <w:t xml:space="preserve">个交易日进行方向检查。结果显示，模型在</w:t>
      </w:r>
      <w:r>
        <w:t xml:space="preserve"> 8 </w:t>
      </w:r>
      <w:r>
        <w:rPr>
          <w:rFonts w:hint="eastAsia"/>
        </w:rPr>
        <w:t xml:space="preserve">个交易日与真实价格同向同步变化，2</w:t>
      </w:r>
      <w:r>
        <w:t xml:space="preserve"> </w:t>
      </w:r>
      <w:r>
        <w:rPr>
          <w:rFonts w:hint="eastAsia"/>
        </w:rPr>
        <w:t xml:space="preserve">个交易日体现为提前</w:t>
      </w:r>
      <w:r>
        <w:t xml:space="preserve"> 1 </w:t>
      </w:r>
      <w:r>
        <w:rPr>
          <w:rFonts w:hint="eastAsia"/>
        </w:rPr>
        <w:t xml:space="preserve">日变化。这说明模型对主要冲击方向具有同步解释力，但个别日度噪声仍不能完全捕捉。</w:t>
      </w:r>
    </w:p>
    <w:p>
      <w:pPr>
        <w:pStyle w:val="CaptionedFigure"/>
      </w:pPr>
      <w:r>
        <w:drawing>
          <wp:inline>
            <wp:extent cx="4907280" cy="3568930"/>
            <wp:effectExtent b="0" l="0" r="0" t="0"/>
            <wp:docPr descr="" title="" id="72" name="Picture"/>
            <a:graphic>
              <a:graphicData uri="http://schemas.openxmlformats.org/drawingml/2006/picture">
                <pic:pic>
                  <pic:nvPicPr>
                    <pic:cNvPr descr="短期模型拐点局部检验.png" id="73" name="Picture"/>
                    <pic:cNvPicPr>
                      <a:picLocks noChangeArrowheads="1" noChangeAspect="1"/>
                    </pic:cNvPicPr>
                  </pic:nvPicPr>
                  <pic:blipFill>
                    <a:blip r:embed="rId71"/>
                    <a:stretch>
                      <a:fillRect/>
                    </a:stretch>
                  </pic:blipFill>
                  <pic:spPr bwMode="auto">
                    <a:xfrm>
                      <a:off x="0" y="0"/>
                      <a:ext cx="4907280" cy="3568930"/>
                    </a:xfrm>
                    <a:prstGeom prst="rect">
                      <a:avLst/>
                    </a:prstGeom>
                    <a:noFill/>
                    <a:ln w="9525">
                      <a:noFill/>
                      <a:headEnd/>
                      <a:tailEnd/>
                    </a:ln>
                  </pic:spPr>
                </pic:pic>
              </a:graphicData>
            </a:graphic>
          </wp:inline>
        </w:drawing>
      </w:r>
    </w:p>
    <w:p>
      <w:pPr>
        <w:pStyle w:val="ImageCaption"/>
      </w:pPr>
      <w:r>
        <w:rPr>
          <w:rFonts w:hint="eastAsia"/>
        </w:rPr>
        <w:t xml:space="preserve">短期模型拐点局部检验。图中放大前期暴涨窗口和后期反转窗口，用于检查模型是否慢半拍跟随真实价格。</w:t>
      </w:r>
    </w:p>
    <w:p>
      <w:pPr>
        <w:pStyle w:val="BodyText"/>
      </w:pPr>
      <w:r>
        <w:rPr>
          <w:rFonts w:hint="eastAsia"/>
        </w:rPr>
        <w:t xml:space="preserve">本文还进行了历史高波动窗口边界检验：固定霍尔木兹机制参数，直接套用到</w:t>
      </w:r>
      <w:r>
        <w:t xml:space="preserve"> 2020 </w:t>
      </w:r>
      <w:r>
        <w:rPr>
          <w:rFonts w:hint="eastAsia"/>
        </w:rPr>
        <w:t xml:space="preserve">年、2022</w:t>
      </w:r>
      <w:r>
        <w:t xml:space="preserve"> </w:t>
      </w:r>
      <w:r>
        <w:rPr>
          <w:rFonts w:hint="eastAsia"/>
        </w:rPr>
        <w:t xml:space="preserve">年等非霍尔木兹事件窗口。结果显示，该模型在这些窗口通常显著弱于朴素上一日基准。这并不削弱本文结论，反而说明本文模型不是通用油价短线交易器，而是针对霍尔木兹封锁机制构建的事件解释模型。论文结论应限定在极端地缘冲突下的条件路径解释与情景预测，不能外推为普通时期的万能预测模型。</w:t>
      </w:r>
    </w:p>
    <w:bookmarkEnd w:id="74"/>
    <w:bookmarkStart w:id="78" w:name="参数自由度与稳健性区间"/>
    <w:p>
      <w:pPr>
        <w:pStyle w:val="Heading2"/>
      </w:pPr>
      <w:r>
        <w:rPr>
          <w:rFonts w:hint="eastAsia"/>
        </w:rPr>
        <w:t xml:space="preserve">参数自由度与稳健性区间</w:t>
      </w:r>
    </w:p>
    <w:p>
      <w:pPr>
        <w:pStyle w:val="FirstParagraph"/>
      </w:pPr>
      <w:r>
        <w:rPr>
          <w:rFonts w:hint="eastAsia"/>
        </w:rPr>
        <w:t xml:space="preserve">短期冲突窗口只有</w:t>
      </w:r>
      <w:r>
        <w:t xml:space="preserve"> 46 </w:t>
      </w:r>
      <w:r>
        <w:rPr>
          <w:rFonts w:hint="eastAsia"/>
        </w:rPr>
        <w:t xml:space="preserve">个交易日，而连续校准参数共有</w:t>
      </w:r>
      <w:r>
        <w:t xml:space="preserve"> 21 </w:t>
      </w:r>
      <w:r>
        <w:rPr>
          <w:rFonts w:hint="eastAsia"/>
        </w:rPr>
        <w:t xml:space="preserve">个，其中</w:t>
      </w:r>
      <w:r>
        <w:t xml:space="preserve"> 10 </w:t>
      </w:r>
      <w:r>
        <w:rPr>
          <w:rFonts w:hint="eastAsia"/>
        </w:rPr>
        <w:t xml:space="preserve">个属于题面或机制范围内的物理/半物理参数，另外</w:t>
      </w:r>
      <w:r>
        <w:t xml:space="preserve"> 11 </w:t>
      </w:r>
      <w:r>
        <w:rPr>
          <w:rFonts w:hint="eastAsia"/>
        </w:rPr>
        <w:t xml:space="preserve">个属于行为与价格调整参数。这个自由度并不低，因此本文不能只依赖最优曲线，而必须证明价格平台不是某一个偶然参数点调出来的结果。</w:t>
      </w:r>
    </w:p>
    <w:p>
      <w:pPr>
        <w:pStyle w:val="TableCaption"/>
      </w:pPr>
      <m:oMath>
        <m:r>
          <m:rPr>
            <m:sty m:val="p"/>
          </m:rPr>
          <m:t>±</m:t>
        </m:r>
        <m:r>
          <m:t>15</m:t>
        </m:r>
        <m:r>
          <m:rPr>
            <m:sty m:val="p"/>
          </m:rPr>
          <m:t>%</m:t>
        </m:r>
      </m:oMath>
      <w:r>
        <w:t xml:space="preserve"> </w:t>
      </w:r>
      <w:r>
        <w:rPr>
          <w:rFonts w:hint="eastAsia"/>
        </w:rPr>
        <w:t xml:space="preserve">参数压力测试摘要</w:t>
      </w:r>
    </w:p>
    <w:tbl>
      <w:tblPr>
        <w:tblStyle w:val="Table"/>
        <w:tblW w:type="auto" w:w="0"/>
        <w:tblLook w:firstRow="1" w:lastRow="0" w:firstColumn="0" w:lastColumn="0" w:noHBand="0" w:noVBand="0" w:val="0020"/>
        <w:tblCaption w:val="\pm 15\% 参数压力测试摘要"/>
      </w:tblPr>
      <w:tblGrid>
        <w:gridCol w:w="1584"/>
        <w:gridCol w:w="1584"/>
        <w:gridCol w:w="1584"/>
        <w:gridCol w:w="1584"/>
        <w:gridCol w:w="1584"/>
      </w:tblGrid>
      <w:tr>
        <w:trPr>
          <w:tblHeader w:val="on"/>
        </w:trPr>
        <w:tc>
          <w:tcPr/>
          <w:p>
            <w:pPr>
              <w:pStyle w:val="Compact"/>
              <w:jc w:val="left"/>
            </w:pPr>
            <w:r>
              <w:rPr>
                <w:rFonts w:hint="eastAsia"/>
              </w:rPr>
              <w:t xml:space="preserve">指标</w:t>
            </w:r>
          </w:p>
        </w:tc>
        <w:tc>
          <w:tcPr/>
          <w:p>
            <w:pPr>
              <w:pStyle w:val="Compact"/>
              <w:jc w:val="right"/>
            </w:pPr>
            <w:r>
              <w:rPr>
                <w:rFonts w:hint="eastAsia"/>
              </w:rPr>
              <w:t xml:space="preserve">均值</w:t>
            </w:r>
          </w:p>
        </w:tc>
        <w:tc>
          <w:tcPr/>
          <w:p>
            <w:pPr>
              <w:pStyle w:val="Compact"/>
              <w:jc w:val="right"/>
            </w:pPr>
            <w:r>
              <w:rPr>
                <w:rFonts w:hint="eastAsia"/>
              </w:rPr>
              <w:t xml:space="preserve">中位数</w:t>
            </w:r>
          </w:p>
        </w:tc>
        <w:tc>
          <w:tcPr/>
          <w:p>
            <w:pPr>
              <w:pStyle w:val="Compact"/>
              <w:jc w:val="right"/>
            </w:pPr>
            <w:r>
              <w:rPr>
                <w:rFonts w:hint="eastAsia"/>
              </w:rPr>
              <w:t xml:space="preserve">90%分位数</w:t>
            </w:r>
          </w:p>
        </w:tc>
        <w:tc>
          <w:tcPr/>
          <w:p>
            <w:pPr>
              <w:pStyle w:val="Compact"/>
              <w:jc w:val="right"/>
            </w:pPr>
            <w:r>
              <w:rPr>
                <w:rFonts w:hint="eastAsia"/>
              </w:rPr>
              <w:t xml:space="preserve">最大值</w:t>
            </w:r>
          </w:p>
        </w:tc>
      </w:tr>
      <w:tr>
        <w:tc>
          <w:tcPr/>
          <w:p>
            <w:pPr>
              <w:pStyle w:val="Compact"/>
              <w:jc w:val="left"/>
            </w:pPr>
            <w:r>
              <w:t xml:space="preserve">RMSE</w:t>
            </w:r>
          </w:p>
        </w:tc>
        <w:tc>
          <w:tcPr/>
          <w:p>
            <w:pPr>
              <w:pStyle w:val="Compact"/>
              <w:jc w:val="right"/>
            </w:pPr>
            <w:r>
              <w:t xml:space="preserve">4.96</w:t>
            </w:r>
          </w:p>
        </w:tc>
        <w:tc>
          <w:tcPr/>
          <w:p>
            <w:pPr>
              <w:pStyle w:val="Compact"/>
              <w:jc w:val="right"/>
            </w:pPr>
            <w:r>
              <w:t xml:space="preserve">4.74</w:t>
            </w:r>
          </w:p>
        </w:tc>
        <w:tc>
          <w:tcPr/>
          <w:p>
            <w:pPr>
              <w:pStyle w:val="Compact"/>
              <w:jc w:val="right"/>
            </w:pPr>
            <w:r>
              <w:t xml:space="preserve">6.33</w:t>
            </w:r>
          </w:p>
        </w:tc>
        <w:tc>
          <w:tcPr/>
          <w:p>
            <w:pPr>
              <w:pStyle w:val="Compact"/>
              <w:jc w:val="right"/>
            </w:pPr>
            <w:r>
              <w:t xml:space="preserve">10.27</w:t>
            </w:r>
          </w:p>
        </w:tc>
      </w:tr>
      <w:tr>
        <w:tc>
          <w:tcPr/>
          <w:p>
            <w:pPr>
              <w:pStyle w:val="Compact"/>
              <w:jc w:val="left"/>
            </w:pPr>
            <w:r>
              <w:rPr>
                <w:rFonts w:hint="eastAsia"/>
              </w:rPr>
              <w:t xml:space="preserve">模拟峰值</w:t>
            </w:r>
          </w:p>
        </w:tc>
        <w:tc>
          <w:tcPr/>
          <w:p>
            <w:pPr>
              <w:pStyle w:val="Compact"/>
              <w:jc w:val="right"/>
            </w:pPr>
            <w:r>
              <w:t xml:space="preserve">110.39</w:t>
            </w:r>
          </w:p>
        </w:tc>
        <w:tc>
          <w:tcPr/>
          <w:p>
            <w:pPr>
              <w:pStyle w:val="Compact"/>
              <w:jc w:val="right"/>
            </w:pPr>
            <w:r>
              <w:t xml:space="preserve">110.30</w:t>
            </w:r>
          </w:p>
        </w:tc>
        <w:tc>
          <w:tcPr/>
          <w:p>
            <w:pPr>
              <w:pStyle w:val="Compact"/>
              <w:jc w:val="right"/>
            </w:pPr>
            <w:r>
              <w:t xml:space="preserve">114.16</w:t>
            </w:r>
          </w:p>
        </w:tc>
        <w:tc>
          <w:tcPr/>
          <w:p>
            <w:pPr>
              <w:pStyle w:val="Compact"/>
              <w:jc w:val="right"/>
            </w:pPr>
            <w:r>
              <w:t xml:space="preserve">119.62</w:t>
            </w:r>
          </w:p>
        </w:tc>
      </w:tr>
      <w:tr>
        <w:tc>
          <w:tcPr/>
          <w:p>
            <w:pPr>
              <w:pStyle w:val="Compact"/>
              <w:jc w:val="left"/>
            </w:pPr>
            <w:r>
              <w:rPr>
                <w:rFonts w:hint="eastAsia"/>
              </w:rPr>
              <w:t xml:space="preserve">模拟末日价格</w:t>
            </w:r>
          </w:p>
        </w:tc>
        <w:tc>
          <w:tcPr/>
          <w:p>
            <w:pPr>
              <w:pStyle w:val="Compact"/>
              <w:jc w:val="right"/>
            </w:pPr>
            <w:r>
              <w:t xml:space="preserve">110.39</w:t>
            </w:r>
          </w:p>
        </w:tc>
        <w:tc>
          <w:tcPr/>
          <w:p>
            <w:pPr>
              <w:pStyle w:val="Compact"/>
              <w:jc w:val="right"/>
            </w:pPr>
            <w:r>
              <w:t xml:space="preserve">110.30</w:t>
            </w:r>
          </w:p>
        </w:tc>
        <w:tc>
          <w:tcPr/>
          <w:p>
            <w:pPr>
              <w:pStyle w:val="Compact"/>
              <w:jc w:val="right"/>
            </w:pPr>
            <w:r>
              <w:t xml:space="preserve">114.16</w:t>
            </w:r>
          </w:p>
        </w:tc>
        <w:tc>
          <w:tcPr/>
          <w:p>
            <w:pPr>
              <w:pStyle w:val="Compact"/>
              <w:jc w:val="right"/>
            </w:pPr>
            <w:r>
              <w:t xml:space="preserve">119.62</w:t>
            </w:r>
          </w:p>
        </w:tc>
      </w:tr>
      <w:tr>
        <w:tc>
          <w:tcPr/>
          <w:p>
            <w:pPr>
              <w:pStyle w:val="Compact"/>
              <w:jc w:val="left"/>
            </w:pPr>
            <w:r>
              <w:rPr>
                <w:rFonts w:hint="eastAsia"/>
              </w:rPr>
              <w:t xml:space="preserve">高价平台</w:t>
            </w:r>
            <w:r>
              <w:t xml:space="preserve"> RMSE</w:t>
            </w:r>
          </w:p>
        </w:tc>
        <w:tc>
          <w:tcPr/>
          <w:p>
            <w:pPr>
              <w:pStyle w:val="Compact"/>
              <w:jc w:val="right"/>
            </w:pPr>
            <w:r>
              <w:t xml:space="preserve">3.90</w:t>
            </w:r>
          </w:p>
        </w:tc>
        <w:tc>
          <w:tcPr/>
          <w:p>
            <w:pPr>
              <w:pStyle w:val="Compact"/>
              <w:jc w:val="right"/>
            </w:pPr>
            <w:r>
              <w:t xml:space="preserve">3.36</w:t>
            </w:r>
          </w:p>
        </w:tc>
        <w:tc>
          <w:tcPr/>
          <w:p>
            <w:pPr>
              <w:pStyle w:val="Compact"/>
              <w:jc w:val="right"/>
            </w:pPr>
            <w:r>
              <w:t xml:space="preserve">6.84</w:t>
            </w:r>
          </w:p>
        </w:tc>
        <w:tc>
          <w:tcPr/>
          <w:p>
            <w:pPr>
              <w:pStyle w:val="Compact"/>
              <w:jc w:val="right"/>
            </w:pPr>
            <w:r>
              <w:t xml:space="preserve">11.84</w:t>
            </w:r>
          </w:p>
        </w:tc>
      </w:tr>
      <w:tr>
        <w:tc>
          <w:tcPr/>
          <w:p>
            <w:pPr>
              <w:pStyle w:val="Compact"/>
              <w:jc w:val="left"/>
            </w:pPr>
            <w:r>
              <w:rPr>
                <w:rFonts w:hint="eastAsia"/>
              </w:rPr>
              <w:t xml:space="preserve">低价回落</w:t>
            </w:r>
            <w:r>
              <w:t xml:space="preserve"> RMSE</w:t>
            </w:r>
          </w:p>
        </w:tc>
        <w:tc>
          <w:tcPr/>
          <w:p>
            <w:pPr>
              <w:pStyle w:val="Compact"/>
              <w:jc w:val="right"/>
            </w:pPr>
            <w:r>
              <w:t xml:space="preserve">4.98</w:t>
            </w:r>
          </w:p>
        </w:tc>
        <w:tc>
          <w:tcPr/>
          <w:p>
            <w:pPr>
              <w:pStyle w:val="Compact"/>
              <w:jc w:val="right"/>
            </w:pPr>
            <w:r>
              <w:t xml:space="preserve">4.63</w:t>
            </w:r>
          </w:p>
        </w:tc>
        <w:tc>
          <w:tcPr/>
          <w:p>
            <w:pPr>
              <w:pStyle w:val="Compact"/>
              <w:jc w:val="right"/>
            </w:pPr>
            <w:r>
              <w:t xml:space="preserve">7.71</w:t>
            </w:r>
          </w:p>
        </w:tc>
        <w:tc>
          <w:tcPr/>
          <w:p>
            <w:pPr>
              <w:pStyle w:val="Compact"/>
              <w:jc w:val="right"/>
            </w:pPr>
            <w:r>
              <w:t xml:space="preserve">11.60</w:t>
            </w:r>
          </w:p>
        </w:tc>
      </w:tr>
    </w:tbl>
    <w:p>
      <w:pPr>
        <w:pStyle w:val="BodyText"/>
      </w:pPr>
      <w:r>
        <w:rPr>
          <w:rFonts w:hint="eastAsia"/>
        </w:rPr>
        <w:t xml:space="preserve">压力测试显示，在</w:t>
      </w:r>
      <w:r>
        <w:t xml:space="preserve"> 1000 </w:t>
      </w:r>
      <w:r>
        <w:rPr>
          <w:rFonts w:hint="eastAsia"/>
        </w:rPr>
        <w:t xml:space="preserve">组</w:t>
      </w:r>
      <w:r>
        <w:t xml:space="preserve"> </w:t>
      </w:r>
      <m:oMath>
        <m:r>
          <m:rPr>
            <m:sty m:val="p"/>
          </m:rPr>
          <m:t>±</m:t>
        </m:r>
        <m:r>
          <m:t>15</m:t>
        </m:r>
        <m:r>
          <m:rPr>
            <m:sty m:val="p"/>
          </m:rPr>
          <m:t>%</m:t>
        </m:r>
      </m:oMath>
      <w:r>
        <w:t xml:space="preserve"> </w:t>
      </w:r>
      <w:r>
        <w:rPr>
          <w:rFonts w:hint="eastAsia"/>
        </w:rPr>
        <w:t xml:space="preserve">参数扰动中，61.0%</w:t>
      </w:r>
      <w:r>
        <w:t xml:space="preserve"> </w:t>
      </w:r>
      <w:r>
        <w:rPr>
          <w:rFonts w:hint="eastAsia"/>
        </w:rPr>
        <w:t xml:space="preserve">的样本</w:t>
      </w:r>
      <w:r>
        <w:t xml:space="preserve"> RMSE </w:t>
      </w:r>
      <w:r>
        <w:rPr>
          <w:rFonts w:hint="eastAsia"/>
        </w:rPr>
        <w:t xml:space="preserve">不高于</w:t>
      </w:r>
      <w:r>
        <w:t xml:space="preserve"> </w:t>
      </w:r>
      <w:r>
        <w:rPr>
          <w:rFonts w:hint="eastAsia"/>
        </w:rPr>
        <w:t xml:space="preserve">5，96.6%</w:t>
      </w:r>
      <w:r>
        <w:t xml:space="preserve"> </w:t>
      </w:r>
      <w:r>
        <w:rPr>
          <w:rFonts w:hint="eastAsia"/>
        </w:rPr>
        <w:t xml:space="preserve">的样本模拟峰值落在</w:t>
      </w:r>
      <w:r>
        <w:t xml:space="preserve"> 105–125 </w:t>
      </w:r>
      <w:r>
        <w:rPr>
          <w:rFonts w:hint="eastAsia"/>
        </w:rPr>
        <w:t xml:space="preserve">美元/桶区间，全部样本末日价格落在</w:t>
      </w:r>
      <w:r>
        <w:t xml:space="preserve"> 100–120 </w:t>
      </w:r>
      <w:r>
        <w:rPr>
          <w:rFonts w:hint="eastAsia"/>
        </w:rPr>
        <w:t xml:space="preserve">美元/桶区间。这个结果意味着，价格平台并不依赖唯一一组</w:t>
      </w:r>
      <w:r>
        <w:rPr>
          <w:rFonts w:hint="eastAsia"/>
        </w:rPr>
        <w:t xml:space="preserve">“神奇参数”</w:t>
      </w:r>
      <w:r>
        <w:rPr>
          <w:rFonts w:hint="eastAsia"/>
        </w:rPr>
        <w:t xml:space="preserve">；但较大扰动会削弱</w:t>
      </w:r>
      <w:r>
        <w:t xml:space="preserve"> RMSE </w:t>
      </w:r>
      <w:r>
        <w:rPr>
          <w:rFonts w:hint="eastAsia"/>
        </w:rPr>
        <w:t xml:space="preserve">表现，因此本文只主张模型具有结构性稳健性，不主张任意参数下都能保持高精度。</w:t>
      </w:r>
    </w:p>
    <w:p>
      <w:pPr>
        <w:pStyle w:val="CaptionedFigure"/>
      </w:pPr>
      <w:r>
        <w:drawing>
          <wp:inline>
            <wp:extent cx="4907280" cy="2587474"/>
            <wp:effectExtent b="0" l="0" r="0" t="0"/>
            <wp:docPr descr="" title="" id="76" name="Picture"/>
            <a:graphic>
              <a:graphicData uri="http://schemas.openxmlformats.org/drawingml/2006/picture">
                <pic:pic>
                  <pic:nvPicPr>
                    <pic:cNvPr descr="短期模型稳健性带.png" id="77" name="Picture"/>
                    <pic:cNvPicPr>
                      <a:picLocks noChangeArrowheads="1" noChangeAspect="1"/>
                    </pic:cNvPicPr>
                  </pic:nvPicPr>
                  <pic:blipFill>
                    <a:blip r:embed="rId75"/>
                    <a:stretch>
                      <a:fillRect/>
                    </a:stretch>
                  </pic:blipFill>
                  <pic:spPr bwMode="auto">
                    <a:xfrm>
                      <a:off x="0" y="0"/>
                      <a:ext cx="4907280" cy="2587474"/>
                    </a:xfrm>
                    <a:prstGeom prst="rect">
                      <a:avLst/>
                    </a:prstGeom>
                    <a:noFill/>
                    <a:ln w="9525">
                      <a:noFill/>
                      <a:headEnd/>
                      <a:tailEnd/>
                    </a:ln>
                  </pic:spPr>
                </pic:pic>
              </a:graphicData>
            </a:graphic>
          </wp:inline>
        </w:drawing>
      </w:r>
    </w:p>
    <w:p>
      <w:pPr>
        <w:pStyle w:val="ImageCaption"/>
      </w:pPr>
      <w:r>
        <w:rPr>
          <w:rFonts w:hint="eastAsia"/>
        </w:rPr>
        <w:t xml:space="preserve">短期模型局部扰动稳健性区间。蓝色区间表示优秀扰动样本的价格分布，红线为综合最优模型，黑线为实际收盘价。</w:t>
      </w:r>
    </w:p>
    <w:p>
      <w:pPr>
        <w:pStyle w:val="BodyText"/>
      </w:pPr>
      <w:r>
        <w:rPr>
          <w:rFonts w:hint="eastAsia"/>
        </w:rPr>
        <w:t xml:space="preserve">围绕综合最优参数进行的</w:t>
      </w:r>
      <w:r>
        <w:t xml:space="preserve"> 800 </w:t>
      </w:r>
      <w:r>
        <w:rPr>
          <w:rFonts w:hint="eastAsia"/>
        </w:rPr>
        <w:t xml:space="preserve">组局部扰动进一步显示，在</w:t>
      </w:r>
      <w:r>
        <w:t xml:space="preserve"> 801 </w:t>
      </w:r>
      <w:r>
        <w:rPr>
          <w:rFonts w:hint="eastAsia"/>
        </w:rPr>
        <w:t xml:space="preserve">组样本中，99.4%</w:t>
      </w:r>
      <w:r>
        <w:t xml:space="preserve"> </w:t>
      </w:r>
      <w:r>
        <w:rPr>
          <w:rFonts w:hint="eastAsia"/>
        </w:rPr>
        <w:t xml:space="preserve">的样本同时满足</w:t>
      </w:r>
      <w:r>
        <w:t xml:space="preserve"> RMSE </w:t>
      </w:r>
      <w:r>
        <w:rPr>
          <w:rFonts w:hint="eastAsia"/>
        </w:rPr>
        <w:t xml:space="preserve">不高于</w:t>
      </w:r>
      <w:r>
        <w:t xml:space="preserve"> </w:t>
      </w:r>
      <w:r>
        <w:rPr>
          <w:rFonts w:hint="eastAsia"/>
        </w:rPr>
        <w:t xml:space="preserve">5、高价平台</w:t>
      </w:r>
      <w:r>
        <w:t xml:space="preserve"> RMSE </w:t>
      </w:r>
      <w:r>
        <w:rPr>
          <w:rFonts w:hint="eastAsia"/>
        </w:rPr>
        <w:t xml:space="preserve">不高于</w:t>
      </w:r>
      <w:r>
        <w:t xml:space="preserve"> </w:t>
      </w:r>
      <w:r>
        <w:rPr>
          <w:rFonts w:hint="eastAsia"/>
        </w:rPr>
        <w:t xml:space="preserve">5、低价回落</w:t>
      </w:r>
      <w:r>
        <w:t xml:space="preserve"> RMSE </w:t>
      </w:r>
      <w:r>
        <w:rPr>
          <w:rFonts w:hint="eastAsia"/>
        </w:rPr>
        <w:t xml:space="preserve">不高于</w:t>
      </w:r>
      <w:r>
        <w:t xml:space="preserve"> </w:t>
      </w:r>
      <w:r>
        <w:rPr>
          <w:rFonts w:hint="eastAsia"/>
        </w:rPr>
        <w:t xml:space="preserve">6、后期</w:t>
      </w:r>
      <w:r>
        <w:t xml:space="preserve"> RMSE </w:t>
      </w:r>
      <w:r>
        <w:rPr>
          <w:rFonts w:hint="eastAsia"/>
        </w:rPr>
        <w:t xml:space="preserve">不高于</w:t>
      </w:r>
      <w:r>
        <w:t xml:space="preserve"> 5 </w:t>
      </w:r>
      <w:r>
        <w:rPr>
          <w:rFonts w:hint="eastAsia"/>
        </w:rPr>
        <w:t xml:space="preserve">的优秀阈值。优秀扰动样本的</w:t>
      </w:r>
      <w:r>
        <w:t xml:space="preserve"> 10%–90% </w:t>
      </w:r>
      <w:r>
        <w:rPr>
          <w:rFonts w:hint="eastAsia"/>
        </w:rPr>
        <w:t xml:space="preserve">价格带平均宽度为</w:t>
      </w:r>
      <w:r>
        <w:t xml:space="preserve"> 2.18 </w:t>
      </w:r>
      <w:r>
        <w:rPr>
          <w:rFonts w:hint="eastAsia"/>
        </w:rPr>
        <w:t xml:space="preserve">美元/桶，最大宽度为</w:t>
      </w:r>
      <w:r>
        <w:t xml:space="preserve"> 3.01 </w:t>
      </w:r>
      <w:r>
        <w:rPr>
          <w:rFonts w:hint="eastAsia"/>
        </w:rPr>
        <w:t xml:space="preserve">美元/桶，说明最优参数附近存在稳定的优秀参数邻域。</w:t>
      </w:r>
    </w:p>
    <w:bookmarkEnd w:id="78"/>
    <w:bookmarkStart w:id="79" w:name="内生性反事实基准与硬编码审计"/>
    <w:p>
      <w:pPr>
        <w:pStyle w:val="Heading2"/>
      </w:pPr>
      <w:r>
        <w:rPr>
          <w:rFonts w:hint="eastAsia"/>
        </w:rPr>
        <w:t xml:space="preserve">内生性、反事实基准与硬编码审计</w:t>
      </w:r>
    </w:p>
    <w:p>
      <w:pPr>
        <w:pStyle w:val="FirstParagraph"/>
      </w:pPr>
      <w:r>
        <w:rPr>
          <w:rFonts w:hint="eastAsia"/>
        </w:rPr>
        <w:t xml:space="preserve">关于恐慌变量的内生性问题，本文当前没有使用</w:t>
      </w:r>
      <w:r>
        <w:t xml:space="preserve"> AI Agent </w:t>
      </w:r>
      <w:r>
        <w:rPr>
          <w:rFonts w:hint="eastAsia"/>
        </w:rPr>
        <w:t xml:space="preserve">新闻爬虫数据，也没有把新闻情绪序列作为模型输入。模型中的恐慌初始强度和恐慌衰减速度只是用于刻画冲突初期风险溢价衰减的校准参数，而不是由新闻文本统计得到的外生恐慌指数。因此，</w:t>
      </w:r>
      <w:r>
        <w:rPr>
          <w:rFonts w:hint="eastAsia"/>
        </w:rPr>
        <w:t xml:space="preserve">“油价上涨导致新闻恐慌、新闻恐慌再解释油价上涨”</w:t>
      </w:r>
      <w:r>
        <w:rPr>
          <w:rFonts w:hint="eastAsia"/>
        </w:rPr>
        <w:t xml:space="preserve">的同日反馈循环并不构成当前模型的直接识别问题。若后续加入新闻情绪模块，则必须使用</w:t>
      </w:r>
      <w:r>
        <w:t xml:space="preserve"> </w:t>
      </w:r>
      <m:oMath>
        <m:r>
          <m:t>t</m:t>
        </m:r>
        <m:r>
          <m:rPr>
            <m:sty m:val="p"/>
          </m:rPr>
          <m:t>−</m:t>
        </m:r>
        <m:r>
          <m:t>1</m:t>
        </m:r>
      </m:oMath>
      <w:r>
        <w:t xml:space="preserve"> </w:t>
      </w:r>
      <w:r>
        <w:rPr>
          <w:rFonts w:hint="eastAsia"/>
        </w:rPr>
        <w:t xml:space="preserve">期或闭市前新闻解释</w:t>
      </w:r>
      <w:r>
        <w:t xml:space="preserve"> </w:t>
      </w:r>
      <m:oMath>
        <m:r>
          <m:t>t</m:t>
        </m:r>
      </m:oMath>
      <w:r>
        <w:t xml:space="preserve"> </w:t>
      </w:r>
      <w:r>
        <w:rPr>
          <w:rFonts w:hint="eastAsia"/>
        </w:rPr>
        <w:t xml:space="preserve">日价格，并进行格兰杰因果或滞后相关检验，不能直接把当日新闻情绪当作外生预测变量。</w:t>
      </w:r>
    </w:p>
    <w:p>
      <w:pPr>
        <w:pStyle w:val="BodyText"/>
      </w:pPr>
      <w:r>
        <w:rPr>
          <w:rFonts w:hint="eastAsia"/>
        </w:rPr>
        <w:t xml:space="preserve">关于</w:t>
      </w:r>
      <w:r>
        <w:t xml:space="preserve"> 200 </w:t>
      </w:r>
      <w:r>
        <w:rPr>
          <w:rFonts w:hint="eastAsia"/>
        </w:rPr>
        <w:t xml:space="preserve">美元以上反事实基准，本文也不把它写成现实市场必然价格。传统供需模型的高价结果来自低短期弹性条件下的反事实上界，而不是现实预测。弹性敏感性检验显示，当需求价格弹性由</w:t>
      </w:r>
      <w:r>
        <w:t xml:space="preserve"> </w:t>
      </w:r>
      <m:oMath>
        <m:r>
          <m:rPr>
            <m:sty m:val="p"/>
          </m:rPr>
          <m:t>−</m:t>
        </m:r>
        <m:r>
          <m:t>0.05</m:t>
        </m:r>
      </m:oMath>
      <w:r>
        <w:t xml:space="preserve"> </w:t>
      </w:r>
      <w:r>
        <w:rPr>
          <w:rFonts w:hint="eastAsia"/>
        </w:rPr>
        <w:t xml:space="preserve">放宽至</w:t>
      </w:r>
      <w:r>
        <w:t xml:space="preserve"> </w:t>
      </w:r>
      <m:oMath>
        <m:r>
          <m:rPr>
            <m:sty m:val="p"/>
          </m:rPr>
          <m:t>−</m:t>
        </m:r>
        <m:r>
          <m:t>0.25</m:t>
        </m:r>
      </m:oMath>
      <w:r>
        <w:t xml:space="preserve"> </w:t>
      </w:r>
      <w:r>
        <w:rPr>
          <w:rFonts w:hint="eastAsia"/>
        </w:rPr>
        <w:t xml:space="preserve">或</w:t>
      </w:r>
      <w:r>
        <w:t xml:space="preserve"> </w:t>
      </w:r>
      <m:oMath>
        <m:r>
          <m:rPr>
            <m:sty m:val="p"/>
          </m:rPr>
          <m:t>−</m:t>
        </m:r>
        <m:r>
          <m:t>0.35</m:t>
        </m:r>
      </m:oMath>
      <w:r>
        <w:t xml:space="preserve"> </w:t>
      </w:r>
      <w:r>
        <w:rPr>
          <w:rFonts w:hint="eastAsia"/>
        </w:rPr>
        <w:t xml:space="preserve">时，传统线性化模型价格会明显下降，部分情景已经接近或低于</w:t>
      </w:r>
      <w:r>
        <w:t xml:space="preserve"> 120 </w:t>
      </w:r>
      <w:r>
        <w:rPr>
          <w:rFonts w:hint="eastAsia"/>
        </w:rPr>
        <w:t xml:space="preserve">美元/桶。因此，本文真正要论证的不是</w:t>
      </w:r>
      <w:r>
        <w:rPr>
          <w:rFonts w:hint="eastAsia"/>
        </w:rPr>
        <w:t xml:space="preserve">“油价必然应该超过</w:t>
      </w:r>
      <w:r>
        <w:t xml:space="preserve"> 200 </w:t>
      </w:r>
      <w:r>
        <w:rPr>
          <w:rFonts w:hint="eastAsia"/>
        </w:rPr>
        <w:t xml:space="preserve">美元”</w:t>
      </w:r>
      <w:r>
        <w:rPr>
          <w:rFonts w:hint="eastAsia"/>
        </w:rPr>
        <w:t xml:space="preserve">，而是</w:t>
      </w:r>
      <w:r>
        <w:rPr>
          <w:rFonts w:hint="eastAsia"/>
        </w:rPr>
        <w:t xml:space="preserve">“低短期弹性静态供需模型会显著高估现实价格，必须引入库存、SPR、绕道、需求收缩和预期修复等动态机制解释现实平台”</w:t>
      </w:r>
      <w:r>
        <w:t xml:space="preserve">。</w:t>
      </w:r>
    </w:p>
    <w:p>
      <w:pPr>
        <w:pStyle w:val="BodyText"/>
      </w:pPr>
      <w:r>
        <w:rPr>
          <w:rFonts w:hint="eastAsia"/>
        </w:rPr>
        <w:t xml:space="preserve">最后，本文对代码进行硬编码审计。短期动态递推函数中不存在</w:t>
      </w:r>
      <w:r>
        <w:t xml:space="preserve"> </w:t>
      </w:r>
      <m:oMath>
        <m:sSub>
          <m:e>
            <m:r>
              <m:t>P</m:t>
            </m:r>
          </m:e>
          <m:sub>
            <m:r>
              <m:t>t</m:t>
            </m:r>
          </m:sub>
        </m:sSub>
        <m:r>
          <m:rPr>
            <m:sty m:val="p"/>
          </m:rPr>
          <m:t>&gt;</m:t>
        </m:r>
        <m:r>
          <m:t>120</m:t>
        </m:r>
      </m:oMath>
      <w:r>
        <w:t xml:space="preserve"> </w:t>
      </w:r>
      <w:r>
        <w:rPr>
          <w:rFonts w:hint="eastAsia"/>
        </w:rPr>
        <w:t xml:space="preserve">后强制压低价格的条件分支，也没有将</w:t>
      </w:r>
      <w:r>
        <w:t xml:space="preserve"> 120 </w:t>
      </w:r>
      <w:r>
        <w:rPr>
          <w:rFonts w:hint="eastAsia"/>
        </w:rPr>
        <w:t xml:space="preserve">美元设置为价格上限。模型中的数值安全裁剪上限为</w:t>
      </w:r>
      <w:r>
        <w:t xml:space="preserve"> 180 </w:t>
      </w:r>
      <w:r>
        <w:rPr>
          <w:rFonts w:hint="eastAsia"/>
        </w:rPr>
        <w:t xml:space="preserve">美元/桶，校准路径中从未触发；110–120</w:t>
      </w:r>
      <w:r>
        <w:t xml:space="preserve"> </w:t>
      </w:r>
      <w:r>
        <w:rPr>
          <w:rFonts w:hint="eastAsia"/>
        </w:rPr>
        <w:t xml:space="preserve">美元只作为题面观测参考区间出现在图表阴影和展示配置中，不参与价格递推计算。需要强调的是，当前模型也不是严格意义上的微观多智能体涌现模型，更准确的表述应是机制递推模型；本文可以证明</w:t>
      </w:r>
      <w:r>
        <w:t xml:space="preserve"> 120 </w:t>
      </w:r>
      <w:r>
        <w:rPr>
          <w:rFonts w:hint="eastAsia"/>
        </w:rPr>
        <w:t xml:space="preserve">美元平台不是代码硬上限，但不应声称已经实现了多智能体动态纳什均衡。</w:t>
      </w:r>
    </w:p>
    <w:bookmarkEnd w:id="79"/>
    <w:bookmarkStart w:id="81" w:name="反驳性检验总览"/>
    <w:p>
      <w:pPr>
        <w:pStyle w:val="Heading2"/>
      </w:pPr>
      <w:r>
        <w:rPr>
          <w:rFonts w:hint="eastAsia"/>
        </w:rPr>
        <w:t xml:space="preserve">反驳性检验总览</w:t>
      </w:r>
    </w:p>
    <w:p>
      <w:pPr>
        <w:pStyle w:val="FirstParagraph"/>
      </w:pPr>
      <w:r>
        <w:rPr>
          <w:rFonts w:hint="eastAsia"/>
        </w:rPr>
        <w:t xml:space="preserve">为避免模型检验只呈现有利指标，本文将最可能被质疑的关键点转化为反驳性检验。表</w:t>
      </w:r>
      <w:r>
        <w:t xml:space="preserve"> </w:t>
      </w:r>
      <w:hyperlink w:anchor="tab:adversarial-tests">
        <w:r>
          <w:rPr>
            <w:rStyle w:val="Hyperlink"/>
          </w:rPr>
          <w:t xml:space="preserve">2</w:t>
        </w:r>
      </w:hyperlink>
      <w:r>
        <w:t xml:space="preserve"> </w:t>
      </w:r>
      <w:r>
        <w:rPr>
          <w:rFonts w:hint="eastAsia"/>
        </w:rPr>
        <w:t xml:space="preserve">中的检验均不重新寻找最优参数，而是在同一模型框架下改变某个被质疑条件，观察结论是否被推翻。</w:t>
      </w:r>
    </w:p>
    <w:bookmarkStart w:id="80" w:name="tab:adversarial-tests"/>
    <w:p>
      <w:pPr>
        <w:pStyle w:val="TableCaption"/>
      </w:pPr>
      <w:r>
        <w:rPr>
          <w:rFonts w:hint="eastAsia"/>
        </w:rPr>
        <w:t xml:space="preserve">反驳性检验总览</w:t>
      </w:r>
    </w:p>
    <w:tbl>
      <w:tblPr>
        <w:tblStyle w:val="Table"/>
        <w:tblW w:type="auto" w:w="0"/>
        <w:tblLook w:firstRow="1" w:lastRow="0" w:firstColumn="0" w:lastColumn="0" w:noHBand="0" w:noVBand="0" w:val="0020"/>
        <w:tblCaption w:val="反驳性检验总览"/>
      </w:tblPr>
      <w:tblGrid>
        <w:gridCol w:w="1980"/>
        <w:gridCol w:w="1980"/>
        <w:gridCol w:w="1980"/>
        <w:gridCol w:w="1980"/>
      </w:tblGrid>
      <w:tr>
        <w:trPr>
          <w:tblHeader w:val="on"/>
        </w:trPr>
        <w:tc>
          <w:tcPr/>
          <w:p>
            <w:pPr>
              <w:pStyle w:val="Compact"/>
              <w:jc w:val="left"/>
            </w:pPr>
            <w:r>
              <w:rPr>
                <w:rFonts w:hint="eastAsia"/>
              </w:rPr>
              <w:t xml:space="preserve">质疑点</w:t>
            </w:r>
          </w:p>
        </w:tc>
        <w:tc>
          <w:tcPr/>
          <w:p>
            <w:pPr>
              <w:pStyle w:val="Compact"/>
              <w:jc w:val="left"/>
            </w:pPr>
            <w:r>
              <w:rPr>
                <w:rFonts w:hint="eastAsia"/>
              </w:rPr>
              <w:t xml:space="preserve">检验方式</w:t>
            </w:r>
          </w:p>
        </w:tc>
        <w:tc>
          <w:tcPr/>
          <w:p>
            <w:pPr>
              <w:pStyle w:val="Compact"/>
              <w:jc w:val="left"/>
            </w:pPr>
            <w:r>
              <w:rPr>
                <w:rFonts w:hint="eastAsia"/>
              </w:rPr>
              <w:t xml:space="preserve">关键结果</w:t>
            </w:r>
          </w:p>
        </w:tc>
        <w:tc>
          <w:tcPr/>
          <w:p>
            <w:pPr>
              <w:pStyle w:val="Compact"/>
              <w:jc w:val="left"/>
            </w:pPr>
            <w:r>
              <w:rPr>
                <w:rFonts w:hint="eastAsia"/>
              </w:rPr>
              <w:t xml:space="preserve">论文含义</w:t>
            </w:r>
          </w:p>
        </w:tc>
      </w:tr>
      <w:tr>
        <w:tc>
          <w:tcPr/>
          <w:p>
            <w:pPr>
              <w:pStyle w:val="Compact"/>
              <w:jc w:val="left"/>
            </w:pPr>
            <w:r>
              <w:rPr>
                <w:rFonts w:hint="eastAsia"/>
              </w:rPr>
              <w:t xml:space="preserve">是否打败朴素基准</w:t>
            </w:r>
          </w:p>
        </w:tc>
        <w:tc>
          <w:tcPr/>
          <w:p>
            <w:pPr>
              <w:pStyle w:val="Compact"/>
              <w:jc w:val="left"/>
            </w:pPr>
            <w:r>
              <w:rPr>
                <w:rFonts w:hint="eastAsia"/>
              </w:rPr>
              <w:t xml:space="preserve">与上一日价格、三日均值、漂移随机游走和滚动</w:t>
            </w:r>
            <w:r>
              <w:t xml:space="preserve"> ARIMA </w:t>
            </w:r>
            <w:r>
              <w:rPr>
                <w:rFonts w:hint="eastAsia"/>
              </w:rPr>
              <w:t xml:space="preserve">比较</w:t>
            </w:r>
          </w:p>
        </w:tc>
        <w:tc>
          <w:tcPr/>
          <w:p>
            <w:pPr>
              <w:pStyle w:val="Compact"/>
              <w:jc w:val="left"/>
            </w:pPr>
            <w:r>
              <w:rPr>
                <w:rFonts w:hint="eastAsia"/>
              </w:rPr>
              <w:t xml:space="preserve">可比样本</w:t>
            </w:r>
            <w:r>
              <w:t xml:space="preserve"> RMSE </w:t>
            </w:r>
            <w:r>
              <w:rPr>
                <w:rFonts w:hint="eastAsia"/>
              </w:rPr>
              <w:t xml:space="preserve">为</w:t>
            </w:r>
            <w:r>
              <w:t xml:space="preserve"> </w:t>
            </w:r>
            <w:r>
              <w:rPr>
                <w:rFonts w:hint="eastAsia"/>
              </w:rPr>
              <w:t xml:space="preserve">3.47，朴素基准为</w:t>
            </w:r>
            <w:r>
              <w:t xml:space="preserve"> </w:t>
            </w:r>
            <w:r>
              <w:rPr>
                <w:rFonts w:hint="eastAsia"/>
              </w:rPr>
              <w:t xml:space="preserve">4.52；DM</w:t>
            </w:r>
            <w:r>
              <w:t xml:space="preserve"> </w:t>
            </w:r>
            <w:r>
              <w:rPr>
                <w:rFonts w:hint="eastAsia"/>
              </w:rPr>
              <w:t xml:space="preserve">平方损失单侧</w:t>
            </w:r>
            <w:r>
              <w:t xml:space="preserve"> </w:t>
            </w:r>
            <m:oMath>
              <m:r>
                <m:t>p</m:t>
              </m:r>
              <m:r>
                <m:rPr>
                  <m:sty m:val="p"/>
                </m:rPr>
                <m:t>=</m:t>
              </m:r>
              <m:r>
                <m:t>0.023</m:t>
              </m:r>
            </m:oMath>
          </w:p>
        </w:tc>
        <w:tc>
          <w:tcPr/>
          <w:p>
            <w:pPr>
              <w:pStyle w:val="Compact"/>
              <w:jc w:val="left"/>
            </w:pPr>
            <w:r>
              <w:rPr>
                <w:rFonts w:hint="eastAsia"/>
              </w:rPr>
              <w:t xml:space="preserve">模型不是复杂但无效的随机游走复制</w:t>
            </w:r>
          </w:p>
        </w:tc>
      </w:tr>
      <w:tr>
        <w:tc>
          <w:tcPr/>
          <w:p>
            <w:pPr>
              <w:pStyle w:val="Compact"/>
              <w:jc w:val="left"/>
            </w:pPr>
            <w:r>
              <w:rPr>
                <w:rFonts w:hint="eastAsia"/>
              </w:rPr>
              <w:t xml:space="preserve">是否存在滞后跟随</w:t>
            </w:r>
          </w:p>
        </w:tc>
        <w:tc>
          <w:tcPr/>
          <w:p>
            <w:pPr>
              <w:pStyle w:val="Compact"/>
              <w:jc w:val="left"/>
            </w:pPr>
            <w:r>
              <w:rPr>
                <w:rFonts w:hint="eastAsia"/>
              </w:rPr>
              <w:t xml:space="preserve">平移检验、拐点局部检验和残差自相关检验</w:t>
            </w:r>
          </w:p>
        </w:tc>
        <w:tc>
          <w:tcPr/>
          <w:p>
            <w:pPr>
              <w:pStyle w:val="Compact"/>
              <w:jc w:val="left"/>
            </w:pPr>
            <w:r>
              <w:t xml:space="preserve">Ljung–Box lag10</w:t>
            </w:r>
            <w:r>
              <w:t xml:space="preserve"> </w:t>
            </w:r>
            <m:oMath>
              <m:r>
                <m:t>p</m:t>
              </m:r>
              <m:r>
                <m:rPr>
                  <m:sty m:val="p"/>
                </m:rPr>
                <m:t>=</m:t>
              </m:r>
              <m:r>
                <m:t>0.364</m:t>
              </m:r>
            </m:oMath>
            <w:r>
              <w:rPr>
                <w:rFonts w:hint="eastAsia"/>
              </w:rPr>
              <w:t xml:space="preserve">，未发现显著线性残差自相关</w:t>
            </w:r>
          </w:p>
        </w:tc>
        <w:tc>
          <w:tcPr/>
          <w:p>
            <w:pPr>
              <w:pStyle w:val="Compact"/>
              <w:jc w:val="left"/>
            </w:pPr>
            <w:r>
              <w:rPr>
                <w:rFonts w:hint="eastAsia"/>
              </w:rPr>
              <w:t xml:space="preserve">拟合曲线没有明显依赖</w:t>
            </w:r>
            <w:r>
              <w:rPr>
                <w:rFonts w:hint="eastAsia"/>
              </w:rPr>
              <w:t xml:space="preserve">“昨天当今天”</w:t>
            </w:r>
            <w:r>
              <w:rPr>
                <w:rFonts w:hint="eastAsia"/>
              </w:rPr>
              <w:t xml:space="preserve">的滞后复制</w:t>
            </w:r>
          </w:p>
        </w:tc>
      </w:tr>
      <w:tr>
        <w:tc>
          <w:tcPr/>
          <w:p>
            <w:pPr>
              <w:pStyle w:val="Compact"/>
              <w:jc w:val="left"/>
            </w:pPr>
            <w:r>
              <w:rPr>
                <w:rFonts w:hint="eastAsia"/>
              </w:rPr>
              <w:t xml:space="preserve">是否偷改题面弹性</w:t>
            </w:r>
          </w:p>
        </w:tc>
        <w:tc>
          <w:tcPr/>
          <w:p>
            <w:pPr>
              <w:pStyle w:val="Compact"/>
              <w:jc w:val="left"/>
            </w:pPr>
            <w:r>
              <w:rPr>
                <w:rFonts w:hint="eastAsia"/>
              </w:rPr>
              <w:t xml:space="preserve">将价格传导系数强制设为</w:t>
            </w:r>
            <w:r>
              <w:t xml:space="preserve"> </w:t>
            </w:r>
            <m:oMath>
              <m:r>
                <m:t>ϕ</m:t>
              </m:r>
              <m:r>
                <m:rPr>
                  <m:sty m:val="p"/>
                </m:rPr>
                <m:t>=</m:t>
              </m:r>
              <m:r>
                <m:t>1</m:t>
              </m:r>
            </m:oMath>
          </w:p>
        </w:tc>
        <w:tc>
          <w:tcPr/>
          <w:p>
            <w:pPr>
              <w:pStyle w:val="Compact"/>
              <w:jc w:val="left"/>
            </w:pPr>
            <w:r>
              <w:t xml:space="preserve">RMSE </w:t>
            </w:r>
            <w:r>
              <w:rPr>
                <w:rFonts w:hint="eastAsia"/>
              </w:rPr>
              <w:t xml:space="preserve">升至</w:t>
            </w:r>
            <w:r>
              <w:t xml:space="preserve"> </w:t>
            </w:r>
            <w:r>
              <w:rPr>
                <w:rFonts w:hint="eastAsia"/>
              </w:rPr>
              <w:t xml:space="preserve">26.55，模拟峰值升至</w:t>
            </w:r>
            <w:r>
              <w:t xml:space="preserve"> 166.84 </w:t>
            </w:r>
            <w:r>
              <w:rPr>
                <w:rFonts w:hint="eastAsia"/>
              </w:rPr>
              <w:t xml:space="preserve">美元/桶</w:t>
            </w:r>
          </w:p>
        </w:tc>
        <w:tc>
          <w:tcPr/>
          <w:p>
            <w:pPr>
              <w:pStyle w:val="Compact"/>
              <w:jc w:val="left"/>
            </w:pPr>
            <w:r>
              <w:rPr>
                <w:rFonts w:hint="eastAsia"/>
              </w:rPr>
              <w:t xml:space="preserve">题面低弹性用于反事实上界，</w:t>
            </w:r>
            <m:oMath>
              <m:r>
                <m:t>ϕ</m:t>
              </m:r>
            </m:oMath>
            <w:r>
              <w:t xml:space="preserve"> </w:t>
            </w:r>
            <w:r>
              <w:rPr>
                <w:rFonts w:hint="eastAsia"/>
              </w:rPr>
              <w:t xml:space="preserve">是期货市场折价传导参数</w:t>
            </w:r>
          </w:p>
        </w:tc>
      </w:tr>
      <w:tr>
        <w:tc>
          <w:tcPr/>
          <w:p>
            <w:pPr>
              <w:pStyle w:val="Compact"/>
              <w:jc w:val="left"/>
            </w:pPr>
            <w:r>
              <w:rPr>
                <w:rFonts w:hint="eastAsia"/>
              </w:rPr>
              <w:t xml:space="preserve">是否参数过拟合</w:t>
            </w:r>
          </w:p>
        </w:tc>
        <w:tc>
          <w:tcPr/>
          <w:p>
            <w:pPr>
              <w:pStyle w:val="Compact"/>
              <w:jc w:val="left"/>
            </w:pPr>
            <w:r>
              <w:t xml:space="preserve">1000 </w:t>
            </w:r>
            <w:r>
              <w:rPr>
                <w:rFonts w:hint="eastAsia"/>
              </w:rPr>
              <w:t xml:space="preserve">组</w:t>
            </w:r>
            <w:r>
              <w:t xml:space="preserve"> </w:t>
            </w:r>
            <m:oMath>
              <m:r>
                <m:rPr>
                  <m:sty m:val="p"/>
                </m:rPr>
                <m:t>±</m:t>
              </m:r>
              <m:r>
                <m:t>15</m:t>
              </m:r>
              <m:r>
                <m:rPr>
                  <m:sty m:val="p"/>
                </m:rPr>
                <m:t>%</m:t>
              </m:r>
            </m:oMath>
            <w:r>
              <w:t xml:space="preserve"> </w:t>
            </w:r>
            <w:r>
              <w:rPr>
                <w:rFonts w:hint="eastAsia"/>
              </w:rPr>
              <w:t xml:space="preserve">扰动和</w:t>
            </w:r>
            <w:r>
              <w:t xml:space="preserve"> 800 </w:t>
            </w:r>
            <w:r>
              <w:rPr>
                <w:rFonts w:hint="eastAsia"/>
              </w:rPr>
              <w:t xml:space="preserve">组局部扰动</w:t>
            </w:r>
          </w:p>
        </w:tc>
        <w:tc>
          <w:tcPr/>
          <w:p>
            <w:pPr>
              <w:pStyle w:val="Compact"/>
              <w:jc w:val="left"/>
            </w:pPr>
            <w:r>
              <w:t xml:space="preserve">96.6% </w:t>
            </w:r>
            <w:r>
              <w:rPr>
                <w:rFonts w:hint="eastAsia"/>
              </w:rPr>
              <w:t xml:space="preserve">扰动样本峰值仍在</w:t>
            </w:r>
            <w:r>
              <w:t xml:space="preserve"> 105–125 </w:t>
            </w:r>
            <w:r>
              <w:rPr>
                <w:rFonts w:hint="eastAsia"/>
              </w:rPr>
              <w:t xml:space="preserve">美元/桶，局部优秀率</w:t>
            </w:r>
            <w:r>
              <w:t xml:space="preserve"> 99.4%</w:t>
            </w:r>
          </w:p>
        </w:tc>
        <w:tc>
          <w:tcPr/>
          <w:p>
            <w:pPr>
              <w:pStyle w:val="Compact"/>
              <w:jc w:val="left"/>
            </w:pPr>
            <w:r>
              <w:rPr>
                <w:rFonts w:hint="eastAsia"/>
              </w:rPr>
              <w:t xml:space="preserve">价格平台不依赖唯一一组神奇参数</w:t>
            </w:r>
          </w:p>
        </w:tc>
      </w:tr>
      <w:tr>
        <w:tc>
          <w:tcPr/>
          <w:p>
            <w:pPr>
              <w:pStyle w:val="Compact"/>
              <w:jc w:val="left"/>
            </w:pPr>
            <w:r>
              <w:rPr>
                <w:rFonts w:hint="eastAsia"/>
              </w:rPr>
              <w:t xml:space="preserve">长期是否只是三条点预测线</w:t>
            </w:r>
          </w:p>
        </w:tc>
        <w:tc>
          <w:tcPr/>
          <w:p>
            <w:pPr>
              <w:pStyle w:val="Compact"/>
              <w:jc w:val="left"/>
            </w:pPr>
            <w:r>
              <w:rPr>
                <w:rFonts w:hint="eastAsia"/>
              </w:rPr>
              <w:t xml:space="preserve">蒙特卡洛</w:t>
            </w:r>
            <w:r>
              <w:t xml:space="preserve"> 2000 </w:t>
            </w:r>
            <w:r>
              <w:rPr>
                <w:rFonts w:hint="eastAsia"/>
              </w:rPr>
              <w:t xml:space="preserve">条条件路径与三情景中心线对比</w:t>
            </w:r>
          </w:p>
        </w:tc>
        <w:tc>
          <w:tcPr/>
          <w:p>
            <w:pPr>
              <w:pStyle w:val="Compact"/>
              <w:jc w:val="left"/>
            </w:pPr>
            <w:r>
              <w:rPr>
                <w:rFonts w:hint="eastAsia"/>
              </w:rPr>
              <w:t xml:space="preserve">第</w:t>
            </w:r>
            <w:r>
              <w:t xml:space="preserve"> 180 </w:t>
            </w:r>
            <w:r>
              <w:rPr>
                <w:rFonts w:hint="eastAsia"/>
              </w:rPr>
              <w:t xml:space="preserve">天</w:t>
            </w:r>
            <w:r>
              <w:t xml:space="preserve"> P05–P95 </w:t>
            </w:r>
            <w:r>
              <w:rPr>
                <w:rFonts w:hint="eastAsia"/>
              </w:rPr>
              <w:t xml:space="preserve">为</w:t>
            </w:r>
            <w:r>
              <w:t xml:space="preserve"> 87.67–101.01 </w:t>
            </w:r>
            <w:r>
              <w:rPr>
                <w:rFonts w:hint="eastAsia"/>
              </w:rPr>
              <w:t xml:space="preserve">美元/桶，突破</w:t>
            </w:r>
            <w:r>
              <w:t xml:space="preserve"> 120 </w:t>
            </w:r>
            <w:r>
              <w:rPr>
                <w:rFonts w:hint="eastAsia"/>
              </w:rPr>
              <w:t xml:space="preserve">概率约</w:t>
            </w:r>
            <w:r>
              <w:t xml:space="preserve"> 4.6%</w:t>
            </w:r>
          </w:p>
        </w:tc>
        <w:tc>
          <w:tcPr/>
          <w:p>
            <w:pPr>
              <w:pStyle w:val="Compact"/>
              <w:jc w:val="left"/>
            </w:pPr>
            <w:r>
              <w:rPr>
                <w:rFonts w:hint="eastAsia"/>
              </w:rPr>
              <w:t xml:space="preserve">长期结论应读作条件区间和尾部风险，而非精确日度预测</w:t>
            </w:r>
          </w:p>
        </w:tc>
      </w:tr>
      <w:tr>
        <w:tc>
          <w:tcPr/>
          <w:p>
            <w:pPr>
              <w:pStyle w:val="Compact"/>
              <w:jc w:val="left"/>
            </w:pPr>
            <w:r>
              <w:rPr>
                <w:rFonts w:hint="eastAsia"/>
              </w:rPr>
              <w:t xml:space="preserve">长期制度风险是否任意托底</w:t>
            </w:r>
          </w:p>
        </w:tc>
        <w:tc>
          <w:tcPr/>
          <w:p>
            <w:pPr>
              <w:pStyle w:val="Compact"/>
              <w:jc w:val="left"/>
            </w:pPr>
            <w:r>
              <w:rPr>
                <w:rFonts w:hint="eastAsia"/>
              </w:rPr>
              <w:t xml:space="preserve">将不确定性溢价减半或随时间强制衰减</w:t>
            </w:r>
          </w:p>
        </w:tc>
        <w:tc>
          <w:tcPr/>
          <w:p>
            <w:pPr>
              <w:pStyle w:val="Compact"/>
              <w:jc w:val="left"/>
            </w:pPr>
            <w:r>
              <w:rPr>
                <w:rFonts w:hint="eastAsia"/>
              </w:rPr>
              <w:t xml:space="preserve">中性第</w:t>
            </w:r>
            <w:r>
              <w:t xml:space="preserve"> 180 </w:t>
            </w:r>
            <w:r>
              <w:rPr>
                <w:rFonts w:hint="eastAsia"/>
              </w:rPr>
              <w:t xml:space="preserve">天降至</w:t>
            </w:r>
            <w:r>
              <w:t xml:space="preserve"> 89.15 </w:t>
            </w:r>
            <w:r>
              <w:rPr>
                <w:rFonts w:hint="eastAsia"/>
              </w:rPr>
              <w:t xml:space="preserve">或</w:t>
            </w:r>
            <w:r>
              <w:t xml:space="preserve"> 87.82 </w:t>
            </w:r>
            <w:r>
              <w:rPr>
                <w:rFonts w:hint="eastAsia"/>
              </w:rPr>
              <w:t xml:space="preserve">美元/桶，悲观仍保留</w:t>
            </w:r>
            <w:r>
              <w:t xml:space="preserve"> 99.80–101.27 </w:t>
            </w:r>
            <w:r>
              <w:rPr>
                <w:rFonts w:hint="eastAsia"/>
              </w:rPr>
              <w:t xml:space="preserve">美元/桶压力</w:t>
            </w:r>
          </w:p>
        </w:tc>
        <w:tc>
          <w:tcPr/>
          <w:p>
            <w:pPr>
              <w:pStyle w:val="Compact"/>
              <w:jc w:val="left"/>
            </w:pPr>
            <w:r>
              <w:rPr>
                <w:rFonts w:hint="eastAsia"/>
              </w:rPr>
              <w:t xml:space="preserve">制度风险影响长期平衡点，但悲观尾部仍来自多因素组合</w:t>
            </w:r>
          </w:p>
        </w:tc>
      </w:tr>
    </w:tbl>
    <w:bookmarkEnd w:id="80"/>
    <w:bookmarkEnd w:id="81"/>
    <w:bookmarkEnd w:id="82"/>
    <w:bookmarkStart w:id="95" w:name="天三情景预测"/>
    <w:p>
      <w:pPr>
        <w:pStyle w:val="Heading1"/>
      </w:pPr>
      <w:r>
        <w:t xml:space="preserve">60–180 </w:t>
      </w:r>
      <w:r>
        <w:rPr>
          <w:rFonts w:hint="eastAsia"/>
        </w:rPr>
        <w:t xml:space="preserve">天三情景预测</w:t>
      </w:r>
    </w:p>
    <w:bookmarkStart w:id="83" w:name="情景设定"/>
    <w:p>
      <w:pPr>
        <w:pStyle w:val="Heading2"/>
      </w:pPr>
      <w:r>
        <w:rPr>
          <w:rFonts w:hint="eastAsia"/>
        </w:rPr>
        <w:t xml:space="preserve">情景设定</w:t>
      </w:r>
    </w:p>
    <w:p>
      <w:pPr>
        <w:pStyle w:val="FirstParagraph"/>
      </w:pPr>
      <w:r>
        <w:rPr>
          <w:rFonts w:hint="eastAsia"/>
        </w:rPr>
        <w:t xml:space="preserve">长期情景预测在综合最优参数基础上构建乐观、中性和悲观三种情景。附件真实价格只覆盖到</w:t>
      </w:r>
      <w:r>
        <w:t xml:space="preserve"> 2026 </w:t>
      </w:r>
      <w:r>
        <w:rPr>
          <w:rFonts w:hint="eastAsia"/>
        </w:rPr>
        <w:t xml:space="preserve">年</w:t>
      </w:r>
      <w:r>
        <w:t xml:space="preserve"> 5 </w:t>
      </w:r>
      <w:r>
        <w:rPr>
          <w:rFonts w:hint="eastAsia"/>
        </w:rPr>
        <w:t xml:space="preserve">月</w:t>
      </w:r>
      <w:r>
        <w:t xml:space="preserve"> 5 </w:t>
      </w:r>
      <w:r>
        <w:rPr>
          <w:rFonts w:hint="eastAsia"/>
        </w:rPr>
        <w:t xml:space="preserve">日，之后全部为条件情景外推，不作为真实观测数据。</w:t>
      </w:r>
    </w:p>
    <w:p>
      <w:pPr>
        <w:pStyle w:val="BodyText"/>
      </w:pPr>
      <w:r>
        <w:rPr>
          <w:rFonts w:hint="eastAsia"/>
        </w:rPr>
        <w:t xml:space="preserve">需要特别说明，长期部分不能称为</w:t>
      </w:r>
      <w:r>
        <w:rPr>
          <w:rFonts w:hint="eastAsia"/>
        </w:rPr>
        <w:t xml:space="preserve">“拟合”</w:t>
      </w:r>
      <w:r>
        <w:rPr>
          <w:rFonts w:hint="eastAsia"/>
        </w:rPr>
        <w:t xml:space="preserve">。原因是赛题附件只提供到</w:t>
      </w:r>
      <w:r>
        <w:t xml:space="preserve"> 2026 </w:t>
      </w:r>
      <w:r>
        <w:rPr>
          <w:rFonts w:hint="eastAsia"/>
        </w:rPr>
        <w:t xml:space="preserve">年</w:t>
      </w:r>
      <w:r>
        <w:t xml:space="preserve"> 5 </w:t>
      </w:r>
      <w:r>
        <w:rPr>
          <w:rFonts w:hint="eastAsia"/>
        </w:rPr>
        <w:t xml:space="preserve">月初的真实价格，60–180</w:t>
      </w:r>
      <w:r>
        <w:t xml:space="preserve"> </w:t>
      </w:r>
      <w:r>
        <w:rPr>
          <w:rFonts w:hint="eastAsia"/>
        </w:rPr>
        <w:t xml:space="preserve">天区间没有可用于事后对照的真实观测值。因此本文对长期部分采用</w:t>
      </w:r>
      <w:r>
        <w:rPr>
          <w:rFonts w:hint="eastAsia"/>
        </w:rPr>
        <w:t xml:space="preserve">“情景预测”</w:t>
      </w:r>
      <w:r>
        <w:rPr>
          <w:rFonts w:hint="eastAsia"/>
        </w:rPr>
        <w:t xml:space="preserve">和</w:t>
      </w:r>
      <w:r>
        <w:rPr>
          <w:rFonts w:hint="eastAsia"/>
        </w:rPr>
        <w:t xml:space="preserve">“平衡点分析”</w:t>
      </w:r>
      <w:r>
        <w:rPr>
          <w:rFonts w:hint="eastAsia"/>
        </w:rPr>
        <w:t xml:space="preserve">的表述：短期窗口负责校准机制，长期窗口负责在不同政策和市场条件下外推价格路径。</w:t>
      </w:r>
    </w:p>
    <w:p>
      <w:pPr>
        <w:pStyle w:val="BodyText"/>
      </w:pPr>
      <w:r>
        <w:rPr>
          <w:rFonts w:hint="eastAsia"/>
        </w:rPr>
        <w:t xml:space="preserve">长期三情景图中的单条曲线是条件中心路径，而不是对未来每日收盘价的精确点预测。其形状较平滑，是因为模型刻画的是供应恢复、SPR</w:t>
      </w:r>
      <w:r>
        <w:t xml:space="preserve"> </w:t>
      </w:r>
      <w:r>
        <w:rPr>
          <w:rFonts w:hint="eastAsia"/>
        </w:rPr>
        <w:t xml:space="preserve">收缩、需求弹性调整和风险溢价衰减等慢变量；真实市场中的新闻冲击、风险偏好变化和短期波动会使实际价格围绕中心路径震荡。因此，本文不以中性线是否逐日命中未来价格作为长期模型质量标准，而以机制合理性、官方外生数据审计、敏感性分析和蒙特卡洛概率区间共同评价长期预测可信度。</w:t>
      </w:r>
    </w:p>
    <w:p>
      <w:pPr>
        <w:pStyle w:val="BodyText"/>
      </w:pPr>
      <w:r>
        <w:rPr>
          <w:rFonts w:hint="eastAsia"/>
        </w:rPr>
        <w:t xml:space="preserve">换言之，长期部分的正确读法不是</w:t>
      </w:r>
      <w:r>
        <w:rPr>
          <w:rFonts w:hint="eastAsia"/>
        </w:rPr>
        <w:t xml:space="preserve">“第</w:t>
      </w:r>
      <w:r>
        <w:t xml:space="preserve"> 180 </w:t>
      </w:r>
      <w:r>
        <w:rPr>
          <w:rFonts w:hint="eastAsia"/>
        </w:rPr>
        <w:t xml:space="preserve">天一定等于</w:t>
      </w:r>
      <w:r>
        <w:t xml:space="preserve"> 92.43 </w:t>
      </w:r>
      <w:r>
        <w:rPr>
          <w:rFonts w:hint="eastAsia"/>
        </w:rPr>
        <w:t xml:space="preserve">美元/桶”</w:t>
      </w:r>
      <w:r>
        <w:rPr>
          <w:rFonts w:hint="eastAsia"/>
        </w:rPr>
        <w:t xml:space="preserve">，而是</w:t>
      </w:r>
      <w:r>
        <w:rPr>
          <w:rFonts w:hint="eastAsia"/>
        </w:rPr>
        <w:t xml:space="preserve">“在中性政策缓冲、供给恢复和风险溢价衰减假设下，中心路径回归到低</w:t>
      </w:r>
      <w:r>
        <w:t xml:space="preserve"> 90 </w:t>
      </w:r>
      <w:r>
        <w:rPr>
          <w:rFonts w:hint="eastAsia"/>
        </w:rPr>
        <w:t xml:space="preserve">美元/桶附近；若多个不利因素同时出现，价格仍可能进入</w:t>
      </w:r>
      <w:r>
        <w:t xml:space="preserve"> 120 </w:t>
      </w:r>
      <w:r>
        <w:rPr>
          <w:rFonts w:hint="eastAsia"/>
        </w:rPr>
        <w:t xml:space="preserve">美元/桶以上的尾部区间”</w:t>
      </w:r>
      <w:r>
        <w:rPr>
          <w:rFonts w:hint="eastAsia"/>
        </w:rPr>
        <w:t xml:space="preserve">。因此，三情景中心线需要与第</w:t>
      </w:r>
      <w:r>
        <w:t xml:space="preserve"> </w:t>
      </w:r>
      <w:hyperlink w:anchor="sec:monte-carlo">
        <w:r>
          <w:rPr>
            <w:rStyle w:val="Hyperlink"/>
          </w:rPr>
          <w:t xml:space="preserve">9.3</w:t>
        </w:r>
      </w:hyperlink>
      <w:r>
        <w:t xml:space="preserve"> </w:t>
      </w:r>
      <w:r>
        <w:rPr>
          <w:rFonts w:hint="eastAsia"/>
        </w:rPr>
        <w:t xml:space="preserve">节蒙特卡洛扇形区间合读。</w:t>
      </w:r>
    </w:p>
    <w:p>
      <w:pPr>
        <w:pStyle w:val="BodyText"/>
      </w:pPr>
      <w:r>
        <w:rPr>
          <w:rFonts w:hint="eastAsia"/>
        </w:rPr>
        <w:t xml:space="preserve">长期模型从短期动态递推模型延伸而来，但在四个方面做了时间尺度调整：</w:t>
      </w:r>
    </w:p>
    <w:p>
      <w:pPr>
        <w:numPr>
          <w:ilvl w:val="0"/>
          <w:numId w:val="1004"/>
        </w:numPr>
      </w:pPr>
      <w:r>
        <w:rPr>
          <w:rFonts w:hint="eastAsia"/>
        </w:rPr>
        <w:t xml:space="preserve">供应侧：保持封锁造成的基础缺口，同时允许非海湾产油国和</w:t>
      </w:r>
      <w:r>
        <w:t xml:space="preserve"> OPEC </w:t>
      </w:r>
      <w:r>
        <w:rPr>
          <w:rFonts w:hint="eastAsia"/>
        </w:rPr>
        <w:t xml:space="preserve">剩余产能缓慢响应。</w:t>
      </w:r>
    </w:p>
    <w:p>
      <w:pPr>
        <w:numPr>
          <w:ilvl w:val="0"/>
          <w:numId w:val="1004"/>
        </w:numPr>
      </w:pPr>
      <w:r>
        <w:rPr>
          <w:rFonts w:hint="eastAsia"/>
        </w:rPr>
        <w:t xml:space="preserve">缓冲侧：SPR、商业库存和绕道运输继续发挥作用，但其边际能力随时间下降或受运输瓶颈约束。</w:t>
      </w:r>
    </w:p>
    <w:p>
      <w:pPr>
        <w:numPr>
          <w:ilvl w:val="0"/>
          <w:numId w:val="1004"/>
        </w:numPr>
      </w:pPr>
      <w:r>
        <w:rPr>
          <w:rFonts w:hint="eastAsia"/>
        </w:rPr>
        <w:t xml:space="preserve">需求侧：长期需求价格弹性高于短期弹性，反映高油价持续后消费、生产和替代能源调整更充分。</w:t>
      </w:r>
    </w:p>
    <w:p>
      <w:pPr>
        <w:numPr>
          <w:ilvl w:val="0"/>
          <w:numId w:val="1004"/>
        </w:numPr>
      </w:pPr>
      <w:r>
        <w:rPr>
          <w:rFonts w:hint="eastAsia"/>
        </w:rPr>
        <w:t xml:space="preserve">风险侧：恐慌溢价逐步衰减，不确定性溢价拆分为前期冲击不确定性和持续封锁制度风险，避免把长期价格简单托在一个常数平台上。</w:t>
      </w:r>
    </w:p>
    <w:p>
      <w:pPr>
        <w:pStyle w:val="FirstParagraph"/>
      </w:pPr>
      <w:r>
        <w:rPr>
          <w:rFonts w:hint="eastAsia"/>
        </w:rPr>
        <w:t xml:space="preserve">记长期外推期第</w:t>
      </w:r>
      <w:r>
        <w:t xml:space="preserve"> </w:t>
      </w:r>
      <m:oMath>
        <m:r>
          <m:t>t</m:t>
        </m:r>
      </m:oMath>
      <w:r>
        <w:t xml:space="preserve"> </w:t>
      </w:r>
      <w:r>
        <w:rPr>
          <w:rFonts w:hint="eastAsia"/>
        </w:rPr>
        <w:t xml:space="preserve">日有效供应为</w:t>
      </w:r>
      <w:r>
        <w:t xml:space="preserve"> </w:t>
      </w:r>
      <m:oMath>
        <m:sSubSup>
          <m:e>
            <m:r>
              <m:t>S</m:t>
            </m:r>
          </m:e>
          <m:sub>
            <m:r>
              <m:t>t</m:t>
            </m:r>
          </m:sub>
          <m:sup>
            <m:r>
              <m:rPr>
                <m:sty m:val="p"/>
              </m:rPr>
              <m:t>(</m:t>
            </m:r>
            <m:r>
              <m:t>L</m:t>
            </m:r>
            <m:r>
              <m:rPr>
                <m:sty m:val="p"/>
              </m:rPr>
              <m:t>)</m:t>
            </m:r>
          </m:sup>
        </m:sSubSup>
      </m:oMath>
      <w:r>
        <w:rPr>
          <w:rFonts w:hint="eastAsia"/>
        </w:rPr>
        <w:t xml:space="preserve">，有效需求为</w:t>
      </w:r>
      <w:r>
        <w:t xml:space="preserve"> </w:t>
      </w:r>
      <m:oMath>
        <m:sSubSup>
          <m:e>
            <m:r>
              <m:t>D</m:t>
            </m:r>
          </m:e>
          <m:sub>
            <m:r>
              <m:t>t</m:t>
            </m:r>
          </m:sub>
          <m:sup>
            <m:r>
              <m:rPr>
                <m:sty m:val="p"/>
              </m:rPr>
              <m:t>(</m:t>
            </m:r>
            <m:r>
              <m:t>L</m:t>
            </m:r>
            <m:r>
              <m:rPr>
                <m:sty m:val="p"/>
              </m:rPr>
              <m:t>)</m:t>
            </m:r>
          </m:sup>
        </m:sSubSup>
      </m:oMath>
      <w:r>
        <w:rPr>
          <w:rFonts w:hint="eastAsia"/>
        </w:rPr>
        <w:t xml:space="preserve">。在短期模型的基础上，长期供需缺口可写为</w:t>
      </w:r>
    </w:p>
    <w:p>
      <w:pPr>
        <w:pStyle w:val="BodyText"/>
      </w:pPr>
      <m:oMathPara>
        <m:oMathParaPr>
          <m:jc m:val="center"/>
        </m:oMathParaPr>
        <m:oMath>
          <m:sSubSup>
            <m:e>
              <m:r>
                <m:t>G</m:t>
              </m:r>
            </m:e>
            <m:sub>
              <m:r>
                <m:t>t</m:t>
              </m:r>
            </m:sub>
            <m:sup>
              <m:r>
                <m:rPr>
                  <m:sty m:val="p"/>
                </m:rPr>
                <m:t>(</m:t>
              </m:r>
              <m:r>
                <m:t>L</m:t>
              </m:r>
              <m:r>
                <m:rPr>
                  <m:sty m:val="p"/>
                </m:rPr>
                <m:t>)</m:t>
              </m:r>
            </m:sup>
          </m:sSubSup>
          <m:r>
            <m:rPr>
              <m:sty m:val="p"/>
            </m:rPr>
            <m:t>=</m:t>
          </m:r>
          <m:sSubSup>
            <m:e>
              <m:r>
                <m:t>D</m:t>
              </m:r>
            </m:e>
            <m:sub>
              <m:r>
                <m:t>t</m:t>
              </m:r>
            </m:sub>
            <m:sup>
              <m:r>
                <m:rPr>
                  <m:sty m:val="p"/>
                </m:rPr>
                <m:t>(</m:t>
              </m:r>
              <m:r>
                <m:t>L</m:t>
              </m:r>
              <m:r>
                <m:rPr>
                  <m:sty m:val="p"/>
                </m:rPr>
                <m:t>)</m:t>
              </m:r>
            </m:sup>
          </m:sSubSup>
          <m:r>
            <m:rPr>
              <m:sty m:val="p"/>
            </m:rPr>
            <m:t>−</m:t>
          </m:r>
          <m:d>
            <m:dPr>
              <m:begChr m:val="["/>
              <m:sepChr m:val=""/>
              <m:endChr m:val="]"/>
              <m:grow/>
            </m:dPr>
            <m:e>
              <m:sSub>
                <m:e>
                  <m:r>
                    <m:t>S</m:t>
                  </m:r>
                </m:e>
                <m:sub>
                  <m:r>
                    <m:t>0</m:t>
                  </m:r>
                </m:sub>
              </m:sSub>
              <m:r>
                <m:rPr>
                  <m:sty m:val="p"/>
                </m:rPr>
                <m:t>−</m:t>
              </m:r>
              <m:r>
                <m:t>I</m:t>
              </m:r>
              <m:r>
                <m:rPr>
                  <m:sty m:val="p"/>
                </m:rPr>
                <m:t>+</m:t>
              </m:r>
              <m:sSub>
                <m:e>
                  <m:r>
                    <m:t>R</m:t>
                  </m:r>
                </m:e>
                <m:sub>
                  <m:r>
                    <m:t>t</m:t>
                  </m:r>
                </m:sub>
              </m:sSub>
              <m:r>
                <m:rPr>
                  <m:sty m:val="p"/>
                </m:rPr>
                <m:t>+</m:t>
              </m:r>
              <m:sSub>
                <m:e>
                  <m:r>
                    <m:t>Q</m:t>
                  </m:r>
                </m:e>
                <m:sub>
                  <m:r>
                    <m:t>t</m:t>
                  </m:r>
                </m:sub>
              </m:sSub>
              <m:r>
                <m:rPr>
                  <m:sty m:val="p"/>
                </m:rPr>
                <m:t>+</m:t>
              </m:r>
              <m:sSub>
                <m:e>
                  <m:r>
                    <m:t>B</m:t>
                  </m:r>
                </m:e>
                <m:sub>
                  <m:r>
                    <m:t>t</m:t>
                  </m:r>
                </m:sub>
              </m:sSub>
              <m:r>
                <m:rPr>
                  <m:sty m:val="p"/>
                </m:rPr>
                <m:t>+</m:t>
              </m:r>
              <m:sSub>
                <m:e>
                  <m:r>
                    <m:t>A</m:t>
                  </m:r>
                </m:e>
                <m:sub>
                  <m:r>
                    <m:t>t</m:t>
                  </m:r>
                </m:sub>
              </m:sSub>
            </m:e>
          </m:d>
          <m:r>
            <m:rPr>
              <m:sty m:val="p"/>
            </m:rPr>
            <m:t>,</m:t>
          </m:r>
        </m:oMath>
      </m:oMathPara>
    </w:p>
    <w:p>
      <w:pPr>
        <w:pStyle w:val="FirstParagraph"/>
      </w:pPr>
      <w:r>
        <w:rPr>
          <w:rFonts w:hint="eastAsia"/>
        </w:rPr>
        <w:t xml:space="preserve">其中</w:t>
      </w:r>
      <w:r>
        <w:t xml:space="preserve"> </w:t>
      </w:r>
      <m:oMath>
        <m:r>
          <m:t>I</m:t>
        </m:r>
      </m:oMath>
      <w:r>
        <w:t xml:space="preserve"> </w:t>
      </w:r>
      <w:r>
        <w:rPr>
          <w:rFonts w:hint="eastAsia"/>
        </w:rPr>
        <w:t xml:space="preserve">为供应中断量，</w:t>
      </w:r>
      <m:oMath>
        <m:sSub>
          <m:e>
            <m:r>
              <m:t>R</m:t>
            </m:r>
          </m:e>
          <m:sub>
            <m:r>
              <m:t>t</m:t>
            </m:r>
          </m:sub>
        </m:sSub>
      </m:oMath>
      <w:r>
        <w:t xml:space="preserve"> </w:t>
      </w:r>
      <w:r>
        <w:rPr>
          <w:rFonts w:hint="eastAsia"/>
        </w:rPr>
        <w:t xml:space="preserve">为实际</w:t>
      </w:r>
      <w:r>
        <w:t xml:space="preserve"> SPR </w:t>
      </w:r>
      <w:r>
        <w:rPr>
          <w:rFonts w:hint="eastAsia"/>
        </w:rPr>
        <w:t xml:space="preserve">释放量，</w:t>
      </w:r>
      <m:oMath>
        <m:sSub>
          <m:e>
            <m:r>
              <m:t>Q</m:t>
            </m:r>
          </m:e>
          <m:sub>
            <m:r>
              <m:t>t</m:t>
            </m:r>
          </m:sub>
        </m:sSub>
      </m:oMath>
      <w:r>
        <w:t xml:space="preserve"> </w:t>
      </w:r>
      <w:r>
        <w:rPr>
          <w:rFonts w:hint="eastAsia"/>
        </w:rPr>
        <w:t xml:space="preserve">为绕道运输恢复量，</w:t>
      </w:r>
      <m:oMath>
        <m:sSub>
          <m:e>
            <m:r>
              <m:t>B</m:t>
            </m:r>
          </m:e>
          <m:sub>
            <m:r>
              <m:t>t</m:t>
            </m:r>
          </m:sub>
        </m:sSub>
      </m:oMath>
      <w:r>
        <w:t xml:space="preserve"> </w:t>
      </w:r>
      <w:r>
        <w:rPr>
          <w:rFonts w:hint="eastAsia"/>
        </w:rPr>
        <w:t xml:space="preserve">为商业库存缓冲量，</w:t>
      </w:r>
      <m:oMath>
        <m:sSub>
          <m:e>
            <m:r>
              <m:t>A</m:t>
            </m:r>
          </m:e>
          <m:sub>
            <m:r>
              <m:t>t</m:t>
            </m:r>
          </m:sub>
        </m:sSub>
      </m:oMath>
      <w:r>
        <w:t xml:space="preserve"> </w:t>
      </w:r>
      <w:r>
        <w:rPr>
          <w:rFonts w:hint="eastAsia"/>
        </w:rPr>
        <w:t xml:space="preserve">为其他产油国增产或替代供应增量。为避免将</w:t>
      </w:r>
      <w:r>
        <w:t xml:space="preserve"> SPR </w:t>
      </w:r>
      <w:r>
        <w:rPr>
          <w:rFonts w:hint="eastAsia"/>
        </w:rPr>
        <w:t xml:space="preserve">机械地设为计划上限，本文令实际释放量随缺口和价格压力自适应收缩：</w:t>
      </w:r>
    </w:p>
    <w:p>
      <w:pPr>
        <w:pStyle w:val="BodyText"/>
      </w:pPr>
      <m:oMathPara>
        <m:oMathParaPr>
          <m:jc m:val="center"/>
        </m:oMathParaPr>
        <m:oMath>
          <m:sSub>
            <m:e>
              <m:r>
                <m:t>R</m:t>
              </m:r>
            </m:e>
            <m:sub>
              <m:r>
                <m:t>t</m:t>
              </m:r>
            </m:sub>
          </m:sSub>
          <m:r>
            <m:rPr>
              <m:sty m:val="p"/>
            </m:rPr>
            <m:t>=</m:t>
          </m:r>
          <m:r>
            <m:rPr>
              <m:sty m:val="p"/>
            </m:rPr>
            <m:t>min</m:t>
          </m:r>
          <m:d>
            <m:dPr>
              <m:begChr m:val="{"/>
              <m:sepChr m:val=""/>
              <m:endChr m:val="}"/>
              <m:grow/>
            </m:dPr>
            <m:e>
              <m:sSub>
                <m:e>
                  <m:acc>
                    <m:accPr>
                      <m:chr m:val="‾"/>
                    </m:accPr>
                    <m:e>
                      <m:r>
                        <m:t>R</m:t>
                      </m:r>
                    </m:e>
                  </m:acc>
                </m:e>
                <m:sub>
                  <m:r>
                    <m:t>t</m:t>
                  </m:r>
                </m:sub>
              </m:sSub>
              <m:r>
                <m:rPr>
                  <m:sty m:val="p"/>
                </m:rPr>
                <m:t>,</m:t>
              </m:r>
              <m:r>
                <m:t> </m:t>
              </m:r>
              <m:r>
                <m:rPr>
                  <m:sty m:val="p"/>
                </m:rPr>
                <m:t>max</m:t>
              </m:r>
              <m:d>
                <m:dPr>
                  <m:begChr m:val="("/>
                  <m:sepChr m:val=""/>
                  <m:endChr m:val=")"/>
                  <m:grow/>
                </m:dPr>
                <m:e>
                  <m:sSub>
                    <m:e>
                      <m:r>
                        <m:t>G</m:t>
                      </m:r>
                    </m:e>
                    <m:sub>
                      <m:r>
                        <m:t>t</m:t>
                      </m:r>
                      <m:r>
                        <m:rPr>
                          <m:sty m:val="p"/>
                        </m:rPr>
                        <m:t>,</m:t>
                      </m:r>
                      <m:r>
                        <m:rPr>
                          <m:sty m:val="p"/>
                        </m:rPr>
                        <m:t>p</m:t>
                      </m:r>
                      <m:r>
                        <m:rPr>
                          <m:sty m:val="p"/>
                        </m:rPr>
                        <m:t>r</m:t>
                      </m:r>
                      <m:r>
                        <m:rPr>
                          <m:sty m:val="p"/>
                        </m:rPr>
                        <m:t>e</m:t>
                      </m:r>
                    </m:sub>
                  </m:sSub>
                  <m:r>
                    <m:rPr>
                      <m:sty m:val="p"/>
                    </m:rPr>
                    <m:t>+</m:t>
                  </m:r>
                  <m:r>
                    <m:t>ρ</m:t>
                  </m:r>
                  <m:sSub>
                    <m:e>
                      <m:r>
                        <m:t>D</m:t>
                      </m:r>
                    </m:e>
                    <m:sub>
                      <m:r>
                        <m:t>0</m:t>
                      </m:r>
                    </m:sub>
                  </m:sSub>
                  <m:r>
                    <m:rPr>
                      <m:sty m:val="p"/>
                    </m:rPr>
                    <m:t>,</m:t>
                  </m:r>
                  <m:r>
                    <m:t> </m:t>
                  </m:r>
                  <m:sSub>
                    <m:e>
                      <m:acc>
                        <m:accPr>
                          <m:chr m:val="‾"/>
                        </m:accPr>
                        <m:e>
                          <m:r>
                            <m:t>R</m:t>
                          </m:r>
                        </m:e>
                      </m:acc>
                    </m:e>
                    <m:sub>
                      <m:r>
                        <m:t>t</m:t>
                      </m:r>
                    </m:sub>
                  </m:sSub>
                  <m:sSub>
                    <m:e>
                      <m:r>
                        <m:t>λ</m:t>
                      </m:r>
                    </m:e>
                    <m:sub>
                      <m:r>
                        <m:t>t</m:t>
                      </m:r>
                    </m:sub>
                  </m:sSub>
                  <m:sSub>
                    <m:e>
                      <m:r>
                        <m:t>τ</m:t>
                      </m:r>
                    </m:e>
                    <m:sub>
                      <m:r>
                        <m:t>t</m:t>
                      </m:r>
                    </m:sub>
                  </m:sSub>
                </m:e>
              </m:d>
            </m:e>
          </m:d>
          <m:r>
            <m:rPr>
              <m:sty m:val="p"/>
            </m:rPr>
            <m:t>,</m:t>
          </m:r>
        </m:oMath>
      </m:oMathPara>
    </w:p>
    <w:p>
      <w:pPr>
        <w:pStyle w:val="FirstParagraph"/>
      </w:pPr>
      <w:r>
        <w:rPr>
          <w:rFonts w:hint="eastAsia"/>
        </w:rPr>
        <w:t xml:space="preserve">其中</w:t>
      </w:r>
      <w:r>
        <w:t xml:space="preserve"> </w:t>
      </w:r>
      <m:oMath>
        <m:sSub>
          <m:e>
            <m:acc>
              <m:accPr>
                <m:chr m:val="‾"/>
              </m:accPr>
              <m:e>
                <m:r>
                  <m:t>R</m:t>
                </m:r>
              </m:e>
            </m:acc>
          </m:e>
          <m:sub>
            <m:r>
              <m:t>t</m:t>
            </m:r>
          </m:sub>
        </m:sSub>
      </m:oMath>
      <w:r>
        <w:t xml:space="preserve"> </w:t>
      </w:r>
      <w:r>
        <w:rPr>
          <w:rFonts w:hint="eastAsia"/>
        </w:rPr>
        <w:t xml:space="preserve">为计划释放能力，</w:t>
      </w:r>
      <m:oMath>
        <m:sSub>
          <m:e>
            <m:r>
              <m:t>G</m:t>
            </m:r>
          </m:e>
          <m:sub>
            <m:r>
              <m:t>t</m:t>
            </m:r>
            <m:r>
              <m:rPr>
                <m:sty m:val="p"/>
              </m:rPr>
              <m:t>,</m:t>
            </m:r>
            <m:r>
              <m:rPr>
                <m:sty m:val="p"/>
              </m:rPr>
              <m:t>p</m:t>
            </m:r>
            <m:r>
              <m:rPr>
                <m:sty m:val="p"/>
              </m:rPr>
              <m:t>r</m:t>
            </m:r>
            <m:r>
              <m:rPr>
                <m:sty m:val="p"/>
              </m:rPr>
              <m:t>e</m:t>
            </m:r>
          </m:sub>
        </m:sSub>
      </m:oMath>
      <w:r>
        <w:t xml:space="preserve"> </w:t>
      </w:r>
      <w:r>
        <w:rPr>
          <w:rFonts w:hint="eastAsia"/>
        </w:rPr>
        <w:t xml:space="preserve">为不含</w:t>
      </w:r>
      <w:r>
        <w:t xml:space="preserve"> SPR </w:t>
      </w:r>
      <w:r>
        <w:rPr>
          <w:rFonts w:hint="eastAsia"/>
        </w:rPr>
        <w:t xml:space="preserve">时的预释放缺口，</w:t>
      </w:r>
      <m:oMath>
        <m:r>
          <m:t>ρ</m:t>
        </m:r>
        <m:sSub>
          <m:e>
            <m:r>
              <m:t>D</m:t>
            </m:r>
          </m:e>
          <m:sub>
            <m:r>
              <m:t>0</m:t>
            </m:r>
          </m:sub>
        </m:sSub>
      </m:oMath>
      <w:r>
        <w:t xml:space="preserve"> </w:t>
      </w:r>
      <w:r>
        <w:rPr>
          <w:rFonts w:hint="eastAsia"/>
        </w:rPr>
        <w:t xml:space="preserve">为安全余量，</w:t>
      </w:r>
      <m:oMath>
        <m:sSub>
          <m:e>
            <m:r>
              <m:t>λ</m:t>
            </m:r>
          </m:e>
          <m:sub>
            <m:r>
              <m:t>t</m:t>
            </m:r>
          </m:sub>
        </m:sSub>
      </m:oMath>
      <w:r>
        <w:t xml:space="preserve"> </w:t>
      </w:r>
      <w:r>
        <w:rPr>
          <w:rFonts w:hint="eastAsia"/>
        </w:rPr>
        <w:t xml:space="preserve">表示由物理缺口和价格压力共同决定的释放强度，</w:t>
      </w:r>
      <m:oMath>
        <m:sSub>
          <m:e>
            <m:r>
              <m:t>τ</m:t>
            </m:r>
          </m:e>
          <m:sub>
            <m:r>
              <m:t>t</m:t>
            </m:r>
          </m:sub>
        </m:sSub>
      </m:oMath>
      <w:r>
        <w:t xml:space="preserve"> </w:t>
      </w:r>
      <w:r>
        <w:rPr>
          <w:rFonts w:hint="eastAsia"/>
        </w:rPr>
        <w:t xml:space="preserve">为长期持续后的政策收缩系数。因此，当缺口已基本闭合时，SPR</w:t>
      </w:r>
      <w:r>
        <w:t xml:space="preserve"> </w:t>
      </w:r>
      <w:r>
        <w:rPr>
          <w:rFonts w:hint="eastAsia"/>
        </w:rPr>
        <w:t xml:space="preserve">不会继续按上限满额释放。</w:t>
      </w:r>
    </w:p>
    <w:p>
      <w:pPr>
        <w:pStyle w:val="BodyText"/>
      </w:pPr>
      <w:r>
        <w:rPr>
          <w:rFonts w:hint="eastAsia"/>
        </w:rPr>
        <w:t xml:space="preserve">长期价格递推采用</w:t>
      </w:r>
    </w:p>
    <w:p>
      <w:pPr>
        <w:pStyle w:val="BodyText"/>
      </w:pPr>
      <m:oMathPara>
        <m:oMathParaPr>
          <m:jc m:val="center"/>
        </m:oMathParaPr>
        <m:oMath>
          <m:sSub>
            <m:e>
              <m:acc>
                <m:accPr>
                  <m:chr m:val="̂"/>
                </m:accPr>
                <m:e>
                  <m:r>
                    <m:t>P</m:t>
                  </m:r>
                </m:e>
              </m:acc>
            </m:e>
            <m:sub>
              <m:r>
                <m:t>t</m:t>
              </m:r>
              <m:r>
                <m:rPr>
                  <m:sty m:val="p"/>
                </m:rPr>
                <m:t>+</m:t>
              </m:r>
              <m:r>
                <m:t>1</m:t>
              </m:r>
            </m:sub>
          </m:sSub>
          <m:r>
            <m:rPr>
              <m:sty m:val="p"/>
            </m:rPr>
            <m:t>=</m:t>
          </m:r>
          <m:r>
            <m:rPr>
              <m:sty m:val="p"/>
            </m:rPr>
            <m:t>(</m:t>
          </m:r>
          <m:r>
            <m:t>1</m:t>
          </m:r>
          <m:r>
            <m:rPr>
              <m:sty m:val="p"/>
            </m:rPr>
            <m:t>−</m:t>
          </m:r>
          <m:sSub>
            <m:e>
              <m:r>
                <m:t>v</m:t>
              </m:r>
            </m:e>
            <m:sub>
              <m:r>
                <m:t>L</m:t>
              </m:r>
            </m:sub>
          </m:sSub>
          <m:r>
            <m:rPr>
              <m:sty m:val="p"/>
            </m:rPr>
            <m:t>)</m:t>
          </m:r>
          <m:sSub>
            <m:e>
              <m:acc>
                <m:accPr>
                  <m:chr m:val="̂"/>
                </m:accPr>
                <m:e>
                  <m:r>
                    <m:t>P</m:t>
                  </m:r>
                </m:e>
              </m:acc>
            </m:e>
            <m:sub>
              <m:r>
                <m:t>t</m:t>
              </m:r>
            </m:sub>
          </m:sSub>
          <m:r>
            <m:rPr>
              <m:sty m:val="p"/>
            </m:rPr>
            <m:t>+</m:t>
          </m:r>
          <m:sSub>
            <m:e>
              <m:r>
                <m:t>v</m:t>
              </m:r>
            </m:e>
            <m:sub>
              <m:r>
                <m:t>L</m:t>
              </m:r>
            </m:sub>
          </m:sSub>
          <m:d>
            <m:dPr>
              <m:begChr m:val="["/>
              <m:sepChr m:val=""/>
              <m:endChr m:val="]"/>
              <m:grow/>
            </m:dPr>
            <m:e>
              <m:sSub>
                <m:e>
                  <m:r>
                    <m:t>P</m:t>
                  </m:r>
                </m:e>
                <m:sub>
                  <m:r>
                    <m:t>0</m:t>
                  </m:r>
                </m:sub>
              </m:sSub>
              <m:r>
                <m:rPr>
                  <m:sty m:val="p"/>
                </m:rPr>
                <m:t>+</m:t>
              </m:r>
              <m:r>
                <m:rPr>
                  <m:sty m:val="p"/>
                </m:rPr>
                <m:t>Π</m:t>
              </m:r>
              <m:r>
                <m:rPr>
                  <m:sty m:val="p"/>
                </m:rPr>
                <m:t>(</m:t>
              </m:r>
              <m:sSubSup>
                <m:e>
                  <m:r>
                    <m:t>G</m:t>
                  </m:r>
                </m:e>
                <m:sub>
                  <m:r>
                    <m:t>t</m:t>
                  </m:r>
                </m:sub>
                <m:sup>
                  <m:r>
                    <m:rPr>
                      <m:sty m:val="p"/>
                    </m:rPr>
                    <m:t>(</m:t>
                  </m:r>
                  <m:r>
                    <m:t>L</m:t>
                  </m:r>
                  <m:r>
                    <m:rPr>
                      <m:sty m:val="p"/>
                    </m:rPr>
                    <m:t>)</m:t>
                  </m:r>
                </m:sup>
              </m:sSubSup>
              <m:r>
                <m:rPr>
                  <m:sty m:val="p"/>
                </m:rPr>
                <m:t>,</m:t>
              </m:r>
              <m:sSub>
                <m:e>
                  <m:r>
                    <m:t>ε</m:t>
                  </m:r>
                </m:e>
                <m:sub>
                  <m:r>
                    <m:t>L</m:t>
                  </m:r>
                </m:sub>
              </m:sSub>
              <m:r>
                <m:rPr>
                  <m:sty m:val="p"/>
                </m:rPr>
                <m:t>)</m:t>
              </m:r>
            </m:e>
          </m:d>
          <m:r>
            <m:rPr>
              <m:sty m:val="p"/>
            </m:rPr>
            <m:t>+</m:t>
          </m:r>
          <m:sSub>
            <m:e>
              <m:r>
                <m:rPr>
                  <m:sty m:val="p"/>
                </m:rPr>
                <m:t>Φ</m:t>
              </m:r>
            </m:e>
            <m:sub>
              <m:r>
                <m:t>t</m:t>
              </m:r>
            </m:sub>
          </m:sSub>
          <m:r>
            <m:rPr>
              <m:sty m:val="p"/>
            </m:rPr>
            <m:t>−</m:t>
          </m:r>
          <m:sSub>
            <m:e>
              <m:r>
                <m:rPr>
                  <m:sty m:val="p"/>
                </m:rPr>
                <m:t>Ω</m:t>
              </m:r>
            </m:e>
            <m:sub>
              <m:r>
                <m:t>t</m:t>
              </m:r>
            </m:sub>
          </m:sSub>
          <m:r>
            <m:rPr>
              <m:sty m:val="p"/>
            </m:rPr>
            <m:t>+</m:t>
          </m:r>
          <m:sSub>
            <m:e>
              <m:r>
                <m:t>J</m:t>
              </m:r>
            </m:e>
            <m:sub>
              <m:r>
                <m:t>t</m:t>
              </m:r>
            </m:sub>
          </m:sSub>
          <m:r>
            <m:rPr>
              <m:sty m:val="p"/>
            </m:rPr>
            <m:t>,</m:t>
          </m:r>
        </m:oMath>
      </m:oMathPara>
    </w:p>
    <w:p>
      <w:pPr>
        <w:pStyle w:val="FirstParagraph"/>
      </w:pPr>
      <w:r>
        <w:rPr>
          <w:rFonts w:hint="eastAsia"/>
        </w:rPr>
        <w:t xml:space="preserve">其中</w:t>
      </w:r>
      <w:r>
        <w:t xml:space="preserve"> </w:t>
      </w:r>
      <m:oMath>
        <m:r>
          <m:rPr>
            <m:sty m:val="p"/>
          </m:rPr>
          <m:t>Π</m:t>
        </m:r>
        <m:r>
          <m:rPr>
            <m:sty m:val="p"/>
          </m:rPr>
          <m:t>(</m:t>
        </m:r>
        <m:r>
          <m:rPr>
            <m:sty m:val="p"/>
          </m:rPr>
          <m:t>⋅</m:t>
        </m:r>
        <m:r>
          <m:rPr>
            <m:sty m:val="p"/>
          </m:rPr>
          <m:t>)</m:t>
        </m:r>
      </m:oMath>
      <w:r>
        <w:t xml:space="preserve"> </w:t>
      </w:r>
      <w:r>
        <w:rPr>
          <w:rFonts w:hint="eastAsia"/>
        </w:rPr>
        <w:t xml:space="preserve">表示由剩余供需缺口和长期需求弹性</w:t>
      </w:r>
      <w:r>
        <w:t xml:space="preserve"> </w:t>
      </w:r>
      <m:oMath>
        <m:sSub>
          <m:e>
            <m:r>
              <m:t>ε</m:t>
            </m:r>
          </m:e>
          <m:sub>
            <m:r>
              <m:t>L</m:t>
            </m:r>
          </m:sub>
        </m:sSub>
      </m:oMath>
      <w:r>
        <w:t xml:space="preserve"> </w:t>
      </w:r>
      <w:r>
        <w:rPr>
          <w:rFonts w:hint="eastAsia"/>
        </w:rPr>
        <w:t xml:space="preserve">共同决定的供需压力；当</w:t>
      </w:r>
      <w:r>
        <w:t xml:space="preserve"> </w:t>
      </w:r>
      <m:oMath>
        <m:sSubSup>
          <m:e>
            <m:r>
              <m:t>G</m:t>
            </m:r>
          </m:e>
          <m:sub>
            <m:r>
              <m:t>t</m:t>
            </m:r>
          </m:sub>
          <m:sup>
            <m:r>
              <m:rPr>
                <m:sty m:val="p"/>
              </m:rPr>
              <m:t>(</m:t>
            </m:r>
            <m:r>
              <m:t>L</m:t>
            </m:r>
            <m:r>
              <m:rPr>
                <m:sty m:val="p"/>
              </m:rPr>
              <m:t>)</m:t>
            </m:r>
          </m:sup>
        </m:sSubSup>
        <m:r>
          <m:rPr>
            <m:sty m:val="p"/>
          </m:rPr>
          <m:t>&lt;</m:t>
        </m:r>
        <m:r>
          <m:t>0</m:t>
        </m:r>
      </m:oMath>
      <w:r>
        <w:t xml:space="preserve"> </w:t>
      </w:r>
      <w:r>
        <w:rPr>
          <w:rFonts w:hint="eastAsia"/>
        </w:rPr>
        <w:t xml:space="preserve">时，过剩供给通过折价项向下拉动目标价格。</w:t>
      </w:r>
      <m:oMath>
        <m:sSub>
          <m:e>
            <m:r>
              <m:rPr>
                <m:sty m:val="p"/>
              </m:rPr>
              <m:t>Φ</m:t>
            </m:r>
          </m:e>
          <m:sub>
            <m:r>
              <m:t>t</m:t>
            </m:r>
          </m:sub>
        </m:sSub>
      </m:oMath>
      <w:r>
        <w:t xml:space="preserve"> </w:t>
      </w:r>
      <w:r>
        <w:rPr>
          <w:rFonts w:hint="eastAsia"/>
        </w:rPr>
        <w:t xml:space="preserve">由地缘风险溢价、前期冲击不确定性和持续封锁制度风险三部分构成，其中制度风险随未解决供应压力和时间信心恢复共同衰减，避免形成长期常数托底。</w:t>
      </w:r>
      <m:oMath>
        <m:sSub>
          <m:e>
            <m:r>
              <m:rPr>
                <m:sty m:val="p"/>
              </m:rPr>
              <m:t>Ω</m:t>
            </m:r>
          </m:e>
          <m:sub>
            <m:r>
              <m:t>t</m:t>
            </m:r>
          </m:sub>
        </m:sSub>
      </m:oMath>
      <w:r>
        <w:t xml:space="preserve"> </w:t>
      </w:r>
      <w:r>
        <w:rPr>
          <w:rFonts w:hint="eastAsia"/>
        </w:rPr>
        <w:t xml:space="preserve">为政策缓冲确认和预期修复带来的折价，</w:t>
      </w:r>
      <m:oMath>
        <m:sSub>
          <m:e>
            <m:r>
              <m:t>J</m:t>
            </m:r>
          </m:e>
          <m:sub>
            <m:r>
              <m:t>t</m:t>
            </m:r>
          </m:sub>
        </m:sSub>
      </m:oMath>
      <w:r>
        <w:t xml:space="preserve"> </w:t>
      </w:r>
      <w:r>
        <w:rPr>
          <w:rFonts w:hint="eastAsia"/>
        </w:rPr>
        <w:t xml:space="preserve">为库存接近耗尽时的跳变风险项。该形式对应赛题要求中的增产、长期弹性变化、运输瓶颈和库存耗尽风险。</w:t>
      </w:r>
    </w:p>
    <w:p>
      <w:pPr>
        <w:pStyle w:val="BodyText"/>
      </w:pPr>
      <w:r>
        <w:rPr>
          <w:rFonts w:hint="eastAsia"/>
        </w:rPr>
        <w:t xml:space="preserve">短期和长期风险项的方向不同，并不是前后矛盾。短期窗口内，市场需要完成突发封锁的信息吸收，风险溢价表现为建立和再定价；长期窗口内，市场已经观察到</w:t>
      </w:r>
      <w:r>
        <w:t xml:space="preserve"> </w:t>
      </w:r>
      <w:r>
        <w:rPr>
          <w:rFonts w:hint="eastAsia"/>
        </w:rPr>
        <w:t xml:space="preserve">SPR、库存、绕道和供需调整是否有效，因此风险项应随未解决缺口和信心恢复而逐步衰减。换言之，短期模型回答</w:t>
      </w:r>
      <w:r>
        <w:rPr>
          <w:rFonts w:hint="eastAsia"/>
        </w:rPr>
        <w:t xml:space="preserve">“冲击如何形成价格平台”</w:t>
      </w:r>
      <w:r>
        <w:rPr>
          <w:rFonts w:hint="eastAsia"/>
        </w:rPr>
        <w:t xml:space="preserve">，长期模型回答</w:t>
      </w:r>
      <w:r>
        <w:rPr>
          <w:rFonts w:hint="eastAsia"/>
        </w:rPr>
        <w:t xml:space="preserve">“平台在政策缓冲和需求调整后如何回归，尾部风险在哪里重新抬升”</w:t>
      </w:r>
      <w:r>
        <w:t xml:space="preserve">。</w:t>
      </w:r>
    </w:p>
    <w:p>
      <w:pPr>
        <w:pStyle w:val="TableCaption"/>
      </w:pPr>
      <w:r>
        <w:rPr>
          <w:rFonts w:hint="eastAsia"/>
        </w:rPr>
        <w:t xml:space="preserve">长期机制强度参数及检验边界</w:t>
      </w:r>
    </w:p>
    <w:tbl>
      <w:tblPr>
        <w:tblStyle w:val="Table"/>
        <w:tblW w:type="auto" w:w="0"/>
        <w:tblLook w:firstRow="1" w:lastRow="0" w:firstColumn="0" w:lastColumn="0" w:noHBand="0" w:noVBand="0" w:val="0020"/>
        <w:tblCaption w:val="长期机制强度参数及检验边界"/>
      </w:tblPr>
      <w:tblGrid>
        <w:gridCol w:w="1980"/>
        <w:gridCol w:w="1980"/>
        <w:gridCol w:w="1980"/>
        <w:gridCol w:w="1980"/>
      </w:tblGrid>
      <w:tr>
        <w:trPr>
          <w:tblHeader w:val="on"/>
        </w:trPr>
        <w:tc>
          <w:tcPr/>
          <w:p>
            <w:pPr>
              <w:pStyle w:val="Compact"/>
              <w:jc w:val="left"/>
            </w:pPr>
            <w:r>
              <w:rPr>
                <w:rFonts w:hint="eastAsia"/>
              </w:rPr>
              <w:t xml:space="preserve">机制参数</w:t>
            </w:r>
          </w:p>
        </w:tc>
        <w:tc>
          <w:tcPr/>
          <w:p>
            <w:pPr>
              <w:pStyle w:val="Compact"/>
              <w:jc w:val="right"/>
            </w:pPr>
            <w:r>
              <w:rPr>
                <w:rFonts w:hint="eastAsia"/>
              </w:rPr>
              <w:t xml:space="preserve">基准值</w:t>
            </w:r>
          </w:p>
        </w:tc>
        <w:tc>
          <w:tcPr/>
          <w:p>
            <w:pPr>
              <w:pStyle w:val="Compact"/>
              <w:jc w:val="right"/>
            </w:pPr>
            <w:r>
              <w:rPr>
                <w:rFonts w:hint="eastAsia"/>
              </w:rPr>
              <w:t xml:space="preserve">扰动范围</w:t>
            </w:r>
          </w:p>
        </w:tc>
        <w:tc>
          <w:tcPr/>
          <w:p>
            <w:pPr>
              <w:pStyle w:val="Compact"/>
              <w:jc w:val="left"/>
            </w:pPr>
            <w:r>
              <w:rPr>
                <w:rFonts w:hint="eastAsia"/>
              </w:rPr>
              <w:t xml:space="preserve">含义与边界</w:t>
            </w:r>
          </w:p>
        </w:tc>
      </w:tr>
      <w:tr>
        <w:tc>
          <w:tcPr/>
          <w:p>
            <w:pPr>
              <w:pStyle w:val="Compact"/>
              <w:jc w:val="left"/>
            </w:pPr>
            <w:r>
              <w:rPr>
                <w:rFonts w:hint="eastAsia"/>
              </w:rPr>
              <w:t xml:space="preserve">冲击不确定性占比</w:t>
            </w:r>
          </w:p>
        </w:tc>
        <w:tc>
          <w:tcPr/>
          <w:p>
            <w:pPr>
              <w:pStyle w:val="Compact"/>
              <w:jc w:val="right"/>
            </w:pPr>
            <w:r>
              <w:t xml:space="preserve">0.45</w:t>
            </w:r>
          </w:p>
        </w:tc>
        <w:tc>
          <w:tcPr/>
          <w:p>
            <w:pPr>
              <w:pStyle w:val="Compact"/>
              <w:jc w:val="right"/>
            </w:pPr>
            <w:r>
              <w:t xml:space="preserve">0.25–0.65</w:t>
            </w:r>
          </w:p>
        </w:tc>
        <w:tc>
          <w:tcPr/>
          <w:p>
            <w:pPr>
              <w:pStyle w:val="Compact"/>
              <w:jc w:val="left"/>
            </w:pPr>
            <w:r>
              <w:rPr>
                <w:rFonts w:hint="eastAsia"/>
              </w:rPr>
              <w:t xml:space="preserve">前期冲击再定价在长期不确定性中的贡献，不作为外部官方统计量</w:t>
            </w:r>
          </w:p>
        </w:tc>
      </w:tr>
      <w:tr>
        <w:tc>
          <w:tcPr/>
          <w:p>
            <w:pPr>
              <w:pStyle w:val="Compact"/>
              <w:jc w:val="left"/>
            </w:pPr>
            <w:r>
              <w:rPr>
                <w:rFonts w:hint="eastAsia"/>
              </w:rPr>
              <w:t xml:space="preserve">制度风险占比</w:t>
            </w:r>
          </w:p>
        </w:tc>
        <w:tc>
          <w:tcPr/>
          <w:p>
            <w:pPr>
              <w:pStyle w:val="Compact"/>
              <w:jc w:val="right"/>
            </w:pPr>
            <w:r>
              <w:t xml:space="preserve">0.90</w:t>
            </w:r>
          </w:p>
        </w:tc>
        <w:tc>
          <w:tcPr/>
          <w:p>
            <w:pPr>
              <w:pStyle w:val="Compact"/>
              <w:jc w:val="right"/>
            </w:pPr>
            <w:r>
              <w:t xml:space="preserve">0.50–1.30</w:t>
            </w:r>
          </w:p>
        </w:tc>
        <w:tc>
          <w:tcPr/>
          <w:p>
            <w:pPr>
              <w:pStyle w:val="Compact"/>
              <w:jc w:val="left"/>
            </w:pPr>
            <w:r>
              <w:rPr>
                <w:rFonts w:hint="eastAsia"/>
              </w:rPr>
              <w:t xml:space="preserve">持续封锁状态对长期风险溢价的贡献强度</w:t>
            </w:r>
          </w:p>
        </w:tc>
      </w:tr>
      <w:tr>
        <w:tc>
          <w:tcPr/>
          <w:p>
            <w:pPr>
              <w:pStyle w:val="Compact"/>
              <w:jc w:val="left"/>
            </w:pPr>
            <w:r>
              <w:rPr>
                <w:rFonts w:hint="eastAsia"/>
              </w:rPr>
              <w:t xml:space="preserve">信心恢复后风险底座</w:t>
            </w:r>
          </w:p>
        </w:tc>
        <w:tc>
          <w:tcPr/>
          <w:p>
            <w:pPr>
              <w:pStyle w:val="Compact"/>
              <w:jc w:val="right"/>
            </w:pPr>
            <w:r>
              <w:t xml:space="preserve">0.40</w:t>
            </w:r>
          </w:p>
        </w:tc>
        <w:tc>
          <w:tcPr/>
          <w:p>
            <w:pPr>
              <w:pStyle w:val="Compact"/>
              <w:jc w:val="right"/>
            </w:pPr>
            <w:r>
              <w:t xml:space="preserve">0.20–0.60</w:t>
            </w:r>
          </w:p>
        </w:tc>
        <w:tc>
          <w:tcPr/>
          <w:p>
            <w:pPr>
              <w:pStyle w:val="Compact"/>
              <w:jc w:val="left"/>
            </w:pPr>
            <w:r>
              <w:rPr>
                <w:rFonts w:hint="eastAsia"/>
              </w:rPr>
              <w:t xml:space="preserve">缓冲机制被市场确认后仍保留的制度风险比例</w:t>
            </w:r>
          </w:p>
        </w:tc>
      </w:tr>
      <w:tr>
        <w:tc>
          <w:tcPr/>
          <w:p>
            <w:pPr>
              <w:pStyle w:val="Compact"/>
              <w:jc w:val="left"/>
            </w:pPr>
            <w:r>
              <w:rPr>
                <w:rFonts w:hint="eastAsia"/>
              </w:rPr>
              <w:t xml:space="preserve">过剩供给回归强度</w:t>
            </w:r>
          </w:p>
        </w:tc>
        <w:tc>
          <w:tcPr/>
          <w:p>
            <w:pPr>
              <w:pStyle w:val="Compact"/>
              <w:jc w:val="right"/>
            </w:pPr>
            <w:r>
              <w:t xml:space="preserve">1.35</w:t>
            </w:r>
          </w:p>
        </w:tc>
        <w:tc>
          <w:tcPr/>
          <w:p>
            <w:pPr>
              <w:pStyle w:val="Compact"/>
              <w:jc w:val="right"/>
            </w:pPr>
            <w:r>
              <w:t xml:space="preserve">0.80–2.20</w:t>
            </w:r>
          </w:p>
        </w:tc>
        <w:tc>
          <w:tcPr/>
          <w:p>
            <w:pPr>
              <w:pStyle w:val="Compact"/>
              <w:jc w:val="left"/>
            </w:pPr>
            <w:r>
              <w:rPr>
                <w:rFonts w:hint="eastAsia"/>
              </w:rPr>
              <w:t xml:space="preserve">供给超过需求时向下修正目标价格的机制强度</w:t>
            </w:r>
          </w:p>
        </w:tc>
      </w:tr>
    </w:tbl>
    <w:p/>
    <w:p>
      <w:pPr>
        <w:pStyle w:val="TableCaption"/>
      </w:pPr>
      <w:r>
        <w:rPr>
          <w:rFonts w:hint="eastAsia"/>
        </w:rPr>
        <w:t xml:space="preserve">三情景关键参数</w:t>
      </w:r>
    </w:p>
    <w:tbl>
      <w:tblPr>
        <w:tblStyle w:val="Table"/>
        <w:tblW w:type="auto" w:w="0"/>
        <w:tblLook w:firstRow="1" w:lastRow="0" w:firstColumn="0" w:lastColumn="0" w:noHBand="0" w:noVBand="0" w:val="0020"/>
        <w:tblCaption w:val="三情景关键参数"/>
      </w:tblPr>
      <w:tblGrid>
        <w:gridCol w:w="1131"/>
        <w:gridCol w:w="1131"/>
        <w:gridCol w:w="1131"/>
        <w:gridCol w:w="1131"/>
        <w:gridCol w:w="1131"/>
        <w:gridCol w:w="1131"/>
        <w:gridCol w:w="1131"/>
      </w:tblGrid>
      <w:tr>
        <w:trPr>
          <w:tblHeader w:val="on"/>
        </w:trPr>
        <w:tc>
          <w:tcPr/>
          <w:p>
            <w:pPr>
              <w:pStyle w:val="Compact"/>
              <w:jc w:val="left"/>
            </w:pPr>
            <w:r>
              <w:rPr>
                <w:rFonts w:hint="eastAsia"/>
              </w:rPr>
              <w:t xml:space="preserve">情景</w:t>
            </w:r>
          </w:p>
        </w:tc>
        <w:tc>
          <w:tcPr/>
          <w:p>
            <w:pPr>
              <w:pStyle w:val="Compact"/>
              <w:jc w:val="right"/>
            </w:pPr>
            <w:r>
              <w:rPr>
                <w:rFonts w:hint="eastAsia"/>
              </w:rPr>
              <w:t xml:space="preserve">供应中断</w:t>
            </w:r>
          </w:p>
        </w:tc>
        <w:tc>
          <w:tcPr/>
          <w:p>
            <w:pPr>
              <w:pStyle w:val="Compact"/>
              <w:jc w:val="right"/>
            </w:pPr>
            <w:r>
              <w:t xml:space="preserve">SPR </w:t>
            </w:r>
            <w:r>
              <w:rPr>
                <w:rFonts w:hint="eastAsia"/>
              </w:rPr>
              <w:t xml:space="preserve">上限</w:t>
            </w:r>
          </w:p>
        </w:tc>
        <w:tc>
          <w:tcPr/>
          <w:p>
            <w:pPr>
              <w:pStyle w:val="Compact"/>
              <w:jc w:val="right"/>
            </w:pPr>
            <w:r>
              <w:rPr>
                <w:rFonts w:hint="eastAsia"/>
              </w:rPr>
              <w:t xml:space="preserve">绕道能力</w:t>
            </w:r>
          </w:p>
        </w:tc>
        <w:tc>
          <w:tcPr/>
          <w:p>
            <w:pPr>
              <w:pStyle w:val="Compact"/>
              <w:jc w:val="right"/>
            </w:pPr>
            <w:r>
              <w:rPr>
                <w:rFonts w:hint="eastAsia"/>
              </w:rPr>
              <w:t xml:space="preserve">长期弹性</w:t>
            </w:r>
          </w:p>
        </w:tc>
        <w:tc>
          <w:tcPr/>
          <w:p>
            <w:pPr>
              <w:pStyle w:val="Compact"/>
              <w:jc w:val="right"/>
            </w:pPr>
            <w:r>
              <w:rPr>
                <w:rFonts w:hint="eastAsia"/>
              </w:rPr>
              <w:t xml:space="preserve">恐慌衰减</w:t>
            </w:r>
          </w:p>
        </w:tc>
        <w:tc>
          <w:tcPr/>
          <w:p>
            <w:pPr>
              <w:pStyle w:val="Compact"/>
              <w:jc w:val="right"/>
            </w:pPr>
            <w:r>
              <w:rPr>
                <w:rFonts w:hint="eastAsia"/>
              </w:rPr>
              <w:t xml:space="preserve">风险权重</w:t>
            </w:r>
          </w:p>
        </w:tc>
      </w:tr>
      <w:tr>
        <w:tc>
          <w:tcPr/>
          <w:p>
            <w:pPr>
              <w:pStyle w:val="Compact"/>
              <w:jc w:val="left"/>
            </w:pPr>
            <w:r>
              <w:rPr>
                <w:rFonts w:hint="eastAsia"/>
              </w:rPr>
              <w:t xml:space="preserve">乐观</w:t>
            </w:r>
          </w:p>
        </w:tc>
        <w:tc>
          <w:tcPr/>
          <w:p>
            <w:pPr>
              <w:pStyle w:val="Compact"/>
              <w:jc w:val="right"/>
            </w:pPr>
            <w:r>
              <w:t xml:space="preserve">1400</w:t>
            </w:r>
          </w:p>
        </w:tc>
        <w:tc>
          <w:tcPr/>
          <w:p>
            <w:pPr>
              <w:pStyle w:val="Compact"/>
              <w:jc w:val="right"/>
            </w:pPr>
            <w:r>
              <w:t xml:space="preserve">700</w:t>
            </w:r>
          </w:p>
        </w:tc>
        <w:tc>
          <w:tcPr/>
          <w:p>
            <w:pPr>
              <w:pStyle w:val="Compact"/>
              <w:jc w:val="right"/>
            </w:pPr>
            <w:r>
              <w:t xml:space="preserve">300</w:t>
            </w:r>
          </w:p>
        </w:tc>
        <w:tc>
          <w:tcPr/>
          <w:p>
            <w:pPr>
              <w:pStyle w:val="Compact"/>
              <w:jc w:val="right"/>
            </w:pPr>
            <w:r>
              <w:t xml:space="preserve">-0.25</w:t>
            </w:r>
          </w:p>
        </w:tc>
        <w:tc>
          <w:tcPr/>
          <w:p>
            <w:pPr>
              <w:pStyle w:val="Compact"/>
              <w:jc w:val="right"/>
            </w:pPr>
            <w:r>
              <w:t xml:space="preserve">0.12</w:t>
            </w:r>
          </w:p>
        </w:tc>
        <w:tc>
          <w:tcPr/>
          <w:p>
            <w:pPr>
              <w:pStyle w:val="Compact"/>
              <w:jc w:val="right"/>
            </w:pPr>
            <w:r>
              <w:t xml:space="preserve">2.02</w:t>
            </w:r>
          </w:p>
        </w:tc>
      </w:tr>
      <w:tr>
        <w:tc>
          <w:tcPr/>
          <w:p>
            <w:pPr>
              <w:pStyle w:val="Compact"/>
              <w:jc w:val="left"/>
            </w:pPr>
            <w:r>
              <w:rPr>
                <w:rFonts w:hint="eastAsia"/>
              </w:rPr>
              <w:t xml:space="preserve">中性</w:t>
            </w:r>
          </w:p>
        </w:tc>
        <w:tc>
          <w:tcPr/>
          <w:p>
            <w:pPr>
              <w:pStyle w:val="Compact"/>
              <w:jc w:val="right"/>
            </w:pPr>
            <w:r>
              <w:t xml:space="preserve">1493</w:t>
            </w:r>
          </w:p>
        </w:tc>
        <w:tc>
          <w:tcPr/>
          <w:p>
            <w:pPr>
              <w:pStyle w:val="Compact"/>
              <w:jc w:val="right"/>
            </w:pPr>
            <w:r>
              <w:t xml:space="preserve">670</w:t>
            </w:r>
          </w:p>
        </w:tc>
        <w:tc>
          <w:tcPr/>
          <w:p>
            <w:pPr>
              <w:pStyle w:val="Compact"/>
              <w:jc w:val="right"/>
            </w:pPr>
            <w:r>
              <w:t xml:space="preserve">237</w:t>
            </w:r>
          </w:p>
        </w:tc>
        <w:tc>
          <w:tcPr/>
          <w:p>
            <w:pPr>
              <w:pStyle w:val="Compact"/>
              <w:jc w:val="right"/>
            </w:pPr>
            <w:r>
              <w:t xml:space="preserve">-0.25</w:t>
            </w:r>
          </w:p>
        </w:tc>
        <w:tc>
          <w:tcPr/>
          <w:p>
            <w:pPr>
              <w:pStyle w:val="Compact"/>
              <w:jc w:val="right"/>
            </w:pPr>
            <w:r>
              <w:t xml:space="preserve">0.11</w:t>
            </w:r>
          </w:p>
        </w:tc>
        <w:tc>
          <w:tcPr/>
          <w:p>
            <w:pPr>
              <w:pStyle w:val="Compact"/>
              <w:jc w:val="right"/>
            </w:pPr>
            <w:r>
              <w:t xml:space="preserve">2.46</w:t>
            </w:r>
          </w:p>
        </w:tc>
      </w:tr>
      <w:tr>
        <w:tc>
          <w:tcPr/>
          <w:p>
            <w:pPr>
              <w:pStyle w:val="Compact"/>
              <w:jc w:val="left"/>
            </w:pPr>
            <w:r>
              <w:rPr>
                <w:rFonts w:hint="eastAsia"/>
              </w:rPr>
              <w:t xml:space="preserve">悲观</w:t>
            </w:r>
          </w:p>
        </w:tc>
        <w:tc>
          <w:tcPr/>
          <w:p>
            <w:pPr>
              <w:pStyle w:val="Compact"/>
              <w:jc w:val="right"/>
            </w:pPr>
            <w:r>
              <w:t xml:space="preserve">1800</w:t>
            </w:r>
          </w:p>
        </w:tc>
        <w:tc>
          <w:tcPr/>
          <w:p>
            <w:pPr>
              <w:pStyle w:val="Compact"/>
              <w:jc w:val="right"/>
            </w:pPr>
            <w:r>
              <w:t xml:space="preserve">200</w:t>
            </w:r>
          </w:p>
        </w:tc>
        <w:tc>
          <w:tcPr/>
          <w:p>
            <w:pPr>
              <w:pStyle w:val="Compact"/>
              <w:jc w:val="right"/>
            </w:pPr>
            <w:r>
              <w:t xml:space="preserve">150</w:t>
            </w:r>
          </w:p>
        </w:tc>
        <w:tc>
          <w:tcPr/>
          <w:p>
            <w:pPr>
              <w:pStyle w:val="Compact"/>
              <w:jc w:val="right"/>
            </w:pPr>
            <w:r>
              <w:t xml:space="preserve">-0.10</w:t>
            </w:r>
          </w:p>
        </w:tc>
        <w:tc>
          <w:tcPr/>
          <w:p>
            <w:pPr>
              <w:pStyle w:val="Compact"/>
              <w:jc w:val="right"/>
            </w:pPr>
            <w:r>
              <w:t xml:space="preserve">0.04</w:t>
            </w:r>
          </w:p>
        </w:tc>
        <w:tc>
          <w:tcPr/>
          <w:p>
            <w:pPr>
              <w:pStyle w:val="Compact"/>
              <w:jc w:val="right"/>
            </w:pPr>
            <w:r>
              <w:t xml:space="preserve">3.32</w:t>
            </w:r>
          </w:p>
        </w:tc>
      </w:tr>
    </w:tbl>
    <w:p>
      <w:pPr>
        <w:pStyle w:val="BodyText"/>
      </w:pPr>
      <w:r>
        <w:rPr>
          <w:rFonts w:hint="eastAsia"/>
        </w:rPr>
        <w:t xml:space="preserve">三情景参数并非三组孤立猜测。乐观情景代表高</w:t>
      </w:r>
      <w:r>
        <w:t xml:space="preserve"> SPR </w:t>
      </w:r>
      <w:r>
        <w:rPr>
          <w:rFonts w:hint="eastAsia"/>
        </w:rPr>
        <w:t xml:space="preserve">可用量、绕道恢复较充分、长期需求调整较快；悲观情景代表供应中断接近上界、SPR</w:t>
      </w:r>
      <w:r>
        <w:t xml:space="preserve"> </w:t>
      </w:r>
      <w:r>
        <w:rPr>
          <w:rFonts w:hint="eastAsia"/>
        </w:rPr>
        <w:t xml:space="preserve">释放受限、绕道能力偏低且制度风险溢价持续；中性情景则采用综合最优参数附近的中心设定。后续敏感性分析和蒙特卡洛抽样用于检验：当这些假设联合变化时，价格中心路径和尾部风险是否仍保持一致。</w:t>
      </w:r>
    </w:p>
    <w:bookmarkEnd w:id="83"/>
    <w:bookmarkStart w:id="94" w:name="预测结果"/>
    <w:p>
      <w:pPr>
        <w:pStyle w:val="Heading2"/>
      </w:pPr>
      <w:r>
        <w:rPr>
          <w:rFonts w:hint="eastAsia"/>
        </w:rPr>
        <w:t xml:space="preserve">预测结果</w:t>
      </w:r>
    </w:p>
    <w:p>
      <w:pPr>
        <w:pStyle w:val="TableCaption"/>
      </w:pPr>
      <w:r>
        <w:t xml:space="preserve">60–180 </w:t>
      </w:r>
      <w:r>
        <w:rPr>
          <w:rFonts w:hint="eastAsia"/>
        </w:rPr>
        <w:t xml:space="preserve">天三情景预测结果</w:t>
      </w:r>
    </w:p>
    <w:tbl>
      <w:tblPr>
        <w:tblStyle w:val="Table"/>
        <w:tblW w:type="auto" w:w="0"/>
        <w:tblLook w:firstRow="1" w:lastRow="0" w:firstColumn="0" w:lastColumn="0" w:noHBand="0" w:noVBand="0" w:val="0020"/>
        <w:tblCaption w:val="60–180 天三情景预测结果"/>
      </w:tblPr>
      <w:tblGrid>
        <w:gridCol w:w="990"/>
        <w:gridCol w:w="990"/>
        <w:gridCol w:w="990"/>
        <w:gridCol w:w="990"/>
        <w:gridCol w:w="990"/>
        <w:gridCol w:w="990"/>
        <w:gridCol w:w="990"/>
        <w:gridCol w:w="990"/>
      </w:tblGrid>
      <w:tr>
        <w:trPr>
          <w:tblHeader w:val="on"/>
        </w:trPr>
        <w:tc>
          <w:tcPr/>
          <w:p>
            <w:pPr>
              <w:pStyle w:val="Compact"/>
              <w:jc w:val="left"/>
            </w:pPr>
            <w:r>
              <w:rPr>
                <w:rFonts w:hint="eastAsia"/>
              </w:rPr>
              <w:t xml:space="preserve">情景</w:t>
            </w:r>
          </w:p>
        </w:tc>
        <w:tc>
          <w:tcPr/>
          <w:p>
            <w:pPr>
              <w:pStyle w:val="Compact"/>
              <w:jc w:val="right"/>
            </w:pPr>
            <w:r>
              <w:rPr>
                <w:rFonts w:hint="eastAsia"/>
              </w:rPr>
              <w:t xml:space="preserve">第60天</w:t>
            </w:r>
          </w:p>
        </w:tc>
        <w:tc>
          <w:tcPr/>
          <w:p>
            <w:pPr>
              <w:pStyle w:val="Compact"/>
              <w:jc w:val="right"/>
            </w:pPr>
            <w:r>
              <w:rPr>
                <w:rFonts w:hint="eastAsia"/>
              </w:rPr>
              <w:t xml:space="preserve">第90天</w:t>
            </w:r>
          </w:p>
        </w:tc>
        <w:tc>
          <w:tcPr/>
          <w:p>
            <w:pPr>
              <w:pStyle w:val="Compact"/>
              <w:jc w:val="right"/>
            </w:pPr>
            <w:r>
              <w:rPr>
                <w:rFonts w:hint="eastAsia"/>
              </w:rPr>
              <w:t xml:space="preserve">第120天</w:t>
            </w:r>
          </w:p>
        </w:tc>
        <w:tc>
          <w:tcPr/>
          <w:p>
            <w:pPr>
              <w:pStyle w:val="Compact"/>
              <w:jc w:val="right"/>
            </w:pPr>
            <w:r>
              <w:rPr>
                <w:rFonts w:hint="eastAsia"/>
              </w:rPr>
              <w:t xml:space="preserve">第180天</w:t>
            </w:r>
          </w:p>
        </w:tc>
        <w:tc>
          <w:tcPr/>
          <w:p>
            <w:pPr>
              <w:pStyle w:val="Compact"/>
              <w:jc w:val="right"/>
            </w:pPr>
            <w:r>
              <w:rPr>
                <w:rFonts w:hint="eastAsia"/>
              </w:rPr>
              <w:t xml:space="preserve">外推期最高价</w:t>
            </w:r>
          </w:p>
        </w:tc>
        <w:tc>
          <w:tcPr/>
          <w:p>
            <w:pPr>
              <w:pStyle w:val="Compact"/>
              <w:jc w:val="right"/>
            </w:pPr>
            <w:r>
              <w:rPr>
                <w:rFonts w:hint="eastAsia"/>
              </w:rPr>
              <w:t xml:space="preserve">外推期均价</w:t>
            </w:r>
          </w:p>
        </w:tc>
        <w:tc>
          <w:tcPr/>
          <w:p>
            <w:pPr>
              <w:pStyle w:val="Compact"/>
              <w:jc w:val="right"/>
            </w:pPr>
            <w:r>
              <w:rPr>
                <w:rFonts w:hint="eastAsia"/>
              </w:rPr>
              <w:t xml:space="preserve">风险</w:t>
            </w:r>
          </w:p>
        </w:tc>
      </w:tr>
      <w:tr>
        <w:tc>
          <w:tcPr/>
          <w:p>
            <w:pPr>
              <w:pStyle w:val="Compact"/>
              <w:jc w:val="left"/>
            </w:pPr>
            <w:r>
              <w:rPr>
                <w:rFonts w:hint="eastAsia"/>
              </w:rPr>
              <w:t xml:space="preserve">乐观</w:t>
            </w:r>
          </w:p>
        </w:tc>
        <w:tc>
          <w:tcPr/>
          <w:p>
            <w:pPr>
              <w:pStyle w:val="Compact"/>
              <w:jc w:val="right"/>
            </w:pPr>
            <w:r>
              <w:t xml:space="preserve">109.77</w:t>
            </w:r>
          </w:p>
        </w:tc>
        <w:tc>
          <w:tcPr/>
          <w:p>
            <w:pPr>
              <w:pStyle w:val="Compact"/>
              <w:jc w:val="right"/>
            </w:pPr>
            <w:r>
              <w:t xml:space="preserve">93.28</w:t>
            </w:r>
          </w:p>
        </w:tc>
        <w:tc>
          <w:tcPr/>
          <w:p>
            <w:pPr>
              <w:pStyle w:val="Compact"/>
              <w:jc w:val="right"/>
            </w:pPr>
            <w:r>
              <w:t xml:space="preserve">91.86</w:t>
            </w:r>
          </w:p>
        </w:tc>
        <w:tc>
          <w:tcPr/>
          <w:p>
            <w:pPr>
              <w:pStyle w:val="Compact"/>
              <w:jc w:val="right"/>
            </w:pPr>
            <w:r>
              <w:t xml:space="preserve">87.10</w:t>
            </w:r>
          </w:p>
        </w:tc>
        <w:tc>
          <w:tcPr/>
          <w:p>
            <w:pPr>
              <w:pStyle w:val="Compact"/>
              <w:jc w:val="right"/>
            </w:pPr>
            <w:r>
              <w:t xml:space="preserve">103.32</w:t>
            </w:r>
          </w:p>
        </w:tc>
        <w:tc>
          <w:tcPr/>
          <w:p>
            <w:pPr>
              <w:pStyle w:val="Compact"/>
              <w:jc w:val="right"/>
            </w:pPr>
            <w:r>
              <w:t xml:space="preserve">91.25</w:t>
            </w:r>
          </w:p>
        </w:tc>
        <w:tc>
          <w:tcPr/>
          <w:p>
            <w:pPr>
              <w:pStyle w:val="Compact"/>
              <w:jc w:val="right"/>
            </w:pPr>
            <w:r>
              <w:rPr>
                <w:rFonts w:hint="eastAsia"/>
              </w:rPr>
              <w:t xml:space="preserve">低</w:t>
            </w:r>
          </w:p>
        </w:tc>
      </w:tr>
      <w:tr>
        <w:tc>
          <w:tcPr/>
          <w:p>
            <w:pPr>
              <w:pStyle w:val="Compact"/>
              <w:jc w:val="left"/>
            </w:pPr>
            <w:r>
              <w:rPr>
                <w:rFonts w:hint="eastAsia"/>
              </w:rPr>
              <w:t xml:space="preserve">中性</w:t>
            </w:r>
          </w:p>
        </w:tc>
        <w:tc>
          <w:tcPr/>
          <w:p>
            <w:pPr>
              <w:pStyle w:val="Compact"/>
              <w:jc w:val="right"/>
            </w:pPr>
            <w:r>
              <w:t xml:space="preserve">109.77</w:t>
            </w:r>
          </w:p>
        </w:tc>
        <w:tc>
          <w:tcPr/>
          <w:p>
            <w:pPr>
              <w:pStyle w:val="Compact"/>
              <w:jc w:val="right"/>
            </w:pPr>
            <w:r>
              <w:t xml:space="preserve">104.38</w:t>
            </w:r>
          </w:p>
        </w:tc>
        <w:tc>
          <w:tcPr/>
          <w:p>
            <w:pPr>
              <w:pStyle w:val="Compact"/>
              <w:jc w:val="right"/>
            </w:pPr>
            <w:r>
              <w:t xml:space="preserve">100.02</w:t>
            </w:r>
          </w:p>
        </w:tc>
        <w:tc>
          <w:tcPr/>
          <w:p>
            <w:pPr>
              <w:pStyle w:val="Compact"/>
              <w:jc w:val="right"/>
            </w:pPr>
            <w:r>
              <w:t xml:space="preserve">92.43</w:t>
            </w:r>
          </w:p>
        </w:tc>
        <w:tc>
          <w:tcPr/>
          <w:p>
            <w:pPr>
              <w:pStyle w:val="Compact"/>
              <w:jc w:val="right"/>
            </w:pPr>
            <w:r>
              <w:t xml:space="preserve">109.52</w:t>
            </w:r>
          </w:p>
        </w:tc>
        <w:tc>
          <w:tcPr/>
          <w:p>
            <w:pPr>
              <w:pStyle w:val="Compact"/>
              <w:jc w:val="right"/>
            </w:pPr>
            <w:r>
              <w:t xml:space="preserve">99.85</w:t>
            </w:r>
          </w:p>
        </w:tc>
        <w:tc>
          <w:tcPr/>
          <w:p>
            <w:pPr>
              <w:pStyle w:val="Compact"/>
              <w:jc w:val="right"/>
            </w:pPr>
            <w:r>
              <w:rPr>
                <w:rFonts w:hint="eastAsia"/>
              </w:rPr>
              <w:t xml:space="preserve">低</w:t>
            </w:r>
          </w:p>
        </w:tc>
      </w:tr>
      <w:tr>
        <w:tc>
          <w:tcPr/>
          <w:p>
            <w:pPr>
              <w:pStyle w:val="Compact"/>
              <w:jc w:val="left"/>
            </w:pPr>
            <w:r>
              <w:rPr>
                <w:rFonts w:hint="eastAsia"/>
              </w:rPr>
              <w:t xml:space="preserve">悲观</w:t>
            </w:r>
          </w:p>
        </w:tc>
        <w:tc>
          <w:tcPr/>
          <w:p>
            <w:pPr>
              <w:pStyle w:val="Compact"/>
              <w:jc w:val="right"/>
            </w:pPr>
            <w:r>
              <w:t xml:space="preserve">109.77</w:t>
            </w:r>
          </w:p>
        </w:tc>
        <w:tc>
          <w:tcPr/>
          <w:p>
            <w:pPr>
              <w:pStyle w:val="Compact"/>
              <w:jc w:val="right"/>
            </w:pPr>
            <w:r>
              <w:t xml:space="preserve">122.78</w:t>
            </w:r>
          </w:p>
        </w:tc>
        <w:tc>
          <w:tcPr/>
          <w:p>
            <w:pPr>
              <w:pStyle w:val="Compact"/>
              <w:jc w:val="right"/>
            </w:pPr>
            <w:r>
              <w:t xml:space="preserve">114.30</w:t>
            </w:r>
          </w:p>
        </w:tc>
        <w:tc>
          <w:tcPr/>
          <w:p>
            <w:pPr>
              <w:pStyle w:val="Compact"/>
              <w:jc w:val="right"/>
            </w:pPr>
            <w:r>
              <w:t xml:space="preserve">106.83</w:t>
            </w:r>
          </w:p>
        </w:tc>
        <w:tc>
          <w:tcPr/>
          <w:p>
            <w:pPr>
              <w:pStyle w:val="Compact"/>
              <w:jc w:val="right"/>
            </w:pPr>
            <w:r>
              <w:t xml:space="preserve">128.64</w:t>
            </w:r>
          </w:p>
        </w:tc>
        <w:tc>
          <w:tcPr/>
          <w:p>
            <w:pPr>
              <w:pStyle w:val="Compact"/>
              <w:jc w:val="right"/>
            </w:pPr>
            <w:r>
              <w:t xml:space="preserve">115.75</w:t>
            </w:r>
          </w:p>
        </w:tc>
        <w:tc>
          <w:tcPr/>
          <w:p>
            <w:pPr>
              <w:pStyle w:val="Compact"/>
              <w:jc w:val="right"/>
            </w:pPr>
            <w:r>
              <w:rPr>
                <w:rFonts w:hint="eastAsia"/>
              </w:rPr>
              <w:t xml:space="preserve">高</w:t>
            </w:r>
          </w:p>
        </w:tc>
      </w:tr>
    </w:tbl>
    <w:bookmarkStart w:id="87" w:name="fig:long-term-fan"/>
    <w:p>
      <w:pPr>
        <w:pStyle w:val="CaptionedFigure"/>
      </w:pPr>
      <w:r>
        <w:drawing>
          <wp:inline>
            <wp:extent cx="5013960" cy="2790377"/>
            <wp:effectExtent b="0" l="0" r="0" t="0"/>
            <wp:docPr descr="" title="" id="85" name="Picture"/>
            <a:graphic>
              <a:graphicData uri="http://schemas.openxmlformats.org/drawingml/2006/picture">
                <pic:pic>
                  <pic:nvPicPr>
                    <pic:cNvPr descr="monte_carlo_price_fan.png" id="86" name="Picture"/>
                    <pic:cNvPicPr>
                      <a:picLocks noChangeArrowheads="1" noChangeAspect="1"/>
                    </pic:cNvPicPr>
                  </pic:nvPicPr>
                  <pic:blipFill>
                    <a:blip r:embed="rId84"/>
                    <a:stretch>
                      <a:fillRect/>
                    </a:stretch>
                  </pic:blipFill>
                  <pic:spPr bwMode="auto">
                    <a:xfrm>
                      <a:off x="0" y="0"/>
                      <a:ext cx="5013960" cy="2790377"/>
                    </a:xfrm>
                    <a:prstGeom prst="rect">
                      <a:avLst/>
                    </a:prstGeom>
                    <a:noFill/>
                    <a:ln w="9525">
                      <a:noFill/>
                      <a:headEnd/>
                      <a:tailEnd/>
                    </a:ln>
                  </pic:spPr>
                </pic:pic>
              </a:graphicData>
            </a:graphic>
          </wp:inline>
        </w:drawing>
      </w:r>
    </w:p>
    <w:p>
      <w:pPr>
        <w:pStyle w:val="ImageCaption"/>
      </w:pPr>
      <w:r>
        <w:rPr>
          <w:rFonts w:hint="eastAsia"/>
        </w:rPr>
        <w:t xml:space="preserve">长期情景预测主图：蒙特卡洛情景树价格扇形区间。深色区间为</w:t>
      </w:r>
      <w:r>
        <w:t xml:space="preserve"> </w:t>
      </w:r>
      <w:r>
        <w:rPr>
          <w:rFonts w:hint="eastAsia"/>
        </w:rPr>
        <w:t xml:space="preserve">25%–75%，浅色区间为</w:t>
      </w:r>
      <w:r>
        <w:t xml:space="preserve"> </w:t>
      </w:r>
      <w:r>
        <w:rPr>
          <w:rFonts w:hint="eastAsia"/>
        </w:rPr>
        <w:t xml:space="preserve">5%–95%。三情景中心路径应与该区间共同解读。</w:t>
      </w:r>
    </w:p>
    <w:bookmarkEnd w:id="87"/>
    <w:p>
      <w:pPr>
        <w:pStyle w:val="CaptionedFigure"/>
      </w:pPr>
      <w:r>
        <w:drawing>
          <wp:inline>
            <wp:extent cx="5013960" cy="2757678"/>
            <wp:effectExtent b="0" l="0" r="0" t="0"/>
            <wp:docPr descr="" title="" id="89" name="Picture"/>
            <a:graphic>
              <a:graphicData uri="http://schemas.openxmlformats.org/drawingml/2006/picture">
                <pic:pic>
                  <pic:nvPicPr>
                    <pic:cNvPr descr="短期拟合与长期预测总览.png" id="90" name="Picture"/>
                    <pic:cNvPicPr>
                      <a:picLocks noChangeArrowheads="1" noChangeAspect="1"/>
                    </pic:cNvPicPr>
                  </pic:nvPicPr>
                  <pic:blipFill>
                    <a:blip r:embed="rId88"/>
                    <a:stretch>
                      <a:fillRect/>
                    </a:stretch>
                  </pic:blipFill>
                  <pic:spPr bwMode="auto">
                    <a:xfrm>
                      <a:off x="0" y="0"/>
                      <a:ext cx="5013960" cy="2757678"/>
                    </a:xfrm>
                    <a:prstGeom prst="rect">
                      <a:avLst/>
                    </a:prstGeom>
                    <a:noFill/>
                    <a:ln w="9525">
                      <a:noFill/>
                      <a:headEnd/>
                      <a:tailEnd/>
                    </a:ln>
                  </pic:spPr>
                </pic:pic>
              </a:graphicData>
            </a:graphic>
          </wp:inline>
        </w:drawing>
      </w:r>
    </w:p>
    <w:p>
      <w:pPr>
        <w:pStyle w:val="ImageCaption"/>
      </w:pPr>
      <w:r>
        <w:rPr>
          <w:rFonts w:hint="eastAsia"/>
        </w:rPr>
        <w:t xml:space="preserve">短期机制拟合与</w:t>
      </w:r>
      <w:r>
        <w:t xml:space="preserve"> 60–180 </w:t>
      </w:r>
      <w:r>
        <w:rPr>
          <w:rFonts w:hint="eastAsia"/>
        </w:rPr>
        <w:t xml:space="preserve">天三情景预测总览。竖线左侧为附件真实数据与短期模型拟合，竖线右侧为情景外推，不作为真实观测。</w:t>
      </w:r>
    </w:p>
    <w:p>
      <w:pPr>
        <w:pStyle w:val="BodyText"/>
      </w:pPr>
      <w:r>
        <w:rPr>
          <w:rFonts w:hint="eastAsia"/>
        </w:rPr>
        <w:t xml:space="preserve">结果显示，中性情景下价格在</w:t>
      </w:r>
      <w:r>
        <w:t xml:space="preserve"> 180 </w:t>
      </w:r>
      <w:r>
        <w:rPr>
          <w:rFonts w:hint="eastAsia"/>
        </w:rPr>
        <w:t xml:space="preserve">天附近回落至约</w:t>
      </w:r>
      <w:r>
        <w:t xml:space="preserve"> 92.43 </w:t>
      </w:r>
      <w:r>
        <w:rPr>
          <w:rFonts w:hint="eastAsia"/>
        </w:rPr>
        <w:t xml:space="preserve">美元/桶；悲观情景下，若供应中断偏大、SPR</w:t>
      </w:r>
      <w:r>
        <w:t xml:space="preserve"> </w:t>
      </w:r>
      <w:r>
        <w:rPr>
          <w:rFonts w:hint="eastAsia"/>
        </w:rPr>
        <w:t xml:space="preserve">释放弱、绕道恢复慢且风险溢价维持高位，价格仍可能再次升至</w:t>
      </w:r>
      <w:r>
        <w:t xml:space="preserve"> 120 </w:t>
      </w:r>
      <w:r>
        <w:rPr>
          <w:rFonts w:hint="eastAsia"/>
        </w:rPr>
        <w:t xml:space="preserve">美元/桶以上，并在外推期达到约</w:t>
      </w:r>
      <w:r>
        <w:t xml:space="preserve"> 128.64 </w:t>
      </w:r>
      <w:r>
        <w:rPr>
          <w:rFonts w:hint="eastAsia"/>
        </w:rPr>
        <w:t xml:space="preserve">美元/桶的高点。</w:t>
      </w:r>
    </w:p>
    <w:p>
      <w:pPr>
        <w:pStyle w:val="TableCaption"/>
      </w:pPr>
      <w:r>
        <w:rPr>
          <w:rFonts w:hint="eastAsia"/>
        </w:rPr>
        <w:t xml:space="preserve">长期情景预测的可信度评价框架</w:t>
      </w:r>
    </w:p>
    <w:tbl>
      <w:tblPr>
        <w:tblStyle w:val="Table"/>
        <w:tblW w:type="auto" w:w="0"/>
        <w:tblLook w:firstRow="1" w:lastRow="0" w:firstColumn="0" w:lastColumn="0" w:noHBand="0" w:noVBand="0" w:val="0020"/>
        <w:tblCaption w:val="长期情景预测的可信度评价框架"/>
      </w:tblPr>
      <w:tblGrid>
        <w:gridCol w:w="2640"/>
        <w:gridCol w:w="2640"/>
        <w:gridCol w:w="2640"/>
      </w:tblGrid>
      <w:tr>
        <w:trPr>
          <w:tblHeader w:val="on"/>
        </w:trPr>
        <w:tc>
          <w:tcPr/>
          <w:p>
            <w:pPr>
              <w:pStyle w:val="Compact"/>
              <w:jc w:val="left"/>
            </w:pPr>
            <w:r>
              <w:rPr>
                <w:rFonts w:hint="eastAsia"/>
              </w:rPr>
              <w:t xml:space="preserve">评价维度</w:t>
            </w:r>
          </w:p>
        </w:tc>
        <w:tc>
          <w:tcPr/>
          <w:p>
            <w:pPr>
              <w:pStyle w:val="Compact"/>
              <w:jc w:val="left"/>
            </w:pPr>
            <w:r>
              <w:rPr>
                <w:rFonts w:hint="eastAsia"/>
              </w:rPr>
              <w:t xml:space="preserve">本文证据</w:t>
            </w:r>
          </w:p>
        </w:tc>
        <w:tc>
          <w:tcPr/>
          <w:p>
            <w:pPr>
              <w:pStyle w:val="Compact"/>
              <w:jc w:val="left"/>
            </w:pPr>
            <w:r>
              <w:rPr>
                <w:rFonts w:hint="eastAsia"/>
              </w:rPr>
              <w:t xml:space="preserve">解释边界</w:t>
            </w:r>
          </w:p>
        </w:tc>
      </w:tr>
      <w:tr>
        <w:tc>
          <w:tcPr/>
          <w:p>
            <w:pPr>
              <w:pStyle w:val="Compact"/>
              <w:jc w:val="left"/>
            </w:pPr>
            <w:r>
              <w:rPr>
                <w:rFonts w:hint="eastAsia"/>
              </w:rPr>
              <w:t xml:space="preserve">机制一致性</w:t>
            </w:r>
          </w:p>
        </w:tc>
        <w:tc>
          <w:tcPr/>
          <w:p>
            <w:pPr>
              <w:pStyle w:val="Compact"/>
              <w:jc w:val="left"/>
            </w:pPr>
            <w:r>
              <w:t xml:space="preserve">SPR </w:t>
            </w:r>
            <w:r>
              <w:rPr>
                <w:rFonts w:hint="eastAsia"/>
              </w:rPr>
              <w:t xml:space="preserve">自适应收缩、长期需求弹性、供给恢复和风险溢价衰减进入同一递推式</w:t>
            </w:r>
          </w:p>
        </w:tc>
        <w:tc>
          <w:tcPr/>
          <w:p>
            <w:pPr>
              <w:pStyle w:val="Compact"/>
              <w:jc w:val="left"/>
            </w:pPr>
            <w:r>
              <w:rPr>
                <w:rFonts w:hint="eastAsia"/>
              </w:rPr>
              <w:t xml:space="preserve">检验情景逻辑是否自洽，不代表未来真实价格已经被验证</w:t>
            </w:r>
          </w:p>
        </w:tc>
      </w:tr>
      <w:tr>
        <w:tc>
          <w:tcPr/>
          <w:p>
            <w:pPr>
              <w:pStyle w:val="Compact"/>
              <w:jc w:val="left"/>
            </w:pPr>
            <w:r>
              <w:rPr>
                <w:rFonts w:hint="eastAsia"/>
              </w:rPr>
              <w:t xml:space="preserve">外部数量级审计</w:t>
            </w:r>
          </w:p>
        </w:tc>
        <w:tc>
          <w:tcPr/>
          <w:p>
            <w:pPr>
              <w:pStyle w:val="Compact"/>
              <w:jc w:val="left"/>
            </w:pPr>
            <w:r>
              <w:t xml:space="preserve">EIA </w:t>
            </w:r>
            <w:r>
              <w:rPr>
                <w:rFonts w:hint="eastAsia"/>
              </w:rPr>
              <w:t xml:space="preserve">周度</w:t>
            </w:r>
            <w:r>
              <w:t xml:space="preserve"> </w:t>
            </w:r>
            <w:r>
              <w:rPr>
                <w:rFonts w:hint="eastAsia"/>
              </w:rPr>
              <w:t xml:space="preserve">SPR、商业库存和美国原油产量用于审计缓冲能力与供给恢复速度</w:t>
            </w:r>
          </w:p>
        </w:tc>
        <w:tc>
          <w:tcPr/>
          <w:p>
            <w:pPr>
              <w:pStyle w:val="Compact"/>
              <w:jc w:val="left"/>
            </w:pPr>
            <w:r>
              <w:rPr>
                <w:rFonts w:hint="eastAsia"/>
              </w:rPr>
              <w:t xml:space="preserve">美国口径不能直接替代全球参数，只提供保守约束</w:t>
            </w:r>
          </w:p>
        </w:tc>
      </w:tr>
      <w:tr>
        <w:tc>
          <w:tcPr/>
          <w:p>
            <w:pPr>
              <w:pStyle w:val="Compact"/>
              <w:jc w:val="left"/>
            </w:pPr>
            <w:r>
              <w:rPr>
                <w:rFonts w:hint="eastAsia"/>
              </w:rPr>
              <w:t xml:space="preserve">单因素敏感性</w:t>
            </w:r>
          </w:p>
        </w:tc>
        <w:tc>
          <w:tcPr/>
          <w:p>
            <w:pPr>
              <w:pStyle w:val="Compact"/>
              <w:jc w:val="left"/>
            </w:pPr>
            <w:r>
              <w:rPr>
                <w:rFonts w:hint="eastAsia"/>
              </w:rPr>
              <w:t xml:space="preserve">第</w:t>
            </w:r>
            <w:r>
              <w:t xml:space="preserve"> 180 </w:t>
            </w:r>
            <w:r>
              <w:rPr>
                <w:rFonts w:hint="eastAsia"/>
              </w:rPr>
              <w:t xml:space="preserve">天价格对制度风险、地缘风险权重和供应中断量最敏感</w:t>
            </w:r>
          </w:p>
        </w:tc>
        <w:tc>
          <w:tcPr/>
          <w:p>
            <w:pPr>
              <w:pStyle w:val="Compact"/>
              <w:jc w:val="left"/>
            </w:pPr>
            <w:r>
              <w:rPr>
                <w:rFonts w:hint="eastAsia"/>
              </w:rPr>
              <w:t xml:space="preserve">识别关键变量，不给出联合概率</w:t>
            </w:r>
          </w:p>
        </w:tc>
      </w:tr>
      <w:tr>
        <w:tc>
          <w:tcPr/>
          <w:p>
            <w:pPr>
              <w:pStyle w:val="Compact"/>
              <w:jc w:val="left"/>
            </w:pPr>
            <w:r>
              <w:rPr>
                <w:rFonts w:hint="eastAsia"/>
              </w:rPr>
              <w:t xml:space="preserve">蒙特卡洛情景树</w:t>
            </w:r>
          </w:p>
        </w:tc>
        <w:tc>
          <w:tcPr/>
          <w:p>
            <w:pPr>
              <w:pStyle w:val="Compact"/>
              <w:jc w:val="left"/>
            </w:pPr>
            <w:r>
              <w:rPr>
                <w:rFonts w:hint="eastAsia"/>
              </w:rPr>
              <w:t xml:space="preserve">第</w:t>
            </w:r>
            <w:r>
              <w:t xml:space="preserve"> 180 </w:t>
            </w:r>
            <w:r>
              <w:rPr>
                <w:rFonts w:hint="eastAsia"/>
              </w:rPr>
              <w:t xml:space="preserve">天价格</w:t>
            </w:r>
            <w:r>
              <w:t xml:space="preserve"> P05–P95 </w:t>
            </w:r>
            <w:r>
              <w:rPr>
                <w:rFonts w:hint="eastAsia"/>
              </w:rPr>
              <w:t xml:space="preserve">为</w:t>
            </w:r>
            <w:r>
              <w:t xml:space="preserve"> 87.67–101.01 </w:t>
            </w:r>
            <w:r>
              <w:rPr>
                <w:rFonts w:hint="eastAsia"/>
              </w:rPr>
              <w:t xml:space="preserve">美元/桶，最高价突破</w:t>
            </w:r>
            <w:r>
              <w:t xml:space="preserve"> 120 </w:t>
            </w:r>
            <w:r>
              <w:rPr>
                <w:rFonts w:hint="eastAsia"/>
              </w:rPr>
              <w:t xml:space="preserve">概率约</w:t>
            </w:r>
            <w:r>
              <w:t xml:space="preserve"> 4.6%</w:t>
            </w:r>
          </w:p>
        </w:tc>
        <w:tc>
          <w:tcPr/>
          <w:p>
            <w:pPr>
              <w:pStyle w:val="Compact"/>
              <w:jc w:val="left"/>
            </w:pPr>
            <w:r>
              <w:rPr>
                <w:rFonts w:hint="eastAsia"/>
              </w:rPr>
              <w:t xml:space="preserve">条件概率，不是无条件市场概率</w:t>
            </w:r>
          </w:p>
        </w:tc>
      </w:tr>
    </w:tbl>
    <w:p>
      <w:pPr>
        <w:pStyle w:val="BodyText"/>
      </w:pPr>
      <w:r>
        <w:rPr>
          <w:rFonts w:hint="eastAsia"/>
        </w:rPr>
        <w:t xml:space="preserve">从价格平衡点看，乐观情景最终回落至约</w:t>
      </w:r>
      <w:r>
        <w:t xml:space="preserve"> 87.10 </w:t>
      </w:r>
      <w:r>
        <w:rPr>
          <w:rFonts w:hint="eastAsia"/>
        </w:rPr>
        <w:t xml:space="preserve">美元/桶，说明若</w:t>
      </w:r>
      <w:r>
        <w:t xml:space="preserve"> SPR </w:t>
      </w:r>
      <w:r>
        <w:rPr>
          <w:rFonts w:hint="eastAsia"/>
        </w:rPr>
        <w:t xml:space="preserve">可用上限较高、绕道运输恢复充分且长期需求弹性发挥作用，油价可以逐步脱离</w:t>
      </w:r>
      <w:r>
        <w:t xml:space="preserve"> 110–120 </w:t>
      </w:r>
      <w:r>
        <w:rPr>
          <w:rFonts w:hint="eastAsia"/>
        </w:rPr>
        <w:t xml:space="preserve">美元平台。中性情景第</w:t>
      </w:r>
      <w:r>
        <w:t xml:space="preserve"> 180 </w:t>
      </w:r>
      <w:r>
        <w:rPr>
          <w:rFonts w:hint="eastAsia"/>
        </w:rPr>
        <w:t xml:space="preserve">天约为</w:t>
      </w:r>
      <w:r>
        <w:t xml:space="preserve"> 92.43 </w:t>
      </w:r>
      <w:r>
        <w:rPr>
          <w:rFonts w:hint="eastAsia"/>
        </w:rPr>
        <w:t xml:space="preserve">美元/桶，更接近政策缓冲与市场风险重新平衡后的中心水平；此时实际</w:t>
      </w:r>
      <w:r>
        <w:t xml:space="preserve"> SPR </w:t>
      </w:r>
      <w:r>
        <w:rPr>
          <w:rFonts w:hint="eastAsia"/>
        </w:rPr>
        <w:t xml:space="preserve">释放已经从计划上限自动收缩，且中性路径供给过剩仅约</w:t>
      </w:r>
      <w:r>
        <w:t xml:space="preserve"> 50 </w:t>
      </w:r>
      <w:r>
        <w:rPr>
          <w:rFonts w:hint="eastAsia"/>
        </w:rPr>
        <w:t xml:space="preserve">万桶/日，说明价格回落不是依赖政策变量机械满额托底。悲观情景第</w:t>
      </w:r>
      <w:r>
        <w:t xml:space="preserve"> 180 </w:t>
      </w:r>
      <w:r>
        <w:rPr>
          <w:rFonts w:hint="eastAsia"/>
        </w:rPr>
        <w:t xml:space="preserve">天仍为</w:t>
      </w:r>
      <w:r>
        <w:t xml:space="preserve"> 106.83 </w:t>
      </w:r>
      <w:r>
        <w:rPr>
          <w:rFonts w:hint="eastAsia"/>
        </w:rPr>
        <w:t xml:space="preserve">美元/桶，说明若供应中断规模接近上界、SPR</w:t>
      </w:r>
      <w:r>
        <w:t xml:space="preserve"> </w:t>
      </w:r>
      <w:r>
        <w:rPr>
          <w:rFonts w:hint="eastAsia"/>
        </w:rPr>
        <w:t xml:space="preserve">释放不足且制度风险溢价持续，市场仍可能维持相对高位，并保留二次跳涨尾部风险。</w:t>
      </w:r>
    </w:p>
    <w:p>
      <w:pPr>
        <w:pStyle w:val="BodyText"/>
      </w:pPr>
      <w:r>
        <w:rPr>
          <w:rFonts w:hint="eastAsia"/>
        </w:rPr>
        <w:t xml:space="preserve">需要主动说明的是，中性第</w:t>
      </w:r>
      <w:r>
        <w:t xml:space="preserve"> 180 </w:t>
      </w:r>
      <w:r>
        <w:rPr>
          <w:rFonts w:hint="eastAsia"/>
        </w:rPr>
        <w:t xml:space="preserve">天存在约</w:t>
      </w:r>
      <w:r>
        <w:t xml:space="preserve"> 50 </w:t>
      </w:r>
      <w:r>
        <w:rPr>
          <w:rFonts w:hint="eastAsia"/>
        </w:rPr>
        <w:t xml:space="preserve">万桶/日的轻微供给过剩，但价格仍高于战前</w:t>
      </w:r>
      <w:r>
        <w:t xml:space="preserve"> 75 </w:t>
      </w:r>
      <w:r>
        <w:rPr>
          <w:rFonts w:hint="eastAsia"/>
        </w:rPr>
        <w:t xml:space="preserve">美元/桶，并非供需项失效，而是模型中仍保留约</w:t>
      </w:r>
      <w:r>
        <w:t xml:space="preserve"> 5.99 </w:t>
      </w:r>
      <w:r>
        <w:rPr>
          <w:rFonts w:hint="eastAsia"/>
        </w:rPr>
        <w:t xml:space="preserve">美元/桶的不确定性和制度风险溢价。该设定表示：即便物理缺口基本闭合，只要霍尔木兹封锁的制度状态没有完全解除，市场仍会对运输保险、航运安全、库存再补充和再次升级风险给出残余溢价。反驳性检验显示，若将不确定性溢价减半，中性第</w:t>
      </w:r>
      <w:r>
        <w:t xml:space="preserve"> 180 </w:t>
      </w:r>
      <w:r>
        <w:rPr>
          <w:rFonts w:hint="eastAsia"/>
        </w:rPr>
        <w:t xml:space="preserve">天价格降至</w:t>
      </w:r>
      <w:r>
        <w:t xml:space="preserve"> 89.15 </w:t>
      </w:r>
      <w:r>
        <w:rPr>
          <w:rFonts w:hint="eastAsia"/>
        </w:rPr>
        <w:t xml:space="preserve">美元/桶；若强制其随时间衰减，则降至</w:t>
      </w:r>
      <w:r>
        <w:t xml:space="preserve"> 87.82 </w:t>
      </w:r>
      <w:r>
        <w:rPr>
          <w:rFonts w:hint="eastAsia"/>
        </w:rPr>
        <w:t xml:space="preserve">美元/桶。因此</w:t>
      </w:r>
      <w:r>
        <w:t xml:space="preserve"> 92.43 </w:t>
      </w:r>
      <w:r>
        <w:rPr>
          <w:rFonts w:hint="eastAsia"/>
        </w:rPr>
        <w:t xml:space="preserve">美元/桶不是模型声称的唯一真实价格，而是</w:t>
      </w:r>
      <w:r>
        <w:rPr>
          <w:rFonts w:hint="eastAsia"/>
        </w:rPr>
        <w:t xml:space="preserve">“物理缺口闭合但制度风险尚未完全消失”</w:t>
      </w:r>
      <w:r>
        <w:rPr>
          <w:rFonts w:hint="eastAsia"/>
        </w:rPr>
        <w:t xml:space="preserve">条件下的中心路径。</w:t>
      </w:r>
    </w:p>
    <w:p>
      <w:pPr>
        <w:pStyle w:val="CaptionedFigure"/>
      </w:pPr>
      <w:r>
        <w:drawing>
          <wp:inline>
            <wp:extent cx="4907280" cy="3413760"/>
            <wp:effectExtent b="0" l="0" r="0" t="0"/>
            <wp:docPr descr="" title="" id="92" name="Picture"/>
            <a:graphic>
              <a:graphicData uri="http://schemas.openxmlformats.org/drawingml/2006/picture">
                <pic:pic>
                  <pic:nvPicPr>
                    <pic:cNvPr descr="inventory_depletion_risk.png" id="93" name="Picture"/>
                    <pic:cNvPicPr>
                      <a:picLocks noChangeArrowheads="1" noChangeAspect="1"/>
                    </pic:cNvPicPr>
                  </pic:nvPicPr>
                  <pic:blipFill>
                    <a:blip r:embed="rId91"/>
                    <a:stretch>
                      <a:fillRect/>
                    </a:stretch>
                  </pic:blipFill>
                  <pic:spPr bwMode="auto">
                    <a:xfrm>
                      <a:off x="0" y="0"/>
                      <a:ext cx="4907280" cy="3413760"/>
                    </a:xfrm>
                    <a:prstGeom prst="rect">
                      <a:avLst/>
                    </a:prstGeom>
                    <a:noFill/>
                    <a:ln w="9525">
                      <a:noFill/>
                      <a:headEnd/>
                      <a:tailEnd/>
                    </a:ln>
                  </pic:spPr>
                </pic:pic>
              </a:graphicData>
            </a:graphic>
          </wp:inline>
        </w:drawing>
      </w:r>
    </w:p>
    <w:p>
      <w:pPr>
        <w:pStyle w:val="ImageCaption"/>
      </w:pPr>
      <w:r>
        <w:rPr>
          <w:rFonts w:hint="eastAsia"/>
        </w:rPr>
        <w:t xml:space="preserve">商业库存剩余量与剩余供需缺口变化。悲观情景下缓冲能力下降，二次跳涨风险上升。</w:t>
      </w:r>
    </w:p>
    <w:bookmarkEnd w:id="94"/>
    <w:bookmarkEnd w:id="95"/>
    <w:bookmarkStart w:id="119" w:name="敏感性分析"/>
    <w:p>
      <w:pPr>
        <w:pStyle w:val="Heading1"/>
      </w:pPr>
      <w:r>
        <w:rPr>
          <w:rFonts w:hint="eastAsia"/>
        </w:rPr>
        <w:t xml:space="preserve">敏感性分析</w:t>
      </w:r>
    </w:p>
    <w:bookmarkStart w:id="96" w:name="分析方法"/>
    <w:p>
      <w:pPr>
        <w:pStyle w:val="Heading2"/>
      </w:pPr>
      <w:r>
        <w:rPr>
          <w:rFonts w:hint="eastAsia"/>
        </w:rPr>
        <w:t xml:space="preserve">分析方法</w:t>
      </w:r>
    </w:p>
    <w:p>
      <w:pPr>
        <w:pStyle w:val="FirstParagraph"/>
      </w:pPr>
      <w:r>
        <w:rPr>
          <w:rFonts w:hint="eastAsia"/>
        </w:rPr>
        <w:t xml:space="preserve">敏感性分析以中性情景为基准，对</w:t>
      </w:r>
      <w:r>
        <w:t xml:space="preserve"> 14 </w:t>
      </w:r>
      <w:r>
        <w:rPr>
          <w:rFonts w:hint="eastAsia"/>
        </w:rPr>
        <w:t xml:space="preserve">个关键参数进行单因素扰动，观察第</w:t>
      </w:r>
      <w:r>
        <w:t xml:space="preserve"> 180 </w:t>
      </w:r>
      <w:r>
        <w:rPr>
          <w:rFonts w:hint="eastAsia"/>
        </w:rPr>
        <w:t xml:space="preserve">天价格、外推期最高价、剩余供需缺口和二次跳涨风险变化。除题面物理量和行为参数外，本阶段还把长期机制强度参数单独纳入检验，避免长期结论依赖隐藏常数。综合敏感度定义为</w:t>
      </w:r>
    </w:p>
    <w:p>
      <w:pPr>
        <w:pStyle w:val="BodyText"/>
      </w:pPr>
      <m:oMathPara>
        <m:oMathParaPr>
          <m:jc m:val="center"/>
        </m:oMathParaPr>
        <m:oMath>
          <m:r>
            <m:rPr>
              <m:scr m:val="script"/>
              <m:sty m:val="p"/>
            </m:rPr>
            <m:t>S</m:t>
          </m:r>
          <m:r>
            <m:rPr>
              <m:sty m:val="p"/>
            </m:rPr>
            <m:t>=</m:t>
          </m:r>
          <m:r>
            <m:rPr>
              <m:sty m:val="p"/>
            </m:rPr>
            <m:t>Δ</m:t>
          </m:r>
          <m:sSub>
            <m:e>
              <m:r>
                <m:t>P</m:t>
              </m:r>
            </m:e>
            <m:sub>
              <m:r>
                <m:t>180</m:t>
              </m:r>
            </m:sub>
          </m:sSub>
          <m:r>
            <m:rPr>
              <m:sty m:val="p"/>
            </m:rPr>
            <m:t>+</m:t>
          </m:r>
          <m:r>
            <m:t>0.45</m:t>
          </m:r>
          <m:r>
            <m:rPr>
              <m:sty m:val="p"/>
            </m:rPr>
            <m:t>Δ</m:t>
          </m:r>
          <m:sSub>
            <m:e>
              <m:r>
                <m:t>P</m:t>
              </m:r>
            </m:e>
            <m:sub>
              <m:r>
                <m:rPr>
                  <m:sty m:val="p"/>
                </m:rPr>
                <m:t>max</m:t>
              </m:r>
            </m:sub>
          </m:sSub>
          <m:r>
            <m:rPr>
              <m:sty m:val="p"/>
            </m:rPr>
            <m:t>+</m:t>
          </m:r>
          <m:r>
            <m:t>0.002</m:t>
          </m:r>
          <m:r>
            <m:rPr>
              <m:sty m:val="p"/>
            </m:rPr>
            <m:t>Δ</m:t>
          </m:r>
          <m:sSub>
            <m:e>
              <m:r>
                <m:t>G</m:t>
              </m:r>
            </m:e>
            <m:sub>
              <m:r>
                <m:t>180</m:t>
              </m:r>
            </m:sub>
          </m:sSub>
          <m:r>
            <m:rPr>
              <m:sty m:val="p"/>
            </m:rPr>
            <m:t>,</m:t>
          </m:r>
        </m:oMath>
      </m:oMathPara>
    </w:p>
    <w:p>
      <w:pPr>
        <w:pStyle w:val="FirstParagraph"/>
      </w:pPr>
      <w:r>
        <w:rPr>
          <w:rFonts w:hint="eastAsia"/>
        </w:rPr>
        <w:t xml:space="preserve">其中</w:t>
      </w:r>
      <w:r>
        <w:t xml:space="preserve"> </w:t>
      </w:r>
      <m:oMath>
        <m:r>
          <m:rPr>
            <m:sty m:val="p"/>
          </m:rPr>
          <m:t>Δ</m:t>
        </m:r>
        <m:sSub>
          <m:e>
            <m:r>
              <m:t>P</m:t>
            </m:r>
          </m:e>
          <m:sub>
            <m:r>
              <m:t>180</m:t>
            </m:r>
          </m:sub>
        </m:sSub>
      </m:oMath>
      <w:r>
        <w:t xml:space="preserve"> </w:t>
      </w:r>
      <w:r>
        <w:rPr>
          <w:rFonts w:hint="eastAsia"/>
        </w:rPr>
        <w:t xml:space="preserve">是第</w:t>
      </w:r>
      <w:r>
        <w:t xml:space="preserve"> 180 </w:t>
      </w:r>
      <w:r>
        <w:rPr>
          <w:rFonts w:hint="eastAsia"/>
        </w:rPr>
        <w:t xml:space="preserve">天价格波动范围，</w:t>
      </w:r>
      <m:oMath>
        <m:r>
          <m:rPr>
            <m:sty m:val="p"/>
          </m:rPr>
          <m:t>Δ</m:t>
        </m:r>
        <m:sSub>
          <m:e>
            <m:r>
              <m:t>P</m:t>
            </m:r>
          </m:e>
          <m:sub>
            <m:r>
              <m:rPr>
                <m:sty m:val="p"/>
              </m:rPr>
              <m:t>max</m:t>
            </m:r>
          </m:sub>
        </m:sSub>
      </m:oMath>
      <w:r>
        <w:t xml:space="preserve"> </w:t>
      </w:r>
      <w:r>
        <w:rPr>
          <w:rFonts w:hint="eastAsia"/>
        </w:rPr>
        <w:t xml:space="preserve">是外推期最高价波动范围，</w:t>
      </w:r>
      <m:oMath>
        <m:r>
          <m:rPr>
            <m:sty m:val="p"/>
          </m:rPr>
          <m:t>Δ</m:t>
        </m:r>
        <m:sSub>
          <m:e>
            <m:r>
              <m:t>G</m:t>
            </m:r>
          </m:e>
          <m:sub>
            <m:r>
              <m:t>180</m:t>
            </m:r>
          </m:sub>
        </m:sSub>
      </m:oMath>
      <w:r>
        <w:t xml:space="preserve"> </w:t>
      </w:r>
      <w:r>
        <w:rPr>
          <w:rFonts w:hint="eastAsia"/>
        </w:rPr>
        <w:t xml:space="preserve">是第</w:t>
      </w:r>
      <w:r>
        <w:t xml:space="preserve"> 180 </w:t>
      </w:r>
      <w:r>
        <w:rPr>
          <w:rFonts w:hint="eastAsia"/>
        </w:rPr>
        <w:t xml:space="preserve">天剩余缺口波动范围。该指标兼顾终点价格、阶段峰值和供需风险。</w:t>
      </w:r>
    </w:p>
    <w:bookmarkEnd w:id="96"/>
    <w:bookmarkStart w:id="100" w:name="参数重要性排序"/>
    <w:p>
      <w:pPr>
        <w:pStyle w:val="Heading2"/>
      </w:pPr>
      <w:r>
        <w:rPr>
          <w:rFonts w:hint="eastAsia"/>
        </w:rPr>
        <w:t xml:space="preserve">参数重要性排序</w:t>
      </w:r>
    </w:p>
    <w:p>
      <w:pPr>
        <w:pStyle w:val="TableCaption"/>
      </w:pPr>
      <w:r>
        <w:rPr>
          <w:rFonts w:hint="eastAsia"/>
        </w:rPr>
        <w:t xml:space="preserve">参数综合敏感度排序</w:t>
      </w:r>
    </w:p>
    <w:tbl>
      <w:tblPr>
        <w:tblStyle w:val="Table"/>
        <w:tblW w:type="auto" w:w="0"/>
        <w:tblLook w:firstRow="1" w:lastRow="0" w:firstColumn="0" w:lastColumn="0" w:noHBand="0" w:noVBand="0" w:val="0020"/>
        <w:tblCaption w:val="参数综合敏感度排序"/>
      </w:tblPr>
      <w:tblGrid>
        <w:gridCol w:w="1584"/>
        <w:gridCol w:w="1584"/>
        <w:gridCol w:w="1584"/>
        <w:gridCol w:w="1584"/>
        <w:gridCol w:w="1584"/>
      </w:tblGrid>
      <w:tr>
        <w:trPr>
          <w:tblHeader w:val="on"/>
        </w:trPr>
        <w:tc>
          <w:tcPr/>
          <w:p>
            <w:pPr>
              <w:pStyle w:val="Compact"/>
              <w:jc w:val="right"/>
            </w:pPr>
            <w:r>
              <w:rPr>
                <w:rFonts w:hint="eastAsia"/>
              </w:rPr>
              <w:t xml:space="preserve">排名</w:t>
            </w:r>
          </w:p>
        </w:tc>
        <w:tc>
          <w:tcPr/>
          <w:p>
            <w:pPr>
              <w:pStyle w:val="Compact"/>
              <w:jc w:val="left"/>
            </w:pPr>
            <w:r>
              <w:rPr>
                <w:rFonts w:hint="eastAsia"/>
              </w:rPr>
              <w:t xml:space="preserve">参数</w:t>
            </w:r>
          </w:p>
        </w:tc>
        <w:tc>
          <w:tcPr/>
          <w:p>
            <w:pPr>
              <w:pStyle w:val="Compact"/>
              <w:jc w:val="right"/>
            </w:pPr>
            <w:r>
              <w:rPr>
                <w:rFonts w:hint="eastAsia"/>
              </w:rPr>
              <w:t xml:space="preserve">综合敏感度</w:t>
            </w:r>
          </w:p>
        </w:tc>
        <w:tc>
          <w:tcPr/>
          <w:p>
            <w:pPr>
              <w:pStyle w:val="Compact"/>
              <w:jc w:val="right"/>
            </w:pPr>
            <w:r>
              <w:rPr>
                <w:rFonts w:hint="eastAsia"/>
              </w:rPr>
              <w:t xml:space="preserve">第180天波动</w:t>
            </w:r>
          </w:p>
        </w:tc>
        <w:tc>
          <w:tcPr/>
          <w:p>
            <w:pPr>
              <w:pStyle w:val="Compact"/>
              <w:jc w:val="right"/>
            </w:pPr>
            <w:r>
              <w:rPr>
                <w:rFonts w:hint="eastAsia"/>
              </w:rPr>
              <w:t xml:space="preserve">外推峰值波动</w:t>
            </w:r>
          </w:p>
        </w:tc>
      </w:tr>
      <w:tr>
        <w:tc>
          <w:tcPr/>
          <w:p>
            <w:pPr>
              <w:pStyle w:val="Compact"/>
              <w:jc w:val="right"/>
            </w:pPr>
            <w:r>
              <w:t xml:space="preserve">1</w:t>
            </w:r>
          </w:p>
        </w:tc>
        <w:tc>
          <w:tcPr/>
          <w:p>
            <w:pPr>
              <w:pStyle w:val="Compact"/>
              <w:jc w:val="left"/>
            </w:pPr>
            <w:r>
              <w:rPr>
                <w:rFonts w:hint="eastAsia"/>
              </w:rPr>
              <w:t xml:space="preserve">地缘风险权重</w:t>
            </w:r>
          </w:p>
        </w:tc>
        <w:tc>
          <w:tcPr/>
          <w:p>
            <w:pPr>
              <w:pStyle w:val="Compact"/>
              <w:jc w:val="right"/>
            </w:pPr>
            <w:r>
              <w:t xml:space="preserve">13.55</w:t>
            </w:r>
          </w:p>
        </w:tc>
        <w:tc>
          <w:tcPr/>
          <w:p>
            <w:pPr>
              <w:pStyle w:val="Compact"/>
              <w:jc w:val="right"/>
            </w:pPr>
            <w:r>
              <w:t xml:space="preserve">8.40</w:t>
            </w:r>
          </w:p>
        </w:tc>
        <w:tc>
          <w:tcPr/>
          <w:p>
            <w:pPr>
              <w:pStyle w:val="Compact"/>
              <w:jc w:val="right"/>
            </w:pPr>
            <w:r>
              <w:t xml:space="preserve">11.44</w:t>
            </w:r>
          </w:p>
        </w:tc>
      </w:tr>
      <w:tr>
        <w:tc>
          <w:tcPr/>
          <w:p>
            <w:pPr>
              <w:pStyle w:val="Compact"/>
              <w:jc w:val="right"/>
            </w:pPr>
            <w:r>
              <w:t xml:space="preserve">2</w:t>
            </w:r>
          </w:p>
        </w:tc>
        <w:tc>
          <w:tcPr/>
          <w:p>
            <w:pPr>
              <w:pStyle w:val="Compact"/>
              <w:jc w:val="left"/>
            </w:pPr>
            <w:r>
              <w:rPr>
                <w:rFonts w:hint="eastAsia"/>
              </w:rPr>
              <w:t xml:space="preserve">不确定性与制度风险强度</w:t>
            </w:r>
          </w:p>
        </w:tc>
        <w:tc>
          <w:tcPr/>
          <w:p>
            <w:pPr>
              <w:pStyle w:val="Compact"/>
              <w:jc w:val="right"/>
            </w:pPr>
            <w:r>
              <w:t xml:space="preserve">10.02</w:t>
            </w:r>
          </w:p>
        </w:tc>
        <w:tc>
          <w:tcPr/>
          <w:p>
            <w:pPr>
              <w:pStyle w:val="Compact"/>
              <w:jc w:val="right"/>
            </w:pPr>
            <w:r>
              <w:t xml:space="preserve">4.92</w:t>
            </w:r>
          </w:p>
        </w:tc>
        <w:tc>
          <w:tcPr/>
          <w:p>
            <w:pPr>
              <w:pStyle w:val="Compact"/>
              <w:jc w:val="right"/>
            </w:pPr>
            <w:r>
              <w:t xml:space="preserve">11.33</w:t>
            </w:r>
          </w:p>
        </w:tc>
      </w:tr>
      <w:tr>
        <w:tc>
          <w:tcPr/>
          <w:p>
            <w:pPr>
              <w:pStyle w:val="Compact"/>
              <w:jc w:val="right"/>
            </w:pPr>
            <w:r>
              <w:t xml:space="preserve">3</w:t>
            </w:r>
          </w:p>
        </w:tc>
        <w:tc>
          <w:tcPr/>
          <w:p>
            <w:pPr>
              <w:pStyle w:val="Compact"/>
              <w:jc w:val="left"/>
            </w:pPr>
            <w:r>
              <w:rPr>
                <w:rFonts w:hint="eastAsia"/>
              </w:rPr>
              <w:t xml:space="preserve">制度风险占比</w:t>
            </w:r>
          </w:p>
        </w:tc>
        <w:tc>
          <w:tcPr/>
          <w:p>
            <w:pPr>
              <w:pStyle w:val="Compact"/>
              <w:jc w:val="right"/>
            </w:pPr>
            <w:r>
              <w:t xml:space="preserve">6.41</w:t>
            </w:r>
          </w:p>
        </w:tc>
        <w:tc>
          <w:tcPr/>
          <w:p>
            <w:pPr>
              <w:pStyle w:val="Compact"/>
              <w:jc w:val="right"/>
            </w:pPr>
            <w:r>
              <w:t xml:space="preserve">5.04</w:t>
            </w:r>
          </w:p>
        </w:tc>
        <w:tc>
          <w:tcPr/>
          <w:p>
            <w:pPr>
              <w:pStyle w:val="Compact"/>
              <w:jc w:val="right"/>
            </w:pPr>
            <w:r>
              <w:t xml:space="preserve">3.04</w:t>
            </w:r>
          </w:p>
        </w:tc>
      </w:tr>
      <w:tr>
        <w:tc>
          <w:tcPr/>
          <w:p>
            <w:pPr>
              <w:pStyle w:val="Compact"/>
              <w:jc w:val="right"/>
            </w:pPr>
            <w:r>
              <w:t xml:space="preserve">4</w:t>
            </w:r>
          </w:p>
        </w:tc>
        <w:tc>
          <w:tcPr/>
          <w:p>
            <w:pPr>
              <w:pStyle w:val="Compact"/>
              <w:jc w:val="left"/>
            </w:pPr>
            <w:r>
              <w:rPr>
                <w:rFonts w:hint="eastAsia"/>
              </w:rPr>
              <w:t xml:space="preserve">供应中断量</w:t>
            </w:r>
          </w:p>
        </w:tc>
        <w:tc>
          <w:tcPr/>
          <w:p>
            <w:pPr>
              <w:pStyle w:val="Compact"/>
              <w:jc w:val="right"/>
            </w:pPr>
            <w:r>
              <w:t xml:space="preserve">5.95</w:t>
            </w:r>
          </w:p>
        </w:tc>
        <w:tc>
          <w:tcPr/>
          <w:p>
            <w:pPr>
              <w:pStyle w:val="Compact"/>
              <w:jc w:val="right"/>
            </w:pPr>
            <w:r>
              <w:t xml:space="preserve">3.26</w:t>
            </w:r>
          </w:p>
        </w:tc>
        <w:tc>
          <w:tcPr/>
          <w:p>
            <w:pPr>
              <w:pStyle w:val="Compact"/>
              <w:jc w:val="right"/>
            </w:pPr>
            <w:r>
              <w:t xml:space="preserve">5.97</w:t>
            </w:r>
          </w:p>
        </w:tc>
      </w:tr>
      <w:tr>
        <w:tc>
          <w:tcPr/>
          <w:p>
            <w:pPr>
              <w:pStyle w:val="Compact"/>
              <w:jc w:val="right"/>
            </w:pPr>
            <w:r>
              <w:t xml:space="preserve">5</w:t>
            </w:r>
          </w:p>
        </w:tc>
        <w:tc>
          <w:tcPr/>
          <w:p>
            <w:pPr>
              <w:pStyle w:val="Compact"/>
              <w:jc w:val="left"/>
            </w:pPr>
            <w:r>
              <w:rPr>
                <w:rFonts w:hint="eastAsia"/>
              </w:rPr>
              <w:t xml:space="preserve">长期需求弹性</w:t>
            </w:r>
          </w:p>
        </w:tc>
        <w:tc>
          <w:tcPr/>
          <w:p>
            <w:pPr>
              <w:pStyle w:val="Compact"/>
              <w:jc w:val="right"/>
            </w:pPr>
            <w:r>
              <w:t xml:space="preserve">3.86</w:t>
            </w:r>
          </w:p>
        </w:tc>
        <w:tc>
          <w:tcPr/>
          <w:p>
            <w:pPr>
              <w:pStyle w:val="Compact"/>
              <w:jc w:val="right"/>
            </w:pPr>
            <w:r>
              <w:t xml:space="preserve">3.42</w:t>
            </w:r>
          </w:p>
        </w:tc>
        <w:tc>
          <w:tcPr/>
          <w:p>
            <w:pPr>
              <w:pStyle w:val="Compact"/>
              <w:jc w:val="right"/>
            </w:pPr>
            <w:r>
              <w:t xml:space="preserve">0.98</w:t>
            </w:r>
          </w:p>
        </w:tc>
      </w:tr>
      <w:tr>
        <w:tc>
          <w:tcPr/>
          <w:p>
            <w:pPr>
              <w:pStyle w:val="Compact"/>
              <w:jc w:val="right"/>
            </w:pPr>
            <w:r>
              <w:t xml:space="preserve">6</w:t>
            </w:r>
          </w:p>
        </w:tc>
        <w:tc>
          <w:tcPr/>
          <w:p>
            <w:pPr>
              <w:pStyle w:val="Compact"/>
              <w:jc w:val="left"/>
            </w:pPr>
            <w:r>
              <w:rPr>
                <w:rFonts w:hint="eastAsia"/>
              </w:rPr>
              <w:t xml:space="preserve">信心恢复后风险底座</w:t>
            </w:r>
          </w:p>
        </w:tc>
        <w:tc>
          <w:tcPr/>
          <w:p>
            <w:pPr>
              <w:pStyle w:val="Compact"/>
              <w:jc w:val="right"/>
            </w:pPr>
            <w:r>
              <w:t xml:space="preserve">2.28</w:t>
            </w:r>
          </w:p>
        </w:tc>
        <w:tc>
          <w:tcPr/>
          <w:p>
            <w:pPr>
              <w:pStyle w:val="Compact"/>
              <w:jc w:val="right"/>
            </w:pPr>
            <w:r>
              <w:t xml:space="preserve">2.26</w:t>
            </w:r>
          </w:p>
        </w:tc>
        <w:tc>
          <w:tcPr/>
          <w:p>
            <w:pPr>
              <w:pStyle w:val="Compact"/>
              <w:jc w:val="right"/>
            </w:pPr>
            <w:r>
              <w:t xml:space="preserve">0.05</w:t>
            </w:r>
          </w:p>
        </w:tc>
      </w:tr>
      <w:tr>
        <w:tc>
          <w:tcPr/>
          <w:p>
            <w:pPr>
              <w:pStyle w:val="Compact"/>
              <w:jc w:val="right"/>
            </w:pPr>
            <w:r>
              <w:t xml:space="preserve">7</w:t>
            </w:r>
          </w:p>
        </w:tc>
        <w:tc>
          <w:tcPr/>
          <w:p>
            <w:pPr>
              <w:pStyle w:val="Compact"/>
              <w:jc w:val="left"/>
            </w:pPr>
            <w:r>
              <w:rPr>
                <w:rFonts w:hint="eastAsia"/>
              </w:rPr>
              <w:t xml:space="preserve">冲击不确定性占比</w:t>
            </w:r>
          </w:p>
        </w:tc>
        <w:tc>
          <w:tcPr/>
          <w:p>
            <w:pPr>
              <w:pStyle w:val="Compact"/>
              <w:jc w:val="right"/>
            </w:pPr>
            <w:r>
              <w:t xml:space="preserve">2.08</w:t>
            </w:r>
          </w:p>
        </w:tc>
        <w:tc>
          <w:tcPr/>
          <w:p>
            <w:pPr>
              <w:pStyle w:val="Compact"/>
              <w:jc w:val="right"/>
            </w:pPr>
            <w:r>
              <w:t xml:space="preserve">1.26</w:t>
            </w:r>
          </w:p>
        </w:tc>
        <w:tc>
          <w:tcPr/>
          <w:p>
            <w:pPr>
              <w:pStyle w:val="Compact"/>
              <w:jc w:val="right"/>
            </w:pPr>
            <w:r>
              <w:t xml:space="preserve">1.82</w:t>
            </w:r>
          </w:p>
        </w:tc>
      </w:tr>
      <w:tr>
        <w:tc>
          <w:tcPr/>
          <w:p>
            <w:pPr>
              <w:pStyle w:val="Compact"/>
              <w:jc w:val="right"/>
            </w:pPr>
            <w:r>
              <w:t xml:space="preserve">8</w:t>
            </w:r>
          </w:p>
        </w:tc>
        <w:tc>
          <w:tcPr/>
          <w:p>
            <w:pPr>
              <w:pStyle w:val="Compact"/>
              <w:jc w:val="left"/>
            </w:pPr>
            <w:r>
              <w:t xml:space="preserve">SPR </w:t>
            </w:r>
            <w:r>
              <w:rPr>
                <w:rFonts w:hint="eastAsia"/>
              </w:rPr>
              <w:t xml:space="preserve">释放上限</w:t>
            </w:r>
          </w:p>
        </w:tc>
        <w:tc>
          <w:tcPr/>
          <w:p>
            <w:pPr>
              <w:pStyle w:val="Compact"/>
              <w:jc w:val="right"/>
            </w:pPr>
            <w:r>
              <w:t xml:space="preserve">0.90</w:t>
            </w:r>
          </w:p>
        </w:tc>
        <w:tc>
          <w:tcPr/>
          <w:p>
            <w:pPr>
              <w:pStyle w:val="Compact"/>
              <w:jc w:val="right"/>
            </w:pPr>
            <w:r>
              <w:t xml:space="preserve">0.65</w:t>
            </w:r>
          </w:p>
        </w:tc>
        <w:tc>
          <w:tcPr/>
          <w:p>
            <w:pPr>
              <w:pStyle w:val="Compact"/>
              <w:jc w:val="right"/>
            </w:pPr>
            <w:r>
              <w:t xml:space="preserve">0.50</w:t>
            </w:r>
          </w:p>
        </w:tc>
      </w:tr>
      <w:tr>
        <w:tc>
          <w:tcPr/>
          <w:p>
            <w:pPr>
              <w:pStyle w:val="Compact"/>
              <w:jc w:val="right"/>
            </w:pPr>
            <w:r>
              <w:t xml:space="preserve">9</w:t>
            </w:r>
          </w:p>
        </w:tc>
        <w:tc>
          <w:tcPr/>
          <w:p>
            <w:pPr>
              <w:pStyle w:val="Compact"/>
              <w:jc w:val="left"/>
            </w:pPr>
            <w:r>
              <w:rPr>
                <w:rFonts w:hint="eastAsia"/>
              </w:rPr>
              <w:t xml:space="preserve">绕道运输能力</w:t>
            </w:r>
          </w:p>
        </w:tc>
        <w:tc>
          <w:tcPr/>
          <w:p>
            <w:pPr>
              <w:pStyle w:val="Compact"/>
              <w:jc w:val="right"/>
            </w:pPr>
            <w:r>
              <w:t xml:space="preserve">0.39</w:t>
            </w:r>
          </w:p>
        </w:tc>
        <w:tc>
          <w:tcPr/>
          <w:p>
            <w:pPr>
              <w:pStyle w:val="Compact"/>
              <w:jc w:val="right"/>
            </w:pPr>
            <w:r>
              <w:t xml:space="preserve">0.00</w:t>
            </w:r>
          </w:p>
        </w:tc>
        <w:tc>
          <w:tcPr/>
          <w:p>
            <w:pPr>
              <w:pStyle w:val="Compact"/>
              <w:jc w:val="right"/>
            </w:pPr>
            <w:r>
              <w:t xml:space="preserve">0.86</w:t>
            </w:r>
          </w:p>
        </w:tc>
      </w:tr>
      <w:tr>
        <w:tc>
          <w:tcPr/>
          <w:p>
            <w:pPr>
              <w:pStyle w:val="Compact"/>
              <w:jc w:val="right"/>
            </w:pPr>
            <w:r>
              <w:t xml:space="preserve">10</w:t>
            </w:r>
          </w:p>
        </w:tc>
        <w:tc>
          <w:tcPr/>
          <w:p>
            <w:pPr>
              <w:pStyle w:val="Compact"/>
              <w:jc w:val="left"/>
            </w:pPr>
            <w:r>
              <w:rPr>
                <w:rFonts w:hint="eastAsia"/>
              </w:rPr>
              <w:t xml:space="preserve">预期修复强度</w:t>
            </w:r>
          </w:p>
        </w:tc>
        <w:tc>
          <w:tcPr/>
          <w:p>
            <w:pPr>
              <w:pStyle w:val="Compact"/>
              <w:jc w:val="right"/>
            </w:pPr>
            <w:r>
              <w:t xml:space="preserve">0.23</w:t>
            </w:r>
          </w:p>
        </w:tc>
        <w:tc>
          <w:tcPr/>
          <w:p>
            <w:pPr>
              <w:pStyle w:val="Compact"/>
              <w:jc w:val="right"/>
            </w:pPr>
            <w:r>
              <w:t xml:space="preserve">0.00</w:t>
            </w:r>
          </w:p>
        </w:tc>
        <w:tc>
          <w:tcPr/>
          <w:p>
            <w:pPr>
              <w:pStyle w:val="Compact"/>
              <w:jc w:val="right"/>
            </w:pPr>
            <w:r>
              <w:t xml:space="preserve">0.51</w:t>
            </w:r>
          </w:p>
        </w:tc>
      </w:tr>
      <w:tr>
        <w:tc>
          <w:tcPr/>
          <w:p>
            <w:pPr>
              <w:pStyle w:val="Compact"/>
              <w:jc w:val="right"/>
            </w:pPr>
            <w:r>
              <w:t xml:space="preserve">11</w:t>
            </w:r>
          </w:p>
        </w:tc>
        <w:tc>
          <w:tcPr/>
          <w:p>
            <w:pPr>
              <w:pStyle w:val="Compact"/>
              <w:jc w:val="left"/>
            </w:pPr>
            <w:r>
              <w:rPr>
                <w:rFonts w:hint="eastAsia"/>
              </w:rPr>
              <w:t xml:space="preserve">恐慌衰减速度</w:t>
            </w:r>
          </w:p>
        </w:tc>
        <w:tc>
          <w:tcPr/>
          <w:p>
            <w:pPr>
              <w:pStyle w:val="Compact"/>
              <w:jc w:val="right"/>
            </w:pPr>
            <w:r>
              <w:t xml:space="preserve">0.17</w:t>
            </w:r>
          </w:p>
        </w:tc>
        <w:tc>
          <w:tcPr/>
          <w:p>
            <w:pPr>
              <w:pStyle w:val="Compact"/>
              <w:jc w:val="right"/>
            </w:pPr>
            <w:r>
              <w:t xml:space="preserve">0.00</w:t>
            </w:r>
          </w:p>
        </w:tc>
        <w:tc>
          <w:tcPr/>
          <w:p>
            <w:pPr>
              <w:pStyle w:val="Compact"/>
              <w:jc w:val="right"/>
            </w:pPr>
            <w:r>
              <w:t xml:space="preserve">0.37</w:t>
            </w:r>
          </w:p>
        </w:tc>
      </w:tr>
      <w:tr>
        <w:tc>
          <w:tcPr/>
          <w:p>
            <w:pPr>
              <w:pStyle w:val="Compact"/>
              <w:jc w:val="right"/>
            </w:pPr>
            <w:r>
              <w:t xml:space="preserve">12</w:t>
            </w:r>
          </w:p>
        </w:tc>
        <w:tc>
          <w:tcPr/>
          <w:p>
            <w:pPr>
              <w:pStyle w:val="Compact"/>
              <w:jc w:val="left"/>
            </w:pPr>
            <w:r>
              <w:rPr>
                <w:rFonts w:hint="eastAsia"/>
              </w:rPr>
              <w:t xml:space="preserve">过剩供给回归强度</w:t>
            </w:r>
          </w:p>
        </w:tc>
        <w:tc>
          <w:tcPr/>
          <w:p>
            <w:pPr>
              <w:pStyle w:val="Compact"/>
              <w:jc w:val="right"/>
            </w:pPr>
            <w:r>
              <w:t xml:space="preserve">0.12</w:t>
            </w:r>
          </w:p>
        </w:tc>
        <w:tc>
          <w:tcPr/>
          <w:p>
            <w:pPr>
              <w:pStyle w:val="Compact"/>
              <w:jc w:val="right"/>
            </w:pPr>
            <w:r>
              <w:t xml:space="preserve">0.07</w:t>
            </w:r>
          </w:p>
        </w:tc>
        <w:tc>
          <w:tcPr/>
          <w:p>
            <w:pPr>
              <w:pStyle w:val="Compact"/>
              <w:jc w:val="right"/>
            </w:pPr>
            <w:r>
              <w:t xml:space="preserve">0.12</w:t>
            </w:r>
          </w:p>
        </w:tc>
      </w:tr>
      <w:tr>
        <w:tc>
          <w:tcPr/>
          <w:p>
            <w:pPr>
              <w:pStyle w:val="Compact"/>
              <w:jc w:val="right"/>
            </w:pPr>
            <w:r>
              <w:t xml:space="preserve">13</w:t>
            </w:r>
          </w:p>
        </w:tc>
        <w:tc>
          <w:tcPr/>
          <w:p>
            <w:pPr>
              <w:pStyle w:val="Compact"/>
              <w:jc w:val="left"/>
            </w:pPr>
            <w:r>
              <w:t xml:space="preserve">SPR </w:t>
            </w:r>
            <w:r>
              <w:rPr>
                <w:rFonts w:hint="eastAsia"/>
              </w:rPr>
              <w:t xml:space="preserve">启动延迟</w:t>
            </w:r>
          </w:p>
        </w:tc>
        <w:tc>
          <w:tcPr/>
          <w:p>
            <w:pPr>
              <w:pStyle w:val="Compact"/>
              <w:jc w:val="right"/>
            </w:pPr>
            <w:r>
              <w:t xml:space="preserve">0.08</w:t>
            </w:r>
          </w:p>
        </w:tc>
        <w:tc>
          <w:tcPr/>
          <w:p>
            <w:pPr>
              <w:pStyle w:val="Compact"/>
              <w:jc w:val="right"/>
            </w:pPr>
            <w:r>
              <w:t xml:space="preserve">0.00</w:t>
            </w:r>
          </w:p>
        </w:tc>
        <w:tc>
          <w:tcPr/>
          <w:p>
            <w:pPr>
              <w:pStyle w:val="Compact"/>
              <w:jc w:val="right"/>
            </w:pPr>
            <w:r>
              <w:t xml:space="preserve">0.17</w:t>
            </w:r>
          </w:p>
        </w:tc>
      </w:tr>
      <w:tr>
        <w:tc>
          <w:tcPr/>
          <w:p>
            <w:pPr>
              <w:pStyle w:val="Compact"/>
              <w:jc w:val="right"/>
            </w:pPr>
            <w:r>
              <w:t xml:space="preserve">14</w:t>
            </w:r>
          </w:p>
        </w:tc>
        <w:tc>
          <w:tcPr/>
          <w:p>
            <w:pPr>
              <w:pStyle w:val="Compact"/>
              <w:jc w:val="left"/>
            </w:pPr>
            <w:r>
              <w:rPr>
                <w:rFonts w:hint="eastAsia"/>
              </w:rPr>
              <w:t xml:space="preserve">绕道恢复耗时</w:t>
            </w:r>
          </w:p>
        </w:tc>
        <w:tc>
          <w:tcPr/>
          <w:p>
            <w:pPr>
              <w:pStyle w:val="Compact"/>
              <w:jc w:val="right"/>
            </w:pPr>
            <w:r>
              <w:t xml:space="preserve">0.02</w:t>
            </w:r>
          </w:p>
        </w:tc>
        <w:tc>
          <w:tcPr/>
          <w:p>
            <w:pPr>
              <w:pStyle w:val="Compact"/>
              <w:jc w:val="right"/>
            </w:pPr>
            <w:r>
              <w:t xml:space="preserve">0.00</w:t>
            </w:r>
          </w:p>
        </w:tc>
        <w:tc>
          <w:tcPr/>
          <w:p>
            <w:pPr>
              <w:pStyle w:val="Compact"/>
              <w:jc w:val="right"/>
            </w:pPr>
            <w:r>
              <w:t xml:space="preserve">0.04</w:t>
            </w:r>
          </w:p>
        </w:tc>
      </w:tr>
    </w:tbl>
    <w:p>
      <w:pPr>
        <w:pStyle w:val="CaptionedFigure"/>
      </w:pPr>
      <w:r>
        <w:drawing>
          <wp:inline>
            <wp:extent cx="4907280" cy="2998893"/>
            <wp:effectExtent b="0" l="0" r="0" t="0"/>
            <wp:docPr descr="" title="" id="98" name="Picture"/>
            <a:graphic>
              <a:graphicData uri="http://schemas.openxmlformats.org/drawingml/2006/picture">
                <pic:pic>
                  <pic:nvPicPr>
                    <pic:cNvPr descr="sensitivity_tornado_180day.png" id="99" name="Picture"/>
                    <pic:cNvPicPr>
                      <a:picLocks noChangeArrowheads="1" noChangeAspect="1"/>
                    </pic:cNvPicPr>
                  </pic:nvPicPr>
                  <pic:blipFill>
                    <a:blip r:embed="rId97"/>
                    <a:stretch>
                      <a:fillRect/>
                    </a:stretch>
                  </pic:blipFill>
                  <pic:spPr bwMode="auto">
                    <a:xfrm>
                      <a:off x="0" y="0"/>
                      <a:ext cx="4907280" cy="2998893"/>
                    </a:xfrm>
                    <a:prstGeom prst="rect">
                      <a:avLst/>
                    </a:prstGeom>
                    <a:noFill/>
                    <a:ln w="9525">
                      <a:noFill/>
                      <a:headEnd/>
                      <a:tailEnd/>
                    </a:ln>
                  </pic:spPr>
                </pic:pic>
              </a:graphicData>
            </a:graphic>
          </wp:inline>
        </w:drawing>
      </w:r>
    </w:p>
    <w:p>
      <w:pPr>
        <w:pStyle w:val="ImageCaption"/>
      </w:pPr>
      <w:r>
        <w:rPr>
          <w:rFonts w:hint="eastAsia"/>
        </w:rPr>
        <w:t xml:space="preserve">关键参数综合敏感度排序。</w:t>
      </w:r>
    </w:p>
    <w:p>
      <w:pPr>
        <w:pStyle w:val="BodyText"/>
      </w:pPr>
      <w:r>
        <w:rPr>
          <w:rFonts w:hint="eastAsia"/>
        </w:rPr>
        <w:t xml:space="preserve">敏感性分析表明，第</w:t>
      </w:r>
      <w:r>
        <w:t xml:space="preserve"> 180 </w:t>
      </w:r>
      <w:r>
        <w:rPr>
          <w:rFonts w:hint="eastAsia"/>
        </w:rPr>
        <w:t xml:space="preserve">天终点价格对市场价格形成层最敏感，尤其是地缘风险权重和不确定性与制度风险强度；供应中断量决定价格上行压力的物理底座。新增的长期机制透明层中，制度风险占比和信心恢复后风险底座具有可观影响，说明长期价格能否回落，关键在于市场是否相信封锁状态会被制度化吸收，而不只是</w:t>
      </w:r>
      <w:r>
        <w:t xml:space="preserve"> SPR </w:t>
      </w:r>
      <w:r>
        <w:rPr>
          <w:rFonts w:hint="eastAsia"/>
        </w:rPr>
        <w:t xml:space="preserve">能放多少。长期需求弹性也具有较高影响，因为它决定高价持续后需求侧能否真正完成再平衡。SPR</w:t>
      </w:r>
      <w:r>
        <w:t xml:space="preserve"> </w:t>
      </w:r>
      <w:r>
        <w:rPr>
          <w:rFonts w:hint="eastAsia"/>
        </w:rPr>
        <w:t xml:space="preserve">释放、启动延迟和绕道运输在中性路径下对第</w:t>
      </w:r>
      <w:r>
        <w:t xml:space="preserve"> 180 </w:t>
      </w:r>
      <w:r>
        <w:rPr>
          <w:rFonts w:hint="eastAsia"/>
        </w:rPr>
        <w:t xml:space="preserve">天终点价影响相对较小，但会改变外推期峰值、缺口闭合速度和二次跳涨幅度，因此更适合被解释为</w:t>
      </w:r>
      <w:r>
        <w:rPr>
          <w:rFonts w:hint="eastAsia"/>
        </w:rPr>
        <w:t xml:space="preserve">“削峰”</w:t>
      </w:r>
      <w:r>
        <w:rPr>
          <w:rFonts w:hint="eastAsia"/>
        </w:rPr>
        <w:t xml:space="preserve">和</w:t>
      </w:r>
      <w:r>
        <w:rPr>
          <w:rFonts w:hint="eastAsia"/>
        </w:rPr>
        <w:t xml:space="preserve">“争取恢复时间”</w:t>
      </w:r>
      <w:r>
        <w:rPr>
          <w:rFonts w:hint="eastAsia"/>
        </w:rPr>
        <w:t xml:space="preserve">的政策缓冲变量。</w:t>
      </w:r>
    </w:p>
    <w:bookmarkEnd w:id="100"/>
    <w:bookmarkStart w:id="104" w:name="sec:monte-carlo"/>
    <w:p>
      <w:pPr>
        <w:pStyle w:val="Heading2"/>
      </w:pPr>
      <w:r>
        <w:rPr>
          <w:rFonts w:hint="eastAsia"/>
        </w:rPr>
        <w:t xml:space="preserve">蒙特卡洛情景树</w:t>
      </w:r>
    </w:p>
    <w:p>
      <w:pPr>
        <w:pStyle w:val="FirstParagraph"/>
      </w:pPr>
      <w:r>
        <w:rPr>
          <w:rFonts w:hint="eastAsia"/>
        </w:rPr>
        <w:t xml:space="preserve">单因素敏感性分析可以说明某个参数单独变化时的边际影响，但封锁长期化的真实风险往往来自多个因素同时恶化：供应中断偏大、SPR</w:t>
      </w:r>
      <w:r>
        <w:t xml:space="preserve"> </w:t>
      </w:r>
      <w:r>
        <w:rPr>
          <w:rFonts w:hint="eastAsia"/>
        </w:rPr>
        <w:t xml:space="preserve">释放不足、绕道运输恢复慢、长期需求弹性偏低、制度风险溢价偏高等因素可能共同出现。因此，本文进一步建立蒙特卡洛情景树，在赛题边界和敏感性扰动范围内对关键参数进行</w:t>
      </w:r>
      <w:r>
        <w:t xml:space="preserve"> 2000 </w:t>
      </w:r>
      <w:r>
        <w:rPr>
          <w:rFonts w:hint="eastAsia"/>
        </w:rPr>
        <w:t xml:space="preserve">次联合抽样。</w:t>
      </w:r>
    </w:p>
    <w:p>
      <w:pPr>
        <w:pStyle w:val="BodyText"/>
      </w:pPr>
      <w:r>
        <w:rPr>
          <w:rFonts w:hint="eastAsia"/>
        </w:rPr>
        <w:t xml:space="preserve">抽样设计采用一个综合压力指数</w:t>
      </w:r>
      <w:r>
        <w:t xml:space="preserve"> </w:t>
      </w:r>
      <m:oMath>
        <m:r>
          <m:t>z</m:t>
        </m:r>
        <m:r>
          <m:rPr>
            <m:sty m:val="p"/>
          </m:rPr>
          <m:t>∈</m:t>
        </m:r>
        <m:r>
          <m:rPr>
            <m:sty m:val="p"/>
          </m:rPr>
          <m:t>[</m:t>
        </m:r>
        <m:r>
          <m:t>0</m:t>
        </m:r>
        <m:r>
          <m:rPr>
            <m:sty m:val="p"/>
          </m:rPr>
          <m:t>,</m:t>
        </m:r>
        <m:r>
          <m:t>1</m:t>
        </m:r>
        <m:r>
          <m:rPr>
            <m:sty m:val="p"/>
          </m:rPr>
          <m:t>]</m:t>
        </m:r>
      </m:oMath>
      <w:r>
        <w:t xml:space="preserve"> </w:t>
      </w:r>
      <w:r>
        <w:rPr>
          <w:rFonts w:hint="eastAsia"/>
        </w:rPr>
        <w:t xml:space="preserve">表示外部压力状态。随着</w:t>
      </w:r>
      <w:r>
        <w:t xml:space="preserve"> </w:t>
      </w:r>
      <m:oMath>
        <m:r>
          <m:t>z</m:t>
        </m:r>
      </m:oMath>
      <w:r>
        <w:t xml:space="preserve"> </w:t>
      </w:r>
      <w:r>
        <w:rPr>
          <w:rFonts w:hint="eastAsia"/>
        </w:rPr>
        <w:t xml:space="preserve">增大，供应中断量、地缘风险权重和制度风险强度上升，而</w:t>
      </w:r>
      <w:r>
        <w:t xml:space="preserve"> SPR </w:t>
      </w:r>
      <w:r>
        <w:rPr>
          <w:rFonts w:hint="eastAsia"/>
        </w:rPr>
        <w:t xml:space="preserve">可用释放量、绕道运输能力、需求调整速度和预期修复强度下降。每次抽样后均调用同一套长期递推模型，得到一条</w:t>
      </w:r>
      <w:r>
        <w:t xml:space="preserve"> 60–180 </w:t>
      </w:r>
      <w:r>
        <w:rPr>
          <w:rFonts w:hint="eastAsia"/>
        </w:rPr>
        <w:t xml:space="preserve">天价格路径。这样做的目的不是生成未来真实价格，而是回答：在合理参数联合扰动下，价格路径大概率落在哪个区间，尾部风险有多大。</w:t>
      </w:r>
    </w:p>
    <w:p>
      <w:pPr>
        <w:pStyle w:val="TableCaption"/>
      </w:pPr>
      <w:r>
        <w:rPr>
          <w:rFonts w:hint="eastAsia"/>
        </w:rPr>
        <w:t xml:space="preserve">蒙特卡洛情景树尾部风险结果</w:t>
      </w:r>
    </w:p>
    <w:tbl>
      <w:tblPr>
        <w:tblStyle w:val="Table"/>
        <w:tblW w:type="auto" w:w="0"/>
        <w:tblLook w:firstRow="1" w:lastRow="0" w:firstColumn="0" w:lastColumn="0" w:noHBand="0" w:noVBand="0" w:val="0020"/>
        <w:tblCaption w:val="蒙特卡洛情景树尾部风险结果"/>
      </w:tblPr>
      <w:tblGrid>
        <w:gridCol w:w="3960"/>
        <w:gridCol w:w="3960"/>
      </w:tblGrid>
      <w:tr>
        <w:trPr>
          <w:tblHeader w:val="on"/>
        </w:trPr>
        <w:tc>
          <w:tcPr/>
          <w:p>
            <w:pPr>
              <w:pStyle w:val="Compact"/>
              <w:jc w:val="left"/>
            </w:pPr>
            <w:r>
              <w:rPr>
                <w:rFonts w:hint="eastAsia"/>
              </w:rPr>
              <w:t xml:space="preserve">指标</w:t>
            </w:r>
          </w:p>
        </w:tc>
        <w:tc>
          <w:tcPr/>
          <w:p>
            <w:pPr>
              <w:pStyle w:val="Compact"/>
              <w:jc w:val="right"/>
            </w:pPr>
            <w:r>
              <w:rPr>
                <w:rFonts w:hint="eastAsia"/>
              </w:rPr>
              <w:t xml:space="preserve">数值</w:t>
            </w:r>
          </w:p>
        </w:tc>
      </w:tr>
      <w:tr>
        <w:tc>
          <w:tcPr/>
          <w:p>
            <w:pPr>
              <w:pStyle w:val="Compact"/>
              <w:jc w:val="left"/>
            </w:pPr>
            <w:r>
              <w:rPr>
                <w:rFonts w:hint="eastAsia"/>
              </w:rPr>
              <w:t xml:space="preserve">外推期最高价突破</w:t>
            </w:r>
            <w:r>
              <w:t xml:space="preserve"> 120 </w:t>
            </w:r>
            <w:r>
              <w:rPr>
                <w:rFonts w:hint="eastAsia"/>
              </w:rPr>
              <w:t xml:space="preserve">美元/桶概率</w:t>
            </w:r>
          </w:p>
        </w:tc>
        <w:tc>
          <w:tcPr/>
          <w:p>
            <w:pPr>
              <w:pStyle w:val="Compact"/>
              <w:jc w:val="right"/>
            </w:pPr>
            <w:r>
              <w:t xml:space="preserve">4.6%</w:t>
            </w:r>
          </w:p>
        </w:tc>
      </w:tr>
      <w:tr>
        <w:tc>
          <w:tcPr/>
          <w:p>
            <w:pPr>
              <w:pStyle w:val="Compact"/>
              <w:jc w:val="left"/>
            </w:pPr>
            <w:r>
              <w:rPr>
                <w:rFonts w:hint="eastAsia"/>
              </w:rPr>
              <w:t xml:space="preserve">外推期最高价突破</w:t>
            </w:r>
            <w:r>
              <w:t xml:space="preserve"> 130 </w:t>
            </w:r>
            <w:r>
              <w:rPr>
                <w:rFonts w:hint="eastAsia"/>
              </w:rPr>
              <w:t xml:space="preserve">美元/桶概率</w:t>
            </w:r>
          </w:p>
        </w:tc>
        <w:tc>
          <w:tcPr/>
          <w:p>
            <w:pPr>
              <w:pStyle w:val="Compact"/>
              <w:jc w:val="right"/>
            </w:pPr>
            <w:r>
              <w:t xml:space="preserve">0.0%</w:t>
            </w:r>
          </w:p>
        </w:tc>
      </w:tr>
      <w:tr>
        <w:tc>
          <w:tcPr/>
          <w:p>
            <w:pPr>
              <w:pStyle w:val="Compact"/>
              <w:jc w:val="left"/>
            </w:pPr>
            <w:r>
              <w:rPr>
                <w:rFonts w:hint="eastAsia"/>
              </w:rPr>
              <w:t xml:space="preserve">第</w:t>
            </w:r>
            <w:r>
              <w:t xml:space="preserve"> 180 </w:t>
            </w:r>
            <w:r>
              <w:rPr>
                <w:rFonts w:hint="eastAsia"/>
              </w:rPr>
              <w:t xml:space="preserve">天剩余缺口超过</w:t>
            </w:r>
            <w:r>
              <w:t xml:space="preserve"> 500 </w:t>
            </w:r>
            <w:r>
              <w:rPr>
                <w:rFonts w:hint="eastAsia"/>
              </w:rPr>
              <w:t xml:space="preserve">万桶/日概率</w:t>
            </w:r>
          </w:p>
        </w:tc>
        <w:tc>
          <w:tcPr/>
          <w:p>
            <w:pPr>
              <w:pStyle w:val="Compact"/>
              <w:jc w:val="right"/>
            </w:pPr>
            <w:r>
              <w:t xml:space="preserve">0.1%</w:t>
            </w:r>
          </w:p>
        </w:tc>
      </w:tr>
      <w:tr>
        <w:tc>
          <w:tcPr/>
          <w:p>
            <w:pPr>
              <w:pStyle w:val="Compact"/>
              <w:jc w:val="left"/>
            </w:pPr>
            <w:r>
              <w:rPr>
                <w:rFonts w:hint="eastAsia"/>
              </w:rPr>
              <w:t xml:space="preserve">二次跳涨风险为高概率</w:t>
            </w:r>
          </w:p>
        </w:tc>
        <w:tc>
          <w:tcPr/>
          <w:p>
            <w:pPr>
              <w:pStyle w:val="Compact"/>
              <w:jc w:val="right"/>
            </w:pPr>
            <w:r>
              <w:t xml:space="preserve">1.2%</w:t>
            </w:r>
          </w:p>
        </w:tc>
      </w:tr>
      <w:tr>
        <w:tc>
          <w:tcPr/>
          <w:p>
            <w:pPr>
              <w:pStyle w:val="Compact"/>
              <w:jc w:val="left"/>
            </w:pPr>
            <w:r>
              <w:rPr>
                <w:rFonts w:hint="eastAsia"/>
              </w:rPr>
              <w:t xml:space="preserve">第</w:t>
            </w:r>
            <w:r>
              <w:t xml:space="preserve"> 180 </w:t>
            </w:r>
            <w:r>
              <w:rPr>
                <w:rFonts w:hint="eastAsia"/>
              </w:rPr>
              <w:t xml:space="preserve">天价格</w:t>
            </w:r>
            <w:r>
              <w:t xml:space="preserve"> P05</w:t>
            </w:r>
          </w:p>
        </w:tc>
        <w:tc>
          <w:tcPr/>
          <w:p>
            <w:pPr>
              <w:pStyle w:val="Compact"/>
              <w:jc w:val="right"/>
            </w:pPr>
            <w:r>
              <w:t xml:space="preserve">87.67</w:t>
            </w:r>
          </w:p>
        </w:tc>
      </w:tr>
      <w:tr>
        <w:tc>
          <w:tcPr/>
          <w:p>
            <w:pPr>
              <w:pStyle w:val="Compact"/>
              <w:jc w:val="left"/>
            </w:pPr>
            <w:r>
              <w:rPr>
                <w:rFonts w:hint="eastAsia"/>
              </w:rPr>
              <w:t xml:space="preserve">第</w:t>
            </w:r>
            <w:r>
              <w:t xml:space="preserve"> 180 </w:t>
            </w:r>
            <w:r>
              <w:rPr>
                <w:rFonts w:hint="eastAsia"/>
              </w:rPr>
              <w:t xml:space="preserve">天价格</w:t>
            </w:r>
            <w:r>
              <w:t xml:space="preserve"> P50</w:t>
            </w:r>
          </w:p>
        </w:tc>
        <w:tc>
          <w:tcPr/>
          <w:p>
            <w:pPr>
              <w:pStyle w:val="Compact"/>
              <w:jc w:val="right"/>
            </w:pPr>
            <w:r>
              <w:t xml:space="preserve">92.85</w:t>
            </w:r>
          </w:p>
        </w:tc>
      </w:tr>
      <w:tr>
        <w:tc>
          <w:tcPr/>
          <w:p>
            <w:pPr>
              <w:pStyle w:val="Compact"/>
              <w:jc w:val="left"/>
            </w:pPr>
            <w:r>
              <w:rPr>
                <w:rFonts w:hint="eastAsia"/>
              </w:rPr>
              <w:t xml:space="preserve">第</w:t>
            </w:r>
            <w:r>
              <w:t xml:space="preserve"> 180 </w:t>
            </w:r>
            <w:r>
              <w:rPr>
                <w:rFonts w:hint="eastAsia"/>
              </w:rPr>
              <w:t xml:space="preserve">天价格</w:t>
            </w:r>
            <w:r>
              <w:t xml:space="preserve"> P95</w:t>
            </w:r>
          </w:p>
        </w:tc>
        <w:tc>
          <w:tcPr/>
          <w:p>
            <w:pPr>
              <w:pStyle w:val="Compact"/>
              <w:jc w:val="right"/>
            </w:pPr>
            <w:r>
              <w:t xml:space="preserve">101.01</w:t>
            </w:r>
          </w:p>
        </w:tc>
      </w:tr>
      <w:tr>
        <w:tc>
          <w:tcPr/>
          <w:p>
            <w:pPr>
              <w:pStyle w:val="Compact"/>
              <w:jc w:val="left"/>
            </w:pPr>
            <w:r>
              <w:rPr>
                <w:rFonts w:hint="eastAsia"/>
              </w:rPr>
              <w:t xml:space="preserve">外推期最高价</w:t>
            </w:r>
            <w:r>
              <w:t xml:space="preserve"> P95</w:t>
            </w:r>
          </w:p>
        </w:tc>
        <w:tc>
          <w:tcPr/>
          <w:p>
            <w:pPr>
              <w:pStyle w:val="Compact"/>
              <w:jc w:val="right"/>
            </w:pPr>
            <w:r>
              <w:t xml:space="preserve">119.62</w:t>
            </w:r>
          </w:p>
        </w:tc>
      </w:tr>
    </w:tbl>
    <w:p>
      <w:pPr>
        <w:pStyle w:val="CaptionedFigure"/>
      </w:pPr>
      <w:r>
        <w:drawing>
          <wp:inline>
            <wp:extent cx="4160520" cy="2352876"/>
            <wp:effectExtent b="0" l="0" r="0" t="0"/>
            <wp:docPr descr="" title="" id="102" name="Picture"/>
            <a:graphic>
              <a:graphicData uri="http://schemas.openxmlformats.org/drawingml/2006/picture">
                <pic:pic>
                  <pic:nvPicPr>
                    <pic:cNvPr descr="monte_carlo_tail_risk.png" id="103" name="Picture"/>
                    <pic:cNvPicPr>
                      <a:picLocks noChangeArrowheads="1" noChangeAspect="1"/>
                    </pic:cNvPicPr>
                  </pic:nvPicPr>
                  <pic:blipFill>
                    <a:blip r:embed="rId101"/>
                    <a:stretch>
                      <a:fillRect/>
                    </a:stretch>
                  </pic:blipFill>
                  <pic:spPr bwMode="auto">
                    <a:xfrm>
                      <a:off x="0" y="0"/>
                      <a:ext cx="4160520" cy="2352876"/>
                    </a:xfrm>
                    <a:prstGeom prst="rect">
                      <a:avLst/>
                    </a:prstGeom>
                    <a:noFill/>
                    <a:ln w="9525">
                      <a:noFill/>
                      <a:headEnd/>
                      <a:tailEnd/>
                    </a:ln>
                  </pic:spPr>
                </pic:pic>
              </a:graphicData>
            </a:graphic>
          </wp:inline>
        </w:drawing>
      </w:r>
    </w:p>
    <w:p>
      <w:pPr>
        <w:pStyle w:val="ImageCaption"/>
      </w:pPr>
      <w:r>
        <w:rPr>
          <w:rFonts w:hint="eastAsia"/>
        </w:rPr>
        <w:t xml:space="preserve">蒙特卡洛尾部风险概率。</w:t>
      </w:r>
    </w:p>
    <w:p>
      <w:pPr>
        <w:pStyle w:val="BodyText"/>
      </w:pPr>
      <w:r>
        <w:rPr>
          <w:rFonts w:hint="eastAsia"/>
        </w:rPr>
        <w:t xml:space="preserve">结果表明，蒙特卡洛路径的第</w:t>
      </w:r>
      <w:r>
        <w:t xml:space="preserve"> 180 </w:t>
      </w:r>
      <w:r>
        <w:rPr>
          <w:rFonts w:hint="eastAsia"/>
        </w:rPr>
        <w:t xml:space="preserve">天中位数价格为</w:t>
      </w:r>
      <w:r>
        <w:t xml:space="preserve"> 92.85 </w:t>
      </w:r>
      <w:r>
        <w:rPr>
          <w:rFonts w:hint="eastAsia"/>
        </w:rPr>
        <w:t xml:space="preserve">美元/桶，与中性情景的</w:t>
      </w:r>
      <w:r>
        <w:t xml:space="preserve"> 92.43 </w:t>
      </w:r>
      <w:r>
        <w:rPr>
          <w:rFonts w:hint="eastAsia"/>
        </w:rPr>
        <w:t xml:space="preserve">美元/桶高度接近，说明中性路径不是孤立的单点调参结果。与此同时，外推期最高价突破</w:t>
      </w:r>
      <w:r>
        <w:t xml:space="preserve"> 120 </w:t>
      </w:r>
      <w:r>
        <w:rPr>
          <w:rFonts w:hint="eastAsia"/>
        </w:rPr>
        <w:t xml:space="preserve">美元/桶的概率仍有</w:t>
      </w:r>
      <w:r>
        <w:t xml:space="preserve"> </w:t>
      </w:r>
      <w:r>
        <w:rPr>
          <w:rFonts w:hint="eastAsia"/>
        </w:rPr>
        <w:t xml:space="preserve">4.6%，且高压尾部路径中突破</w:t>
      </w:r>
      <w:r>
        <w:t xml:space="preserve"> 120 </w:t>
      </w:r>
      <w:r>
        <w:rPr>
          <w:rFonts w:hint="eastAsia"/>
        </w:rPr>
        <w:t xml:space="preserve">美元/桶的概率达到</w:t>
      </w:r>
      <w:r>
        <w:t xml:space="preserve"> </w:t>
      </w:r>
      <w:r>
        <w:rPr>
          <w:rFonts w:hint="eastAsia"/>
        </w:rPr>
        <w:t xml:space="preserve">21.1%。这说明长期风险的重点不是中性点预测本身，而是多因素联动恶化下的尾部组合风险。</w:t>
      </w:r>
    </w:p>
    <w:bookmarkEnd w:id="104"/>
    <w:bookmarkStart w:id="111" w:name="滞后地缘风险指数审计"/>
    <w:p>
      <w:pPr>
        <w:pStyle w:val="Heading2"/>
      </w:pPr>
      <w:r>
        <w:rPr>
          <w:rFonts w:hint="eastAsia"/>
        </w:rPr>
        <w:t xml:space="preserve">滞后地缘风险指数审计</w:t>
      </w:r>
    </w:p>
    <w:p>
      <w:pPr>
        <w:pStyle w:val="FirstParagraph"/>
      </w:pPr>
      <w:r>
        <w:rPr>
          <w:rFonts w:hint="eastAsia"/>
        </w:rPr>
        <w:t xml:space="preserve">综合机制递推模型中包含地缘风险权重和恐慌衰减项。若直接用新闻情绪或风险指数解释同日油价，容易被质疑存在反向因果：油价上涨可能先刺激媒体报道增加，随后模型又用新闻恐慌解释油价上涨。为避免这种内生性循环，本文不把新闻爬虫数据作为短期模型输入，而是使用</w:t>
      </w:r>
      <w:r>
        <w:t xml:space="preserve"> Caldara-Iacoviello GPR </w:t>
      </w:r>
      <w:r>
        <w:rPr>
          <w:rFonts w:hint="eastAsia"/>
        </w:rPr>
        <w:t xml:space="preserve">月度指数做外部审计，并采用滞后一期口径。</w:t>
      </w:r>
    </w:p>
    <w:p>
      <w:pPr>
        <w:pStyle w:val="TableCaption"/>
      </w:pPr>
      <w:r>
        <w:rPr>
          <w:rFonts w:hint="eastAsia"/>
        </w:rPr>
        <w:t xml:space="preserve">滞后</w:t>
      </w:r>
      <w:r>
        <w:t xml:space="preserve"> GPR </w:t>
      </w:r>
      <w:r>
        <w:rPr>
          <w:rFonts w:hint="eastAsia"/>
        </w:rPr>
        <w:t xml:space="preserve">风险审计指标</w:t>
      </w:r>
    </w:p>
    <w:tbl>
      <w:tblPr>
        <w:tblStyle w:val="Table"/>
        <w:tblW w:type="auto" w:w="0"/>
        <w:tblLook w:firstRow="1" w:lastRow="0" w:firstColumn="0" w:lastColumn="0" w:noHBand="0" w:noVBand="0" w:val="0020"/>
        <w:tblCaption w:val="滞后 GPR 风险审计指标"/>
      </w:tblPr>
      <w:tblGrid>
        <w:gridCol w:w="2640"/>
        <w:gridCol w:w="2640"/>
        <w:gridCol w:w="2640"/>
      </w:tblGrid>
      <w:tr>
        <w:trPr>
          <w:tblHeader w:val="on"/>
        </w:trPr>
        <w:tc>
          <w:tcPr/>
          <w:p>
            <w:pPr>
              <w:pStyle w:val="Compact"/>
              <w:jc w:val="left"/>
            </w:pPr>
            <w:r>
              <w:rPr>
                <w:rFonts w:hint="eastAsia"/>
              </w:rPr>
              <w:t xml:space="preserve">指标</w:t>
            </w:r>
          </w:p>
        </w:tc>
        <w:tc>
          <w:tcPr/>
          <w:p>
            <w:pPr>
              <w:pStyle w:val="Compact"/>
              <w:jc w:val="right"/>
            </w:pPr>
            <w:r>
              <w:rPr>
                <w:rFonts w:hint="eastAsia"/>
              </w:rPr>
              <w:t xml:space="preserve">数值</w:t>
            </w:r>
          </w:p>
        </w:tc>
        <w:tc>
          <w:tcPr/>
          <w:p>
            <w:pPr>
              <w:pStyle w:val="Compact"/>
              <w:jc w:val="left"/>
            </w:pPr>
            <w:r>
              <w:rPr>
                <w:rFonts w:hint="eastAsia"/>
              </w:rPr>
              <w:t xml:space="preserve">解释</w:t>
            </w:r>
          </w:p>
        </w:tc>
      </w:tr>
      <w:tr>
        <w:tc>
          <w:tcPr/>
          <w:p>
            <w:pPr>
              <w:pStyle w:val="Compact"/>
              <w:jc w:val="left"/>
            </w:pPr>
            <w:r>
              <w:rPr>
                <w:rFonts w:hint="eastAsia"/>
              </w:rPr>
              <w:t xml:space="preserve">同期</w:t>
            </w:r>
            <w:r>
              <w:t xml:space="preserve"> GPR </w:t>
            </w:r>
            <w:r>
              <w:rPr>
                <w:rFonts w:hint="eastAsia"/>
              </w:rPr>
              <w:t xml:space="preserve">与本月油价收益相关系数</w:t>
            </w:r>
          </w:p>
        </w:tc>
        <w:tc>
          <w:tcPr/>
          <w:p>
            <w:pPr>
              <w:pStyle w:val="Compact"/>
              <w:jc w:val="right"/>
            </w:pPr>
            <w:r>
              <w:t xml:space="preserve">0.156</w:t>
            </w:r>
          </w:p>
        </w:tc>
        <w:tc>
          <w:tcPr/>
          <w:p>
            <w:pPr>
              <w:pStyle w:val="Compact"/>
              <w:jc w:val="left"/>
            </w:pPr>
            <w:r>
              <w:rPr>
                <w:rFonts w:hint="eastAsia"/>
              </w:rPr>
              <w:t xml:space="preserve">只作为描述性同步关系，不用于预测</w:t>
            </w:r>
          </w:p>
        </w:tc>
      </w:tr>
      <w:tr>
        <w:tc>
          <w:tcPr/>
          <w:p>
            <w:pPr>
              <w:pStyle w:val="Compact"/>
              <w:jc w:val="left"/>
            </w:pPr>
            <w:r>
              <w:rPr>
                <w:rFonts w:hint="eastAsia"/>
              </w:rPr>
              <w:t xml:space="preserve">滞后</w:t>
            </w:r>
            <w:r>
              <w:t xml:space="preserve"> 1 </w:t>
            </w:r>
            <w:r>
              <w:rPr>
                <w:rFonts w:hint="eastAsia"/>
              </w:rPr>
              <w:t xml:space="preserve">月</w:t>
            </w:r>
            <w:r>
              <w:t xml:space="preserve"> GPR </w:t>
            </w:r>
            <w:r>
              <w:rPr>
                <w:rFonts w:hint="eastAsia"/>
              </w:rPr>
              <w:t xml:space="preserve">与本月油价收益相关系数</w:t>
            </w:r>
          </w:p>
        </w:tc>
        <w:tc>
          <w:tcPr/>
          <w:p>
            <w:pPr>
              <w:pStyle w:val="Compact"/>
              <w:jc w:val="right"/>
            </w:pPr>
            <w:r>
              <w:t xml:space="preserve">0.030</w:t>
            </w:r>
          </w:p>
        </w:tc>
        <w:tc>
          <w:tcPr/>
          <w:p>
            <w:pPr>
              <w:pStyle w:val="Compact"/>
              <w:jc w:val="left"/>
            </w:pPr>
            <w:r>
              <w:rPr>
                <w:rFonts w:hint="eastAsia"/>
              </w:rPr>
              <w:t xml:space="preserve">避免同月新闻–价格反馈循环的核心检验</w:t>
            </w:r>
          </w:p>
        </w:tc>
      </w:tr>
      <w:tr>
        <w:tc>
          <w:tcPr/>
          <w:p>
            <w:pPr>
              <w:pStyle w:val="Compact"/>
              <w:jc w:val="left"/>
            </w:pPr>
            <w:r>
              <w:rPr>
                <w:rFonts w:hint="eastAsia"/>
              </w:rPr>
              <w:t xml:space="preserve">滞后</w:t>
            </w:r>
            <w:r>
              <w:t xml:space="preserve"> 1 </w:t>
            </w:r>
            <w:r>
              <w:rPr>
                <w:rFonts w:hint="eastAsia"/>
              </w:rPr>
              <w:t xml:space="preserve">月</w:t>
            </w:r>
            <w:r>
              <w:t xml:space="preserve"> GPR </w:t>
            </w:r>
            <w:r>
              <w:rPr>
                <w:rFonts w:hint="eastAsia"/>
              </w:rPr>
              <w:t xml:space="preserve">与本月实现波动率相关系数</w:t>
            </w:r>
          </w:p>
        </w:tc>
        <w:tc>
          <w:tcPr/>
          <w:p>
            <w:pPr>
              <w:pStyle w:val="Compact"/>
              <w:jc w:val="right"/>
            </w:pPr>
            <w:r>
              <w:t xml:space="preserve">0.107</w:t>
            </w:r>
          </w:p>
        </w:tc>
        <w:tc>
          <w:tcPr/>
          <w:p>
            <w:pPr>
              <w:pStyle w:val="Compact"/>
              <w:jc w:val="left"/>
            </w:pPr>
            <w:r>
              <w:rPr>
                <w:rFonts w:hint="eastAsia"/>
              </w:rPr>
              <w:t xml:space="preserve">风险指数更适合解释波动和尾部风险</w:t>
            </w:r>
          </w:p>
        </w:tc>
      </w:tr>
      <w:tr>
        <w:tc>
          <w:tcPr/>
          <w:p>
            <w:pPr>
              <w:pStyle w:val="Compact"/>
              <w:jc w:val="left"/>
            </w:pPr>
            <w:r>
              <w:rPr>
                <w:rFonts w:hint="eastAsia"/>
              </w:rPr>
              <w:t xml:space="preserve">滞后</w:t>
            </w:r>
            <w:r>
              <w:t xml:space="preserve"> 1 </w:t>
            </w:r>
            <w:r>
              <w:rPr>
                <w:rFonts w:hint="eastAsia"/>
              </w:rPr>
              <w:t xml:space="preserve">月</w:t>
            </w:r>
            <w:r>
              <w:t xml:space="preserve"> GPR </w:t>
            </w:r>
            <w:r>
              <w:rPr>
                <w:rFonts w:hint="eastAsia"/>
              </w:rPr>
              <w:t xml:space="preserve">收益回归</w:t>
            </w:r>
            <w:r>
              <w:t xml:space="preserve"> </w:t>
            </w:r>
            <m:oMath>
              <m:sSup>
                <m:e>
                  <m:r>
                    <m:t>R</m:t>
                  </m:r>
                </m:e>
                <m:sup>
                  <m:r>
                    <m:t>2</m:t>
                  </m:r>
                </m:sup>
              </m:sSup>
            </m:oMath>
          </w:p>
        </w:tc>
        <w:tc>
          <w:tcPr/>
          <w:p>
            <w:pPr>
              <w:pStyle w:val="Compact"/>
              <w:jc w:val="right"/>
            </w:pPr>
            <w:r>
              <w:t xml:space="preserve">0.001</w:t>
            </w:r>
          </w:p>
        </w:tc>
        <w:tc>
          <w:tcPr/>
          <w:p>
            <w:pPr>
              <w:pStyle w:val="Compact"/>
              <w:jc w:val="left"/>
            </w:pPr>
            <w:r>
              <w:rPr>
                <w:rFonts w:hint="eastAsia"/>
              </w:rPr>
              <w:t xml:space="preserve">不支持把</w:t>
            </w:r>
            <w:r>
              <w:t xml:space="preserve"> GPR </w:t>
            </w:r>
            <w:r>
              <w:rPr>
                <w:rFonts w:hint="eastAsia"/>
              </w:rPr>
              <w:t xml:space="preserve">包装成强短期收益预测器</w:t>
            </w:r>
          </w:p>
        </w:tc>
      </w:tr>
      <w:tr>
        <w:tc>
          <w:tcPr/>
          <w:p>
            <w:pPr>
              <w:pStyle w:val="Compact"/>
              <w:jc w:val="left"/>
            </w:pPr>
            <w:r>
              <w:t xml:space="preserve">2026 </w:t>
            </w:r>
            <w:r>
              <w:rPr>
                <w:rFonts w:hint="eastAsia"/>
              </w:rPr>
              <w:t xml:space="preserve">年</w:t>
            </w:r>
            <w:r>
              <w:t xml:space="preserve"> 3 </w:t>
            </w:r>
            <w:r>
              <w:rPr>
                <w:rFonts w:hint="eastAsia"/>
              </w:rPr>
              <w:t xml:space="preserve">月</w:t>
            </w:r>
            <w:r>
              <w:t xml:space="preserve"> GPR </w:t>
            </w:r>
            <w:r>
              <w:rPr>
                <w:rFonts w:hint="eastAsia"/>
              </w:rPr>
              <w:t xml:space="preserve">历史分位数</w:t>
            </w:r>
          </w:p>
        </w:tc>
        <w:tc>
          <w:tcPr/>
          <w:p>
            <w:pPr>
              <w:pStyle w:val="Compact"/>
              <w:jc w:val="right"/>
            </w:pPr>
            <w:r>
              <w:t xml:space="preserve">98.98%</w:t>
            </w:r>
          </w:p>
        </w:tc>
        <w:tc>
          <w:tcPr/>
          <w:p>
            <w:pPr>
              <w:pStyle w:val="Compact"/>
              <w:jc w:val="left"/>
            </w:pPr>
            <w:r>
              <w:rPr>
                <w:rFonts w:hint="eastAsia"/>
              </w:rPr>
              <w:t xml:space="preserve">冲突爆发月风险读数处于罕见高位</w:t>
            </w:r>
          </w:p>
        </w:tc>
      </w:tr>
      <w:tr>
        <w:tc>
          <w:tcPr/>
          <w:p>
            <w:pPr>
              <w:pStyle w:val="Compact"/>
              <w:jc w:val="left"/>
            </w:pPr>
            <w:r>
              <w:t xml:space="preserve">2026 </w:t>
            </w:r>
            <w:r>
              <w:rPr>
                <w:rFonts w:hint="eastAsia"/>
              </w:rPr>
              <w:t xml:space="preserve">年</w:t>
            </w:r>
            <w:r>
              <w:t xml:space="preserve"> 4 </w:t>
            </w:r>
            <w:r>
              <w:rPr>
                <w:rFonts w:hint="eastAsia"/>
              </w:rPr>
              <w:t xml:space="preserve">月</w:t>
            </w:r>
            <w:r>
              <w:t xml:space="preserve"> GPR </w:t>
            </w:r>
            <w:r>
              <w:rPr>
                <w:rFonts w:hint="eastAsia"/>
              </w:rPr>
              <w:t xml:space="preserve">历史分位数</w:t>
            </w:r>
          </w:p>
        </w:tc>
        <w:tc>
          <w:tcPr/>
          <w:p>
            <w:pPr>
              <w:pStyle w:val="Compact"/>
              <w:jc w:val="right"/>
            </w:pPr>
            <w:r>
              <w:t xml:space="preserve">97.76%</w:t>
            </w:r>
          </w:p>
        </w:tc>
        <w:tc>
          <w:tcPr/>
          <w:p>
            <w:pPr>
              <w:pStyle w:val="Compact"/>
              <w:jc w:val="left"/>
            </w:pPr>
            <w:r>
              <w:rPr>
                <w:rFonts w:hint="eastAsia"/>
              </w:rPr>
              <w:t xml:space="preserve">冲突延续月风险读数仍处于历史高位</w:t>
            </w:r>
          </w:p>
        </w:tc>
      </w:tr>
    </w:tbl>
    <w:p>
      <w:pPr>
        <w:pStyle w:val="CaptionedFigure"/>
      </w:pPr>
      <w:r>
        <w:drawing>
          <wp:inline>
            <wp:extent cx="4907280" cy="2628899"/>
            <wp:effectExtent b="0" l="0" r="0" t="0"/>
            <wp:docPr descr="" title="" id="106" name="Picture"/>
            <a:graphic>
              <a:graphicData uri="http://schemas.openxmlformats.org/drawingml/2006/picture">
                <pic:pic>
                  <pic:nvPicPr>
                    <pic:cNvPr descr="gpr_event_window_audit.png" id="107" name="Picture"/>
                    <pic:cNvPicPr>
                      <a:picLocks noChangeArrowheads="1" noChangeAspect="1"/>
                    </pic:cNvPicPr>
                  </pic:nvPicPr>
                  <pic:blipFill>
                    <a:blip r:embed="rId105"/>
                    <a:stretch>
                      <a:fillRect/>
                    </a:stretch>
                  </pic:blipFill>
                  <pic:spPr bwMode="auto">
                    <a:xfrm>
                      <a:off x="0" y="0"/>
                      <a:ext cx="4907280" cy="2628899"/>
                    </a:xfrm>
                    <a:prstGeom prst="rect">
                      <a:avLst/>
                    </a:prstGeom>
                    <a:noFill/>
                    <a:ln w="9525">
                      <a:noFill/>
                      <a:headEnd/>
                      <a:tailEnd/>
                    </a:ln>
                  </pic:spPr>
                </pic:pic>
              </a:graphicData>
            </a:graphic>
          </wp:inline>
        </w:drawing>
      </w:r>
    </w:p>
    <w:p>
      <w:pPr>
        <w:pStyle w:val="ImageCaption"/>
      </w:pPr>
      <w:r>
        <w:rPr>
          <w:rFonts w:hint="eastAsia"/>
        </w:rPr>
        <w:t xml:space="preserve">地缘风险指数审计：同步</w:t>
      </w:r>
      <w:r>
        <w:t xml:space="preserve"> GPR </w:t>
      </w:r>
      <w:r>
        <w:rPr>
          <w:rFonts w:hint="eastAsia"/>
        </w:rPr>
        <w:t xml:space="preserve">与滞后可用</w:t>
      </w:r>
      <w:r>
        <w:t xml:space="preserve"> GPR。3 </w:t>
      </w:r>
      <w:r>
        <w:rPr>
          <w:rFonts w:hint="eastAsia"/>
        </w:rPr>
        <w:t xml:space="preserve">月油价解释不能使用</w:t>
      </w:r>
      <w:r>
        <w:t xml:space="preserve"> 3 </w:t>
      </w:r>
      <w:r>
        <w:rPr>
          <w:rFonts w:hint="eastAsia"/>
        </w:rPr>
        <w:t xml:space="preserve">月同步</w:t>
      </w:r>
      <w:r>
        <w:t xml:space="preserve"> </w:t>
      </w:r>
      <w:r>
        <w:rPr>
          <w:rFonts w:hint="eastAsia"/>
        </w:rPr>
        <w:t xml:space="preserve">GPR，4</w:t>
      </w:r>
      <w:r>
        <w:t xml:space="preserve"> </w:t>
      </w:r>
      <w:r>
        <w:rPr>
          <w:rFonts w:hint="eastAsia"/>
        </w:rPr>
        <w:t xml:space="preserve">月以后才可使用已实现的</w:t>
      </w:r>
      <w:r>
        <w:t xml:space="preserve"> 3 </w:t>
      </w:r>
      <w:r>
        <w:rPr>
          <w:rFonts w:hint="eastAsia"/>
        </w:rPr>
        <w:t xml:space="preserve">月风险读数。</w:t>
      </w:r>
    </w:p>
    <w:p>
      <w:pPr>
        <w:pStyle w:val="CaptionedFigure"/>
      </w:pPr>
      <w:r>
        <w:drawing>
          <wp:inline>
            <wp:extent cx="4480560" cy="3054927"/>
            <wp:effectExtent b="0" l="0" r="0" t="0"/>
            <wp:docPr descr="" title="" id="109" name="Picture"/>
            <a:graphic>
              <a:graphicData uri="http://schemas.openxmlformats.org/drawingml/2006/picture">
                <pic:pic>
                  <pic:nvPicPr>
                    <pic:cNvPr descr="lagged_gpr_brent_return.png" id="110" name="Picture"/>
                    <pic:cNvPicPr>
                      <a:picLocks noChangeArrowheads="1" noChangeAspect="1"/>
                    </pic:cNvPicPr>
                  </pic:nvPicPr>
                  <pic:blipFill>
                    <a:blip r:embed="rId108"/>
                    <a:stretch>
                      <a:fillRect/>
                    </a:stretch>
                  </pic:blipFill>
                  <pic:spPr bwMode="auto">
                    <a:xfrm>
                      <a:off x="0" y="0"/>
                      <a:ext cx="4480560" cy="3054927"/>
                    </a:xfrm>
                    <a:prstGeom prst="rect">
                      <a:avLst/>
                    </a:prstGeom>
                    <a:noFill/>
                    <a:ln w="9525">
                      <a:noFill/>
                      <a:headEnd/>
                      <a:tailEnd/>
                    </a:ln>
                  </pic:spPr>
                </pic:pic>
              </a:graphicData>
            </a:graphic>
          </wp:inline>
        </w:drawing>
      </w:r>
    </w:p>
    <w:p>
      <w:pPr>
        <w:pStyle w:val="ImageCaption"/>
      </w:pPr>
      <w:r>
        <w:rPr>
          <w:rFonts w:hint="eastAsia"/>
        </w:rPr>
        <w:t xml:space="preserve">滞后</w:t>
      </w:r>
      <w:r>
        <w:t xml:space="preserve"> 1 </w:t>
      </w:r>
      <w:r>
        <w:rPr>
          <w:rFonts w:hint="eastAsia"/>
        </w:rPr>
        <w:t xml:space="preserve">月</w:t>
      </w:r>
      <w:r>
        <w:t xml:space="preserve"> GPR </w:t>
      </w:r>
      <w:r>
        <w:rPr>
          <w:rFonts w:hint="eastAsia"/>
        </w:rPr>
        <w:t xml:space="preserve">与布伦特月度收益关系。散点关系较弱，说明</w:t>
      </w:r>
      <w:r>
        <w:t xml:space="preserve"> GPR </w:t>
      </w:r>
      <w:r>
        <w:rPr>
          <w:rFonts w:hint="eastAsia"/>
        </w:rPr>
        <w:t xml:space="preserve">更适合作为风险溢价外部审计，而非单独点预测模型。</w:t>
      </w:r>
    </w:p>
    <w:p>
      <w:pPr>
        <w:pStyle w:val="BodyText"/>
      </w:pPr>
      <w:r>
        <w:rPr>
          <w:rFonts w:hint="eastAsia"/>
        </w:rPr>
        <w:t xml:space="preserve">该结果对本文有两层含义。第一，2026</w:t>
      </w:r>
      <w:r>
        <w:t xml:space="preserve"> </w:t>
      </w:r>
      <w:r>
        <w:rPr>
          <w:rFonts w:hint="eastAsia"/>
        </w:rPr>
        <w:t xml:space="preserve">年</w:t>
      </w:r>
      <w:r>
        <w:t xml:space="preserve"> 3–4 </w:t>
      </w:r>
      <w:r>
        <w:rPr>
          <w:rFonts w:hint="eastAsia"/>
        </w:rPr>
        <w:t xml:space="preserve">月</w:t>
      </w:r>
      <w:r>
        <w:t xml:space="preserve"> GPR </w:t>
      </w:r>
      <w:r>
        <w:rPr>
          <w:rFonts w:hint="eastAsia"/>
        </w:rPr>
        <w:t xml:space="preserve">处于历史高分位，说明模型中的地缘风险溢价不是凭空设定，而有外部风险指数支撑。第二，滞后</w:t>
      </w:r>
      <w:r>
        <w:t xml:space="preserve"> GPR </w:t>
      </w:r>
      <w:r>
        <w:rPr>
          <w:rFonts w:hint="eastAsia"/>
        </w:rPr>
        <w:t xml:space="preserve">对月度收益的解释力有限，因此本文不将其直接加入短期拟合，也不把风险指数写成</w:t>
      </w:r>
      <w:r>
        <w:rPr>
          <w:rFonts w:hint="eastAsia"/>
        </w:rPr>
        <w:t xml:space="preserve">“预测油价上涨的神奇变量”</w:t>
      </w:r>
      <w:r>
        <w:rPr>
          <w:rFonts w:hint="eastAsia"/>
        </w:rPr>
        <w:t xml:space="preserve">。这使模型在风险解释和内生性防御之间保持较稳妥的边界。</w:t>
      </w:r>
    </w:p>
    <w:bookmarkEnd w:id="111"/>
    <w:bookmarkStart w:id="118" w:name="历史样本稳健性检验"/>
    <w:p>
      <w:pPr>
        <w:pStyle w:val="Heading2"/>
      </w:pPr>
      <w:r>
        <w:rPr>
          <w:rFonts w:hint="eastAsia"/>
        </w:rPr>
        <w:t xml:space="preserve">历史样本稳健性检验</w:t>
      </w:r>
    </w:p>
    <w:p>
      <w:pPr>
        <w:pStyle w:val="FirstParagraph"/>
      </w:pPr>
      <w:r>
        <w:rPr>
          <w:rFonts w:hint="eastAsia"/>
        </w:rPr>
        <w:t xml:space="preserve">附件数据覆盖</w:t>
      </w:r>
      <w:r>
        <w:t xml:space="preserve"> 2017 </w:t>
      </w:r>
      <w:r>
        <w:rPr>
          <w:rFonts w:hint="eastAsia"/>
        </w:rPr>
        <w:t xml:space="preserve">年</w:t>
      </w:r>
      <w:r>
        <w:t xml:space="preserve"> 9 </w:t>
      </w:r>
      <w:r>
        <w:rPr>
          <w:rFonts w:hint="eastAsia"/>
        </w:rPr>
        <w:t xml:space="preserve">月至</w:t>
      </w:r>
      <w:r>
        <w:t xml:space="preserve"> 2026 </w:t>
      </w:r>
      <w:r>
        <w:rPr>
          <w:rFonts w:hint="eastAsia"/>
        </w:rPr>
        <w:t xml:space="preserve">年</w:t>
      </w:r>
      <w:r>
        <w:t xml:space="preserve"> 5 </w:t>
      </w:r>
      <w:r>
        <w:rPr>
          <w:rFonts w:hint="eastAsia"/>
        </w:rPr>
        <w:t xml:space="preserve">月。除用于绘制长期价格和波动背景外，完整历史数据还可以检验</w:t>
      </w:r>
      <w:r>
        <w:t xml:space="preserve"> 2026 </w:t>
      </w:r>
      <w:r>
        <w:rPr>
          <w:rFonts w:hint="eastAsia"/>
        </w:rPr>
        <w:t xml:space="preserve">冲突窗口在历史分布中的位置。本文采用与冲突窗口相同的</w:t>
      </w:r>
      <w:r>
        <w:t xml:space="preserve"> 46 </w:t>
      </w:r>
      <w:r>
        <w:rPr>
          <w:rFonts w:hint="eastAsia"/>
        </w:rPr>
        <w:t xml:space="preserve">个交易日长度，在全样本中滚动构造历史窗口，并比较累计收益率、实现波动率、价格区间、最大单日跳变和朴素上一日基准误差。</w:t>
      </w:r>
    </w:p>
    <w:p>
      <w:pPr>
        <w:pStyle w:val="TableCaption"/>
      </w:pPr>
      <w:r>
        <w:t xml:space="preserve">2026 </w:t>
      </w:r>
      <w:r>
        <w:rPr>
          <w:rFonts w:hint="eastAsia"/>
        </w:rPr>
        <w:t xml:space="preserve">冲突窗口在历史同长度窗口中的位置</w:t>
      </w:r>
    </w:p>
    <w:tbl>
      <w:tblPr>
        <w:tblStyle w:val="Table"/>
        <w:tblW w:type="auto" w:w="0"/>
        <w:tblLook w:firstRow="1" w:lastRow="0" w:firstColumn="0" w:lastColumn="0" w:noHBand="0" w:noVBand="0" w:val="0020"/>
        <w:tblCaption w:val="2026 冲突窗口在历史同长度窗口中的位置"/>
      </w:tblPr>
      <w:tblGrid>
        <w:gridCol w:w="1980"/>
        <w:gridCol w:w="1980"/>
        <w:gridCol w:w="1980"/>
        <w:gridCol w:w="1980"/>
      </w:tblGrid>
      <w:tr>
        <w:trPr>
          <w:tblHeader w:val="on"/>
        </w:trPr>
        <w:tc>
          <w:tcPr/>
          <w:p>
            <w:pPr>
              <w:pStyle w:val="Compact"/>
              <w:jc w:val="left"/>
            </w:pPr>
            <w:r>
              <w:rPr>
                <w:rFonts w:hint="eastAsia"/>
              </w:rPr>
              <w:t xml:space="preserve">指标</w:t>
            </w:r>
          </w:p>
        </w:tc>
        <w:tc>
          <w:tcPr/>
          <w:p>
            <w:pPr>
              <w:pStyle w:val="Compact"/>
              <w:jc w:val="right"/>
            </w:pPr>
            <w:r>
              <w:rPr>
                <w:rFonts w:hint="eastAsia"/>
              </w:rPr>
              <w:t xml:space="preserve">冲突窗口数值</w:t>
            </w:r>
          </w:p>
        </w:tc>
        <w:tc>
          <w:tcPr/>
          <w:p>
            <w:pPr>
              <w:pStyle w:val="Compact"/>
              <w:jc w:val="right"/>
            </w:pPr>
            <w:r>
              <w:rPr>
                <w:rFonts w:hint="eastAsia"/>
              </w:rPr>
              <w:t xml:space="preserve">历史分位数</w:t>
            </w:r>
          </w:p>
        </w:tc>
        <w:tc>
          <w:tcPr/>
          <w:p>
            <w:pPr>
              <w:pStyle w:val="Compact"/>
              <w:jc w:val="left"/>
            </w:pPr>
            <w:r>
              <w:rPr>
                <w:rFonts w:hint="eastAsia"/>
              </w:rPr>
              <w:t xml:space="preserve">含义</w:t>
            </w:r>
          </w:p>
        </w:tc>
      </w:tr>
      <w:tr>
        <w:tc>
          <w:tcPr/>
          <w:p>
            <w:pPr>
              <w:pStyle w:val="Compact"/>
              <w:jc w:val="left"/>
            </w:pPr>
            <w:r>
              <w:rPr>
                <w:rFonts w:hint="eastAsia"/>
              </w:rPr>
              <w:t xml:space="preserve">累计收益率</w:t>
            </w:r>
          </w:p>
        </w:tc>
        <w:tc>
          <w:tcPr/>
          <w:p>
            <w:pPr>
              <w:pStyle w:val="Compact"/>
              <w:jc w:val="right"/>
            </w:pPr>
            <w:r>
              <w:t xml:space="preserve">50.7%</w:t>
            </w:r>
          </w:p>
        </w:tc>
        <w:tc>
          <w:tcPr/>
          <w:p>
            <w:pPr>
              <w:pStyle w:val="Compact"/>
              <w:jc w:val="right"/>
            </w:pPr>
            <w:r>
              <w:t xml:space="preserve">99.3%</w:t>
            </w:r>
          </w:p>
        </w:tc>
        <w:tc>
          <w:tcPr/>
          <w:p>
            <w:pPr>
              <w:pStyle w:val="Compact"/>
              <w:jc w:val="left"/>
            </w:pPr>
            <w:r>
              <w:rPr>
                <w:rFonts w:hint="eastAsia"/>
              </w:rPr>
              <w:t xml:space="preserve">同长度窗口内价格上行幅度</w:t>
            </w:r>
          </w:p>
        </w:tc>
      </w:tr>
      <w:tr>
        <w:tc>
          <w:tcPr/>
          <w:p>
            <w:pPr>
              <w:pStyle w:val="Compact"/>
              <w:jc w:val="left"/>
            </w:pPr>
            <w:r>
              <w:rPr>
                <w:rFonts w:hint="eastAsia"/>
              </w:rPr>
              <w:t xml:space="preserve">实现波动率</w:t>
            </w:r>
          </w:p>
        </w:tc>
        <w:tc>
          <w:tcPr/>
          <w:p>
            <w:pPr>
              <w:pStyle w:val="Compact"/>
              <w:jc w:val="right"/>
            </w:pPr>
            <w:r>
              <w:t xml:space="preserve">30.4%</w:t>
            </w:r>
          </w:p>
        </w:tc>
        <w:tc>
          <w:tcPr/>
          <w:p>
            <w:pPr>
              <w:pStyle w:val="Compact"/>
              <w:jc w:val="right"/>
            </w:pPr>
            <w:r>
              <w:t xml:space="preserve">95.7%</w:t>
            </w:r>
          </w:p>
        </w:tc>
        <w:tc>
          <w:tcPr/>
          <w:p>
            <w:pPr>
              <w:pStyle w:val="Compact"/>
              <w:jc w:val="left"/>
            </w:pPr>
            <w:r>
              <w:rPr>
                <w:rFonts w:hint="eastAsia"/>
              </w:rPr>
              <w:t xml:space="preserve">同长度窗口内波动强度</w:t>
            </w:r>
          </w:p>
        </w:tc>
      </w:tr>
      <w:tr>
        <w:tc>
          <w:tcPr/>
          <w:p>
            <w:pPr>
              <w:pStyle w:val="Compact"/>
              <w:jc w:val="left"/>
            </w:pPr>
            <w:r>
              <w:rPr>
                <w:rFonts w:hint="eastAsia"/>
              </w:rPr>
              <w:t xml:space="preserve">平均绝对日收益率</w:t>
            </w:r>
          </w:p>
        </w:tc>
        <w:tc>
          <w:tcPr/>
          <w:p>
            <w:pPr>
              <w:pStyle w:val="Compact"/>
              <w:jc w:val="right"/>
            </w:pPr>
            <w:r>
              <w:t xml:space="preserve">3.74%</w:t>
            </w:r>
          </w:p>
        </w:tc>
        <w:tc>
          <w:tcPr/>
          <w:p>
            <w:pPr>
              <w:pStyle w:val="Compact"/>
              <w:jc w:val="right"/>
            </w:pPr>
            <w:r>
              <w:t xml:space="preserve">97.3%</w:t>
            </w:r>
          </w:p>
        </w:tc>
        <w:tc>
          <w:tcPr/>
          <w:p>
            <w:pPr>
              <w:pStyle w:val="Compact"/>
              <w:jc w:val="left"/>
            </w:pPr>
            <w:r>
              <w:rPr>
                <w:rFonts w:hint="eastAsia"/>
              </w:rPr>
              <w:t xml:space="preserve">日常波动强度</w:t>
            </w:r>
          </w:p>
        </w:tc>
      </w:tr>
      <w:tr>
        <w:tc>
          <w:tcPr/>
          <w:p>
            <w:pPr>
              <w:pStyle w:val="Compact"/>
              <w:jc w:val="left"/>
            </w:pPr>
            <w:r>
              <w:rPr>
                <w:rFonts w:hint="eastAsia"/>
              </w:rPr>
              <w:t xml:space="preserve">最大单日绝对收益</w:t>
            </w:r>
          </w:p>
        </w:tc>
        <w:tc>
          <w:tcPr/>
          <w:p>
            <w:pPr>
              <w:pStyle w:val="Compact"/>
              <w:jc w:val="right"/>
            </w:pPr>
            <w:r>
              <w:t xml:space="preserve">11.9%</w:t>
            </w:r>
          </w:p>
        </w:tc>
        <w:tc>
          <w:tcPr/>
          <w:p>
            <w:pPr>
              <w:pStyle w:val="Compact"/>
              <w:jc w:val="right"/>
            </w:pPr>
            <w:r>
              <w:t xml:space="preserve">91.4%</w:t>
            </w:r>
          </w:p>
        </w:tc>
        <w:tc>
          <w:tcPr/>
          <w:p>
            <w:pPr>
              <w:pStyle w:val="Compact"/>
              <w:jc w:val="left"/>
            </w:pPr>
            <w:r>
              <w:rPr>
                <w:rFonts w:hint="eastAsia"/>
              </w:rPr>
              <w:t xml:space="preserve">局部跳变强度</w:t>
            </w:r>
          </w:p>
        </w:tc>
      </w:tr>
      <w:tr>
        <w:tc>
          <w:tcPr/>
          <w:p>
            <w:pPr>
              <w:pStyle w:val="Compact"/>
              <w:jc w:val="left"/>
            </w:pPr>
            <w:r>
              <w:rPr>
                <w:rFonts w:hint="eastAsia"/>
              </w:rPr>
              <w:t xml:space="preserve">价格区间比例</w:t>
            </w:r>
          </w:p>
        </w:tc>
        <w:tc>
          <w:tcPr/>
          <w:p>
            <w:pPr>
              <w:pStyle w:val="Compact"/>
              <w:jc w:val="right"/>
            </w:pPr>
            <w:r>
              <w:t xml:space="preserve">36.1%</w:t>
            </w:r>
          </w:p>
        </w:tc>
        <w:tc>
          <w:tcPr/>
          <w:p>
            <w:pPr>
              <w:pStyle w:val="Compact"/>
              <w:jc w:val="right"/>
            </w:pPr>
            <w:r>
              <w:t xml:space="preserve">93.2%</w:t>
            </w:r>
          </w:p>
        </w:tc>
        <w:tc>
          <w:tcPr/>
          <w:p>
            <w:pPr>
              <w:pStyle w:val="Compact"/>
              <w:jc w:val="left"/>
            </w:pPr>
            <w:r>
              <w:rPr>
                <w:rFonts w:hint="eastAsia"/>
              </w:rPr>
              <w:t xml:space="preserve">窗口内价格振幅</w:t>
            </w:r>
          </w:p>
        </w:tc>
      </w:tr>
      <w:tr>
        <w:tc>
          <w:tcPr/>
          <w:p>
            <w:pPr>
              <w:pStyle w:val="Compact"/>
              <w:jc w:val="left"/>
            </w:pPr>
            <w:r>
              <w:rPr>
                <w:rFonts w:hint="eastAsia"/>
              </w:rPr>
              <w:t xml:space="preserve">朴素上一日基准</w:t>
            </w:r>
            <w:r>
              <w:t xml:space="preserve"> RMSE</w:t>
            </w:r>
          </w:p>
        </w:tc>
        <w:tc>
          <w:tcPr/>
          <w:p>
            <w:pPr>
              <w:pStyle w:val="Compact"/>
              <w:jc w:val="right"/>
            </w:pPr>
            <w:r>
              <w:t xml:space="preserve">4.52</w:t>
            </w:r>
          </w:p>
        </w:tc>
        <w:tc>
          <w:tcPr/>
          <w:p>
            <w:pPr>
              <w:pStyle w:val="Compact"/>
              <w:jc w:val="right"/>
            </w:pPr>
            <w:r>
              <w:t xml:space="preserve">98.5%</w:t>
            </w:r>
          </w:p>
        </w:tc>
        <w:tc>
          <w:tcPr/>
          <w:p>
            <w:pPr>
              <w:pStyle w:val="Compact"/>
              <w:jc w:val="left"/>
            </w:pPr>
            <w:r>
              <w:rPr>
                <w:rFonts w:hint="eastAsia"/>
              </w:rPr>
              <w:t xml:space="preserve">随机游走基准在该窗口是否变难</w:t>
            </w:r>
          </w:p>
        </w:tc>
      </w:tr>
      <w:tr>
        <w:tc>
          <w:tcPr/>
          <w:p>
            <w:pPr>
              <w:pStyle w:val="Compact"/>
              <w:jc w:val="left"/>
            </w:pPr>
            <w:r>
              <w:rPr>
                <w:rFonts w:hint="eastAsia"/>
              </w:rPr>
              <w:t xml:space="preserve">本文机制模型</w:t>
            </w:r>
            <w:r>
              <w:t xml:space="preserve"> RMSE</w:t>
            </w:r>
          </w:p>
        </w:tc>
        <w:tc>
          <w:tcPr/>
          <w:p>
            <w:pPr>
              <w:pStyle w:val="Compact"/>
              <w:jc w:val="right"/>
            </w:pPr>
            <w:r>
              <w:t xml:space="preserve">3.44</w:t>
            </w:r>
          </w:p>
        </w:tc>
        <w:tc>
          <w:tcPr/>
          <w:p>
            <w:pPr>
              <w:pStyle w:val="Compact"/>
              <w:jc w:val="right"/>
            </w:pPr>
            <w:r>
              <w:t xml:space="preserve">97.4%</w:t>
            </w:r>
          </w:p>
        </w:tc>
        <w:tc>
          <w:tcPr/>
          <w:p>
            <w:pPr>
              <w:pStyle w:val="Compact"/>
              <w:jc w:val="left"/>
            </w:pPr>
            <w:r>
              <w:rPr>
                <w:rFonts w:hint="eastAsia"/>
              </w:rPr>
              <w:t xml:space="preserve">对比历史朴素误差分布</w:t>
            </w:r>
          </w:p>
        </w:tc>
      </w:tr>
    </w:tbl>
    <w:p>
      <w:pPr>
        <w:pStyle w:val="CaptionedFigure"/>
      </w:pPr>
      <w:r>
        <w:drawing>
          <wp:inline>
            <wp:extent cx="4907280" cy="2685115"/>
            <wp:effectExtent b="0" l="0" r="0" t="0"/>
            <wp:docPr descr="" title="" id="113" name="Picture"/>
            <a:graphic>
              <a:graphicData uri="http://schemas.openxmlformats.org/drawingml/2006/picture">
                <pic:pic>
                  <pic:nvPicPr>
                    <pic:cNvPr descr="historical_event_extremeness.png" id="114" name="Picture"/>
                    <pic:cNvPicPr>
                      <a:picLocks noChangeArrowheads="1" noChangeAspect="1"/>
                    </pic:cNvPicPr>
                  </pic:nvPicPr>
                  <pic:blipFill>
                    <a:blip r:embed="rId112"/>
                    <a:stretch>
                      <a:fillRect/>
                    </a:stretch>
                  </pic:blipFill>
                  <pic:spPr bwMode="auto">
                    <a:xfrm>
                      <a:off x="0" y="0"/>
                      <a:ext cx="4907280" cy="2685115"/>
                    </a:xfrm>
                    <a:prstGeom prst="rect">
                      <a:avLst/>
                    </a:prstGeom>
                    <a:noFill/>
                    <a:ln w="9525">
                      <a:noFill/>
                      <a:headEnd/>
                      <a:tailEnd/>
                    </a:ln>
                  </pic:spPr>
                </pic:pic>
              </a:graphicData>
            </a:graphic>
          </wp:inline>
        </w:drawing>
      </w:r>
    </w:p>
    <w:p>
      <w:pPr>
        <w:pStyle w:val="ImageCaption"/>
      </w:pPr>
      <w:r>
        <w:t xml:space="preserve">2026 </w:t>
      </w:r>
      <w:r>
        <w:rPr>
          <w:rFonts w:hint="eastAsia"/>
        </w:rPr>
        <w:t xml:space="preserve">冲突窗口在历史同长度窗口中的极端性。累计涨幅、波动率和朴素基准误差均处于历史高分位。</w:t>
      </w:r>
    </w:p>
    <w:p>
      <w:pPr>
        <w:pStyle w:val="CaptionedFigure"/>
      </w:pPr>
      <w:r>
        <w:drawing>
          <wp:inline>
            <wp:extent cx="4693920" cy="2669091"/>
            <wp:effectExtent b="0" l="0" r="0" t="0"/>
            <wp:docPr descr="" title="" id="116" name="Picture"/>
            <a:graphic>
              <a:graphicData uri="http://schemas.openxmlformats.org/drawingml/2006/picture">
                <pic:pic>
                  <pic:nvPicPr>
                    <pic:cNvPr descr="historical_baseline_error_distribution.png" id="117" name="Picture"/>
                    <pic:cNvPicPr>
                      <a:picLocks noChangeArrowheads="1" noChangeAspect="1"/>
                    </pic:cNvPicPr>
                  </pic:nvPicPr>
                  <pic:blipFill>
                    <a:blip r:embed="rId115"/>
                    <a:stretch>
                      <a:fillRect/>
                    </a:stretch>
                  </pic:blipFill>
                  <pic:spPr bwMode="auto">
                    <a:xfrm>
                      <a:off x="0" y="0"/>
                      <a:ext cx="4693920" cy="2669091"/>
                    </a:xfrm>
                    <a:prstGeom prst="rect">
                      <a:avLst/>
                    </a:prstGeom>
                    <a:noFill/>
                    <a:ln w="9525">
                      <a:noFill/>
                      <a:headEnd/>
                      <a:tailEnd/>
                    </a:ln>
                  </pic:spPr>
                </pic:pic>
              </a:graphicData>
            </a:graphic>
          </wp:inline>
        </w:drawing>
      </w:r>
    </w:p>
    <w:p>
      <w:pPr>
        <w:pStyle w:val="ImageCaption"/>
      </w:pPr>
      <w:r>
        <w:rPr>
          <w:rFonts w:hint="eastAsia"/>
        </w:rPr>
        <w:t xml:space="preserve">历史</w:t>
      </w:r>
      <w:r>
        <w:t xml:space="preserve"> 46 </w:t>
      </w:r>
      <w:r>
        <w:rPr>
          <w:rFonts w:hint="eastAsia"/>
        </w:rPr>
        <w:t xml:space="preserve">交易日窗口的随机游走基准误差分布。冲突窗口朴素基准</w:t>
      </w:r>
      <w:r>
        <w:t xml:space="preserve"> RMSE </w:t>
      </w:r>
      <w:r>
        <w:rPr>
          <w:rFonts w:hint="eastAsia"/>
        </w:rPr>
        <w:t xml:space="preserve">处于历史高位，而本文机制模型在该窗口内仍明显优于朴素基准。</w:t>
      </w:r>
    </w:p>
    <w:p>
      <w:pPr>
        <w:pStyle w:val="BodyText"/>
      </w:pPr>
      <w:r>
        <w:rPr>
          <w:rFonts w:hint="eastAsia"/>
        </w:rPr>
        <w:t xml:space="preserve">历史检验有两个作用。第一，它证明本文没有只盯着</w:t>
      </w:r>
      <w:r>
        <w:t xml:space="preserve"> 46 </w:t>
      </w:r>
      <w:r>
        <w:rPr>
          <w:rFonts w:hint="eastAsia"/>
        </w:rPr>
        <w:t xml:space="preserve">个交易日做孤立拟合：与</w:t>
      </w:r>
      <w:r>
        <w:t xml:space="preserve"> 2017–2026 </w:t>
      </w:r>
      <w:r>
        <w:rPr>
          <w:rFonts w:hint="eastAsia"/>
        </w:rPr>
        <w:t xml:space="preserve">年所有同长度窗口相比，2026</w:t>
      </w:r>
      <w:r>
        <w:t xml:space="preserve"> </w:t>
      </w:r>
      <w:r>
        <w:rPr>
          <w:rFonts w:hint="eastAsia"/>
        </w:rPr>
        <w:t xml:space="preserve">冲突窗口确实属于高涨幅、高波动和高预测难度样本。第二，它说明完整历史数据更适合作为背景分布和基准检验，而不应被用来把霍尔木兹机制参数强行拟合到所有普通时期。ADF</w:t>
      </w:r>
      <w:r>
        <w:t xml:space="preserve"> </w:t>
      </w:r>
      <w:r>
        <w:rPr>
          <w:rFonts w:hint="eastAsia"/>
        </w:rPr>
        <w:t xml:space="preserve">检验也支持这一点：收盘价水平和对数价格均不能拒绝单位根，而对数收益率可拒绝单位根，因此普通统计基准更适合在收益率或差分口径下使用。</w:t>
      </w:r>
    </w:p>
    <w:bookmarkEnd w:id="118"/>
    <w:bookmarkEnd w:id="119"/>
    <w:bookmarkStart w:id="123" w:name="模型评价"/>
    <w:p>
      <w:pPr>
        <w:pStyle w:val="Heading1"/>
      </w:pPr>
      <w:r>
        <w:rPr>
          <w:rFonts w:hint="eastAsia"/>
        </w:rPr>
        <w:t xml:space="preserve">模型评价</w:t>
      </w:r>
    </w:p>
    <w:bookmarkStart w:id="120" w:name="优点"/>
    <w:p>
      <w:pPr>
        <w:pStyle w:val="Heading2"/>
      </w:pPr>
      <w:r>
        <w:rPr>
          <w:rFonts w:hint="eastAsia"/>
        </w:rPr>
        <w:t xml:space="preserve">优点</w:t>
      </w:r>
    </w:p>
    <w:p>
      <w:pPr>
        <w:numPr>
          <w:ilvl w:val="0"/>
          <w:numId w:val="1005"/>
        </w:numPr>
      </w:pPr>
      <w:r>
        <w:rPr>
          <w:rFonts w:hint="eastAsia"/>
        </w:rPr>
        <w:t xml:space="preserve">证据链完整：从附件数据清洗、传统供需基准、动态模型、校准、防御性检验、三情景预测到敏感性分析均可复现。</w:t>
      </w:r>
    </w:p>
    <w:p>
      <w:pPr>
        <w:numPr>
          <w:ilvl w:val="0"/>
          <w:numId w:val="1005"/>
        </w:numPr>
      </w:pPr>
      <w:r>
        <w:rPr>
          <w:rFonts w:hint="eastAsia"/>
        </w:rPr>
        <w:t xml:space="preserve">机制解释清晰：模型没有把价格平台硬编码为</w:t>
      </w:r>
      <w:r>
        <w:t xml:space="preserve"> 120 </w:t>
      </w:r>
      <w:r>
        <w:rPr>
          <w:rFonts w:hint="eastAsia"/>
        </w:rPr>
        <w:t xml:space="preserve">美元，而是由供应缺口、风险溢价和缓冲折价共同递推形成。</w:t>
      </w:r>
    </w:p>
    <w:p>
      <w:pPr>
        <w:numPr>
          <w:ilvl w:val="0"/>
          <w:numId w:val="1005"/>
        </w:numPr>
      </w:pPr>
      <w:r>
        <w:rPr>
          <w:rFonts w:hint="eastAsia"/>
        </w:rPr>
        <w:t xml:space="preserve">主动回应评委质疑：本文设置</w:t>
      </w:r>
      <w:r>
        <w:t xml:space="preserve"> Random Walk </w:t>
      </w:r>
      <w:r>
        <w:rPr>
          <w:rFonts w:hint="eastAsia"/>
        </w:rPr>
        <w:t xml:space="preserve">基准、ARIMA</w:t>
      </w:r>
      <w:r>
        <w:t xml:space="preserve"> </w:t>
      </w:r>
      <w:r>
        <w:rPr>
          <w:rFonts w:hint="eastAsia"/>
        </w:rPr>
        <w:t xml:space="preserve">基准、DM</w:t>
      </w:r>
      <w:r>
        <w:t xml:space="preserve"> </w:t>
      </w:r>
      <w:r>
        <w:rPr>
          <w:rFonts w:hint="eastAsia"/>
        </w:rPr>
        <w:t xml:space="preserve">统计检验、滞后平移检验、机制消融、过拟合压力测试和历史同长度窗口检验。</w:t>
      </w:r>
    </w:p>
    <w:p>
      <w:pPr>
        <w:numPr>
          <w:ilvl w:val="0"/>
          <w:numId w:val="1005"/>
        </w:numPr>
      </w:pPr>
      <w:r>
        <w:rPr>
          <w:rFonts w:hint="eastAsia"/>
        </w:rPr>
        <w:t xml:space="preserve">数据口径保守：所有真实价格均来自附件</w:t>
      </w:r>
      <w:r>
        <w:t xml:space="preserve"> </w:t>
      </w:r>
      <w:r>
        <w:rPr>
          <w:rFonts w:hint="eastAsia"/>
        </w:rPr>
        <w:t xml:space="preserve">CSV；外推阶段明确标注为情景预测，不作为真实观测。</w:t>
      </w:r>
    </w:p>
    <w:p>
      <w:pPr>
        <w:numPr>
          <w:ilvl w:val="0"/>
          <w:numId w:val="1005"/>
        </w:numPr>
      </w:pPr>
      <w:r>
        <w:rPr>
          <w:rFonts w:hint="eastAsia"/>
        </w:rPr>
        <w:t xml:space="preserve">长期表述审慎：三情景中心线与蒙特卡洛扇形区间合读，把长期结果定位为条件中心路径和尾部风险，而非精确日度点预测。</w:t>
      </w:r>
    </w:p>
    <w:bookmarkEnd w:id="120"/>
    <w:bookmarkStart w:id="121" w:name="局限性"/>
    <w:p>
      <w:pPr>
        <w:pStyle w:val="Heading2"/>
      </w:pPr>
      <w:r>
        <w:rPr>
          <w:rFonts w:hint="eastAsia"/>
        </w:rPr>
        <w:t xml:space="preserve">局限性</w:t>
      </w:r>
    </w:p>
    <w:p>
      <w:pPr>
        <w:numPr>
          <w:ilvl w:val="0"/>
          <w:numId w:val="1006"/>
        </w:numPr>
      </w:pPr>
      <w:r>
        <w:rPr>
          <w:rFonts w:hint="eastAsia"/>
        </w:rPr>
        <w:t xml:space="preserve">冲突窗口只有</w:t>
      </w:r>
      <w:r>
        <w:t xml:space="preserve"> 46 </w:t>
      </w:r>
      <w:r>
        <w:rPr>
          <w:rFonts w:hint="eastAsia"/>
        </w:rPr>
        <w:t xml:space="preserve">个交易日，参数自由度相对较高，尽管有压力测试和边界检验，仍不宜把模型包装为通用油价交易预测器。</w:t>
      </w:r>
    </w:p>
    <w:p>
      <w:pPr>
        <w:numPr>
          <w:ilvl w:val="0"/>
          <w:numId w:val="1006"/>
        </w:numPr>
      </w:pPr>
      <w:r>
        <w:rPr>
          <w:rFonts w:hint="eastAsia"/>
        </w:rPr>
        <w:t xml:space="preserve">本文已补充</w:t>
      </w:r>
      <w:r>
        <w:t xml:space="preserve"> EIA </w:t>
      </w:r>
      <w:r>
        <w:rPr>
          <w:rFonts w:hint="eastAsia"/>
        </w:rPr>
        <w:t xml:space="preserve">美国口径</w:t>
      </w:r>
      <w:r>
        <w:t xml:space="preserve"> </w:t>
      </w:r>
      <w:r>
        <w:rPr>
          <w:rFonts w:hint="eastAsia"/>
        </w:rPr>
        <w:t xml:space="preserve">SPR、商业库存和原油产量周度数据作为外部审计，并接入</w:t>
      </w:r>
      <w:r>
        <w:t xml:space="preserve"> GPR </w:t>
      </w:r>
      <w:r>
        <w:rPr>
          <w:rFonts w:hint="eastAsia"/>
        </w:rPr>
        <w:t xml:space="preserve">月度指数和历史滚动窗口审计地缘风险与事件极端性；但尚未自动接入</w:t>
      </w:r>
      <w:r>
        <w:t xml:space="preserve"> IEA/OPEC </w:t>
      </w:r>
      <w:r>
        <w:rPr>
          <w:rFonts w:hint="eastAsia"/>
        </w:rPr>
        <w:t xml:space="preserve">全球口径的完整供需平衡表，也未引入期权隐含波动率、油轮保险费或高频新闻情绪等变量。</w:t>
      </w:r>
    </w:p>
    <w:p>
      <w:pPr>
        <w:numPr>
          <w:ilvl w:val="0"/>
          <w:numId w:val="1006"/>
        </w:numPr>
      </w:pPr>
      <w:r>
        <w:rPr>
          <w:rFonts w:hint="eastAsia"/>
        </w:rPr>
        <w:t xml:space="preserve">蒙特卡洛情景树已经刻画了部分参数联动风险，但其联合分布仍来自模型设定而非外部历史频率估计，因此尾部概率应解释为条件概率而非真实市场概率。</w:t>
      </w:r>
    </w:p>
    <w:bookmarkEnd w:id="121"/>
    <w:bookmarkStart w:id="122" w:name="改进方向"/>
    <w:p>
      <w:pPr>
        <w:pStyle w:val="Heading2"/>
      </w:pPr>
      <w:r>
        <w:rPr>
          <w:rFonts w:hint="eastAsia"/>
        </w:rPr>
        <w:t xml:space="preserve">改进方向</w:t>
      </w:r>
    </w:p>
    <w:p>
      <w:pPr>
        <w:pStyle w:val="FirstParagraph"/>
      </w:pPr>
      <w:r>
        <w:rPr>
          <w:rFonts w:hint="eastAsia"/>
        </w:rPr>
        <w:t xml:space="preserve">若后续继续深化，可以从三个方向提高模型外推能力：第一，在现有</w:t>
      </w:r>
      <w:r>
        <w:t xml:space="preserve"> EIA </w:t>
      </w:r>
      <w:r>
        <w:rPr>
          <w:rFonts w:hint="eastAsia"/>
        </w:rPr>
        <w:t xml:space="preserve">周度数据审计基础上，继续接入</w:t>
      </w:r>
      <w:r>
        <w:t xml:space="preserve"> IEA </w:t>
      </w:r>
      <w:r>
        <w:rPr>
          <w:rFonts w:hint="eastAsia"/>
        </w:rPr>
        <w:t xml:space="preserve">或</w:t>
      </w:r>
      <w:r>
        <w:t xml:space="preserve"> OPEC </w:t>
      </w:r>
      <w:r>
        <w:rPr>
          <w:rFonts w:hint="eastAsia"/>
        </w:rPr>
        <w:t xml:space="preserve">全球口径供需平衡表，对长期供给恢复路径进行更客观的外生约束；第二，在现有</w:t>
      </w:r>
      <w:r>
        <w:t xml:space="preserve"> GPR </w:t>
      </w:r>
      <w:r>
        <w:rPr>
          <w:rFonts w:hint="eastAsia"/>
        </w:rPr>
        <w:t xml:space="preserve">滞后审计基础上，继续探索期权隐含波动率、油轮保险费、期货期限结构等更接近市场定价的风险变量；第三，将当前蒙特卡洛联合扰动进一步扩展为带状态转移概率的情景树，使冲突缓和、维持和升级三类状态可以随时间动态切换。R</w:t>
      </w:r>
      <w:r>
        <w:t xml:space="preserve"> </w:t>
      </w:r>
      <w:r>
        <w:rPr>
          <w:rFonts w:hint="eastAsia"/>
        </w:rPr>
        <w:t xml:space="preserve">语言可用于后续</w:t>
      </w:r>
      <w:r>
        <w:t xml:space="preserve"> GARCH、VAR、Granger </w:t>
      </w:r>
      <w:r>
        <w:rPr>
          <w:rFonts w:hint="eastAsia"/>
        </w:rPr>
        <w:t xml:space="preserve">和稳健标准误等计量审计，C++</w:t>
      </w:r>
      <w:r>
        <w:t xml:space="preserve"> </w:t>
      </w:r>
      <w:r>
        <w:rPr>
          <w:rFonts w:hint="eastAsia"/>
        </w:rPr>
        <w:t xml:space="preserve">多智能体仿真则只有在获得主体级行为数据时才有必要进入主线。</w:t>
      </w:r>
    </w:p>
    <w:bookmarkEnd w:id="122"/>
    <w:bookmarkEnd w:id="123"/>
    <w:bookmarkStart w:id="124" w:name="结论"/>
    <w:p>
      <w:pPr>
        <w:pStyle w:val="Heading1"/>
      </w:pPr>
      <w:r>
        <w:rPr>
          <w:rFonts w:hint="eastAsia"/>
        </w:rPr>
        <w:t xml:space="preserve">结论</w:t>
      </w:r>
    </w:p>
    <w:p>
      <w:pPr>
        <w:pStyle w:val="FirstParagraph"/>
      </w:pPr>
      <w:r>
        <w:rPr>
          <w:rFonts w:hint="eastAsia"/>
        </w:rPr>
        <w:t xml:space="preserve">本文围绕霍尔木兹海峡封锁对国际原油价格的影响，建立了一套从传统供需上界到动态缓冲解释、再到</w:t>
      </w:r>
      <w:r>
        <w:t xml:space="preserve"> 60–180 </w:t>
      </w:r>
      <w:r>
        <w:rPr>
          <w:rFonts w:hint="eastAsia"/>
        </w:rPr>
        <w:t xml:space="preserve">天情景预测与敏感性分析的完整模型。研究表明：</w:t>
      </w:r>
    </w:p>
    <w:p>
      <w:pPr>
        <w:numPr>
          <w:ilvl w:val="0"/>
          <w:numId w:val="1007"/>
        </w:numPr>
      </w:pPr>
      <w:r>
        <w:rPr>
          <w:rFonts w:hint="eastAsia"/>
        </w:rPr>
        <w:t xml:space="preserve">在赛题低短期弹性假设下，传统供需模型会给出约</w:t>
      </w:r>
      <w:r>
        <w:t xml:space="preserve"> 278–337 </w:t>
      </w:r>
      <w:r>
        <w:rPr>
          <w:rFonts w:hint="eastAsia"/>
        </w:rPr>
        <w:t xml:space="preserve">美元/桶的理论价格，显著高估附件真实价格。</w:t>
      </w:r>
    </w:p>
    <w:p>
      <w:pPr>
        <w:numPr>
          <w:ilvl w:val="0"/>
          <w:numId w:val="1007"/>
        </w:numPr>
      </w:pPr>
      <w:r>
        <w:rPr>
          <w:rFonts w:hint="eastAsia"/>
        </w:rPr>
        <w:t xml:space="preserve">加入</w:t>
      </w:r>
      <w:r>
        <w:t xml:space="preserve"> </w:t>
      </w:r>
      <w:r>
        <w:rPr>
          <w:rFonts w:hint="eastAsia"/>
        </w:rPr>
        <w:t xml:space="preserve">SPR、商业库存、绕道运输、需求收缩、恐慌衰减、地缘风险溢价和预期修复后，短期动态模型可将冲突窗口</w:t>
      </w:r>
      <w:r>
        <w:t xml:space="preserve"> RMSE </w:t>
      </w:r>
      <w:r>
        <w:rPr>
          <w:rFonts w:hint="eastAsia"/>
        </w:rPr>
        <w:t xml:space="preserve">控制在</w:t>
      </w:r>
      <w:r>
        <w:t xml:space="preserve"> 3.44 </w:t>
      </w:r>
      <w:r>
        <w:rPr>
          <w:rFonts w:hint="eastAsia"/>
        </w:rPr>
        <w:t xml:space="preserve">美元/桶，MAE</w:t>
      </w:r>
      <w:r>
        <w:t xml:space="preserve"> </w:t>
      </w:r>
      <w:r>
        <w:rPr>
          <w:rFonts w:hint="eastAsia"/>
        </w:rPr>
        <w:t xml:space="preserve">控制在</w:t>
      </w:r>
      <w:r>
        <w:t xml:space="preserve"> 2.85 </w:t>
      </w:r>
      <w:r>
        <w:rPr>
          <w:rFonts w:hint="eastAsia"/>
        </w:rPr>
        <w:t xml:space="preserve">美元/桶。</w:t>
      </w:r>
    </w:p>
    <w:p>
      <w:pPr>
        <w:numPr>
          <w:ilvl w:val="0"/>
          <w:numId w:val="1007"/>
        </w:numPr>
      </w:pPr>
      <w:r>
        <w:rPr>
          <w:rFonts w:hint="eastAsia"/>
        </w:rPr>
        <w:t xml:space="preserve">模型优于朴素上一日基准和滚动</w:t>
      </w:r>
      <w:r>
        <w:t xml:space="preserve"> ARIMA </w:t>
      </w:r>
      <w:r>
        <w:rPr>
          <w:rFonts w:hint="eastAsia"/>
        </w:rPr>
        <w:t xml:space="preserve">基准，DM</w:t>
      </w:r>
      <w:r>
        <w:t xml:space="preserve"> </w:t>
      </w:r>
      <w:r>
        <w:rPr>
          <w:rFonts w:hint="eastAsia"/>
        </w:rPr>
        <w:t xml:space="preserve">平方损失检验和方向命中检验提供支持性统计证据，且通过滞后平移检验、机制消融和过拟合压力测试，具备较好的解释力和防御性。</w:t>
      </w:r>
    </w:p>
    <w:p>
      <w:pPr>
        <w:numPr>
          <w:ilvl w:val="0"/>
          <w:numId w:val="1007"/>
        </w:numPr>
      </w:pPr>
      <w:r>
        <w:t xml:space="preserve">60–180 </w:t>
      </w:r>
      <w:r>
        <w:rPr>
          <w:rFonts w:hint="eastAsia"/>
        </w:rPr>
        <w:t xml:space="preserve">天情景预测显示，中性情景第</w:t>
      </w:r>
      <w:r>
        <w:t xml:space="preserve"> 180 </w:t>
      </w:r>
      <w:r>
        <w:rPr>
          <w:rFonts w:hint="eastAsia"/>
        </w:rPr>
        <w:t xml:space="preserve">天价格约为</w:t>
      </w:r>
      <w:r>
        <w:t xml:space="preserve"> 92.43 </w:t>
      </w:r>
      <w:r>
        <w:rPr>
          <w:rFonts w:hint="eastAsia"/>
        </w:rPr>
        <w:t xml:space="preserve">美元/桶；悲观情景第</w:t>
      </w:r>
      <w:r>
        <w:t xml:space="preserve"> 180 </w:t>
      </w:r>
      <w:r>
        <w:rPr>
          <w:rFonts w:hint="eastAsia"/>
        </w:rPr>
        <w:t xml:space="preserve">天约为</w:t>
      </w:r>
      <w:r>
        <w:t xml:space="preserve"> 106.83 </w:t>
      </w:r>
      <w:r>
        <w:rPr>
          <w:rFonts w:hint="eastAsia"/>
        </w:rPr>
        <w:t xml:space="preserve">美元/桶，并存在二次跳涨风险。</w:t>
      </w:r>
    </w:p>
    <w:p>
      <w:pPr>
        <w:numPr>
          <w:ilvl w:val="0"/>
          <w:numId w:val="1007"/>
        </w:numPr>
      </w:pPr>
      <w:r>
        <w:rPr>
          <w:rFonts w:hint="eastAsia"/>
        </w:rPr>
        <w:t xml:space="preserve">敏感性分析显示，地缘风险权重、不确定性与制度风险强度和制度风险占比是综合敏感度最高的三个因素；SPR</w:t>
      </w:r>
      <w:r>
        <w:t xml:space="preserve"> </w:t>
      </w:r>
      <w:r>
        <w:rPr>
          <w:rFonts w:hint="eastAsia"/>
        </w:rPr>
        <w:t xml:space="preserve">和绕道运输更偏向削峰、缺口闭合和争取恢复时间。</w:t>
      </w:r>
    </w:p>
    <w:p>
      <w:pPr>
        <w:numPr>
          <w:ilvl w:val="0"/>
          <w:numId w:val="1007"/>
        </w:numPr>
      </w:pPr>
      <w:r>
        <w:rPr>
          <w:rFonts w:hint="eastAsia"/>
        </w:rPr>
        <w:t xml:space="preserve">蒙特卡洛情景树显示，第</w:t>
      </w:r>
      <w:r>
        <w:t xml:space="preserve"> 180 </w:t>
      </w:r>
      <w:r>
        <w:rPr>
          <w:rFonts w:hint="eastAsia"/>
        </w:rPr>
        <w:t xml:space="preserve">天价格</w:t>
      </w:r>
      <w:r>
        <w:t xml:space="preserve"> 5%–95% </w:t>
      </w:r>
      <w:r>
        <w:rPr>
          <w:rFonts w:hint="eastAsia"/>
        </w:rPr>
        <w:t xml:space="preserve">区间为</w:t>
      </w:r>
      <w:r>
        <w:t xml:space="preserve"> 87.67–101.01 </w:t>
      </w:r>
      <w:r>
        <w:rPr>
          <w:rFonts w:hint="eastAsia"/>
        </w:rPr>
        <w:t xml:space="preserve">美元/桶，外推期最高价突破</w:t>
      </w:r>
      <w:r>
        <w:t xml:space="preserve"> 120 </w:t>
      </w:r>
      <w:r>
        <w:rPr>
          <w:rFonts w:hint="eastAsia"/>
        </w:rPr>
        <w:t xml:space="preserve">美元/桶的条件概率约为</w:t>
      </w:r>
      <w:r>
        <w:t xml:space="preserve"> </w:t>
      </w:r>
      <w:r>
        <w:rPr>
          <w:rFonts w:hint="eastAsia"/>
        </w:rPr>
        <w:t xml:space="preserve">4.6%，尾部风险主要来自多因素同时恶化。</w:t>
      </w:r>
    </w:p>
    <w:p>
      <w:pPr>
        <w:numPr>
          <w:ilvl w:val="0"/>
          <w:numId w:val="1007"/>
        </w:numPr>
      </w:pPr>
      <w:r>
        <w:t xml:space="preserve">GPR </w:t>
      </w:r>
      <w:r>
        <w:rPr>
          <w:rFonts w:hint="eastAsia"/>
        </w:rPr>
        <w:t xml:space="preserve">滞后审计显示，2026</w:t>
      </w:r>
      <w:r>
        <w:t xml:space="preserve"> </w:t>
      </w:r>
      <w:r>
        <w:rPr>
          <w:rFonts w:hint="eastAsia"/>
        </w:rPr>
        <w:t xml:space="preserve">年</w:t>
      </w:r>
      <w:r>
        <w:t xml:space="preserve"> 3–4 </w:t>
      </w:r>
      <w:r>
        <w:rPr>
          <w:rFonts w:hint="eastAsia"/>
        </w:rPr>
        <w:t xml:space="preserve">月地缘风险处于历史高分位，支持风险溢价机制；但滞后收益解释力较弱，因此本文不把</w:t>
      </w:r>
      <w:r>
        <w:t xml:space="preserve"> GPR </w:t>
      </w:r>
      <w:r>
        <w:rPr>
          <w:rFonts w:hint="eastAsia"/>
        </w:rPr>
        <w:t xml:space="preserve">包装成短期点预测因子。</w:t>
      </w:r>
    </w:p>
    <w:p>
      <w:pPr>
        <w:numPr>
          <w:ilvl w:val="0"/>
          <w:numId w:val="1007"/>
        </w:numPr>
      </w:pPr>
      <w:r>
        <w:t xml:space="preserve">2017–2026 </w:t>
      </w:r>
      <w:r>
        <w:rPr>
          <w:rFonts w:hint="eastAsia"/>
        </w:rPr>
        <w:t xml:space="preserve">历史同长度窗口检验显示，冲突窗口累计收益率、波动率和朴素基准误差均处于历史高分位，说明完整历史数据支持</w:t>
      </w:r>
      <w:r>
        <w:rPr>
          <w:rFonts w:hint="eastAsia"/>
        </w:rPr>
        <w:t xml:space="preserve">“该事件窗口确实特殊”</w:t>
      </w:r>
      <w:r>
        <w:rPr>
          <w:rFonts w:hint="eastAsia"/>
        </w:rPr>
        <w:t xml:space="preserve">的判断。</w:t>
      </w:r>
    </w:p>
    <w:p>
      <w:pPr>
        <w:pStyle w:val="FirstParagraph"/>
      </w:pPr>
      <w:r>
        <w:rPr>
          <w:rFonts w:hint="eastAsia"/>
        </w:rPr>
        <w:t xml:space="preserve">因此，霍尔木兹封锁对国际油价的影响不应被理解为简单的</w:t>
      </w:r>
      <w:r>
        <w:rPr>
          <w:rFonts w:hint="eastAsia"/>
        </w:rPr>
        <w:t xml:space="preserve">“供应缺口乘以低弹性”</w:t>
      </w:r>
      <w:r>
        <w:rPr>
          <w:rFonts w:hint="eastAsia"/>
        </w:rPr>
        <w:t xml:space="preserve">问题，而应被理解为物理缺口、政策缓冲、库存约束、替代运输和市场风险预期共同作用下的动态系统。短期价格平台来自政策缓冲与预期修复对低弹性供需压力的再定价；长期风险则不在于中性路径本身，而在于供应中断偏大、SPR</w:t>
      </w:r>
      <w:r>
        <w:t xml:space="preserve"> </w:t>
      </w:r>
      <w:r>
        <w:rPr>
          <w:rFonts w:hint="eastAsia"/>
        </w:rPr>
        <w:t xml:space="preserve">不足、绕道恢复缓慢和制度风险溢价持续时形成的尾部组合。</w:t>
      </w:r>
    </w:p>
    <w:bookmarkEnd w:id="124"/>
    <w:bookmarkStart w:id="125" w:name="附录支撑材料说明"/>
    <w:p>
      <w:pPr>
        <w:pStyle w:val="Heading1"/>
      </w:pPr>
      <w:r>
        <w:rPr>
          <w:rFonts w:hint="eastAsia"/>
        </w:rPr>
        <w:t xml:space="preserve">附录：支撑材料说明</w:t>
      </w:r>
    </w:p>
    <w:p>
      <w:pPr>
        <w:pStyle w:val="FirstParagraph"/>
      </w:pPr>
      <w:r>
        <w:rPr>
          <w:rFonts w:hint="eastAsia"/>
        </w:rPr>
        <w:t xml:space="preserve">本文的主要计算和图表均由项目目录中的脚本复现。附件原始价格数据经清洗后形成中文命名</w:t>
      </w:r>
      <w:r>
        <w:t xml:space="preserve"> </w:t>
      </w:r>
      <w:r>
        <w:rPr>
          <w:rFonts w:hint="eastAsia"/>
        </w:rPr>
        <w:t xml:space="preserve">CSV；短期模型校准结果保存在</w:t>
      </w:r>
      <w:r>
        <w:t xml:space="preserve"> </w:t>
      </w:r>
      <w:r>
        <w:rPr>
          <w:rStyle w:val="VerbatimChar"/>
          <w:rFonts w:hint="eastAsia"/>
        </w:rPr>
        <w:t xml:space="preserve">output/calibration/动态模型校准后路径.csv</w:t>
      </w:r>
      <w:r>
        <w:rPr>
          <w:rFonts w:hint="eastAsia"/>
        </w:rPr>
        <w:t xml:space="preserve">；长期三情景预测结果保存在</w:t>
      </w:r>
      <w:r>
        <w:t xml:space="preserve"> </w:t>
      </w:r>
      <w:r>
        <w:rPr>
          <w:rStyle w:val="VerbatimChar"/>
          <w:rFonts w:hint="eastAsia"/>
        </w:rPr>
        <w:t xml:space="preserve">output/scenarios/三情景预测结果.csv</w:t>
      </w:r>
      <w:r>
        <w:rPr>
          <w:rFonts w:hint="eastAsia"/>
        </w:rPr>
        <w:t xml:space="preserve">；最终论文图表由</w:t>
      </w:r>
      <w:r>
        <w:t xml:space="preserve"> </w:t>
      </w:r>
      <w:r>
        <w:rPr>
          <w:rStyle w:val="VerbatimChar"/>
        </w:rPr>
        <w:t xml:space="preserve">src/visualization/</w:t>
      </w:r>
      <w:r>
        <w:t xml:space="preserve"> </w:t>
      </w:r>
      <w:r>
        <w:rPr>
          <w:rFonts w:hint="eastAsia"/>
        </w:rPr>
        <w:t xml:space="preserve">下的可视化脚本生成。最终交付文件为</w:t>
      </w:r>
      <w:r>
        <w:t xml:space="preserve"> </w:t>
      </w:r>
      <w:r>
        <w:rPr>
          <w:rStyle w:val="VerbatimChar"/>
          <w:rFonts w:hint="eastAsia"/>
        </w:rPr>
        <w:t xml:space="preserve">output/final/总论文.pdf</w:t>
      </w:r>
      <w:r>
        <w:t xml:space="preserve"> </w:t>
      </w:r>
      <w:r>
        <w:rPr>
          <w:rFonts w:hint="eastAsia"/>
        </w:rPr>
        <w:t xml:space="preserve">和</w:t>
      </w:r>
      <w:r>
        <w:t xml:space="preserve"> </w:t>
      </w:r>
      <w:r>
        <w:rPr>
          <w:rStyle w:val="VerbatimChar"/>
          <w:rFonts w:hint="eastAsia"/>
        </w:rPr>
        <w:t xml:space="preserve">output/final/总论文.docx</w:t>
      </w:r>
      <w:r>
        <w:t xml:space="preserve">。</w:t>
      </w:r>
    </w:p>
    <w:bookmarkEnd w:id="125"/>
    <w:bookmarkStart w:id="129" w:name="参考文献"/>
    <w:p>
      <w:pPr>
        <w:pStyle w:val="Heading1"/>
      </w:pPr>
      <w:r>
        <w:rPr>
          <w:rFonts w:hint="eastAsia"/>
        </w:rPr>
        <w:t xml:space="preserve">参考文献</w:t>
      </w:r>
    </w:p>
    <w:p>
      <w:pPr>
        <w:pStyle w:val="FirstParagraph"/>
      </w:pPr>
      <w:r>
        <w:t xml:space="preserve">Kilian, L. (2009). Not All Oil Price Shocks Are Alike: Disentangling Demand and Supply Shocks in the Crude Oil Market.</w:t>
      </w:r>
      <w:r>
        <w:t xml:space="preserve"> </w:t>
      </w:r>
      <w:r>
        <w:rPr>
          <w:i/>
          <w:iCs/>
        </w:rPr>
        <w:t xml:space="preserve">American Economic Review</w:t>
      </w:r>
      <w:r>
        <w:t xml:space="preserve">, 99(3), 1053–1069.</w:t>
      </w:r>
    </w:p>
    <w:p>
      <w:pPr>
        <w:pStyle w:val="BodyText"/>
      </w:pPr>
      <w:r>
        <w:t xml:space="preserve">Hamilton, J. D. (2009). Causes and Consequences of the Oil Shock of 2007–08.</w:t>
      </w:r>
      <w:r>
        <w:t xml:space="preserve"> </w:t>
      </w:r>
      <w:r>
        <w:rPr>
          <w:i/>
          <w:iCs/>
        </w:rPr>
        <w:t xml:space="preserve">Brookings Papers on Economic Activity</w:t>
      </w:r>
      <w:r>
        <w:t xml:space="preserve">, Spring 2009, 215–261.</w:t>
      </w:r>
    </w:p>
    <w:p>
      <w:pPr>
        <w:pStyle w:val="BodyText"/>
      </w:pPr>
      <w:r>
        <w:t xml:space="preserve">Kilian, L., &amp; Murphy, D. P. (2014). The Role of Inventories and Speculative Trading in the Global Market for Crude Oil.</w:t>
      </w:r>
      <w:r>
        <w:t xml:space="preserve"> </w:t>
      </w:r>
      <w:r>
        <w:rPr>
          <w:i/>
          <w:iCs/>
        </w:rPr>
        <w:t xml:space="preserve">Journal of Applied Econometrics</w:t>
      </w:r>
      <w:r>
        <w:t xml:space="preserve">, 29(3), 454–478.</w:t>
      </w:r>
    </w:p>
    <w:p>
      <w:pPr>
        <w:pStyle w:val="BodyText"/>
      </w:pPr>
      <w:r>
        <w:t xml:space="preserve">Baumeister, C., &amp; Kilian, L. (2016). Understanding the Decline in the Price of Oil since June 2014.</w:t>
      </w:r>
      <w:r>
        <w:t xml:space="preserve"> </w:t>
      </w:r>
      <w:r>
        <w:rPr>
          <w:i/>
          <w:iCs/>
        </w:rPr>
        <w:t xml:space="preserve">Journal of the Association of Environmental and Resource Economists</w:t>
      </w:r>
      <w:r>
        <w:t xml:space="preserve">, 3(1), 131–158.</w:t>
      </w:r>
    </w:p>
    <w:p>
      <w:pPr>
        <w:pStyle w:val="BodyText"/>
      </w:pPr>
      <w:r>
        <w:t xml:space="preserve">Caldara, D., &amp; Iacoviello, M. (2022). Measuring Geopolitical Risk.</w:t>
      </w:r>
      <w:r>
        <w:t xml:space="preserve"> </w:t>
      </w:r>
      <w:r>
        <w:rPr>
          <w:i/>
          <w:iCs/>
        </w:rPr>
        <w:t xml:space="preserve">American Economic Review</w:t>
      </w:r>
      <w:r>
        <w:t xml:space="preserve">, 112(4), 1194–1225.</w:t>
      </w:r>
    </w:p>
    <w:p>
      <w:pPr>
        <w:pStyle w:val="BodyText"/>
      </w:pPr>
      <w:r>
        <w:t xml:space="preserve">Cooper, J. C. B. (2003). Price elasticity of demand for crude oil: estimates for 23 countries.</w:t>
      </w:r>
      <w:r>
        <w:t xml:space="preserve"> </w:t>
      </w:r>
      <w:r>
        <w:rPr>
          <w:i/>
          <w:iCs/>
        </w:rPr>
        <w:t xml:space="preserve">OPEC Review</w:t>
      </w:r>
      <w:r>
        <w:t xml:space="preserve">, 27(1), 1–8.</w:t>
      </w:r>
    </w:p>
    <w:p>
      <w:pPr>
        <w:pStyle w:val="BodyText"/>
      </w:pPr>
      <w:r>
        <w:t xml:space="preserve">Stevens, P., &amp; Zhang, D. (2021). The asymmetric impact of strategic petroleum reserve releases on crude oil prices.</w:t>
      </w:r>
      <w:r>
        <w:t xml:space="preserve"> </w:t>
      </w:r>
      <w:r>
        <w:rPr>
          <w:i/>
          <w:iCs/>
        </w:rPr>
        <w:t xml:space="preserve">Energy Economics</w:t>
      </w:r>
      <w:r>
        <w:t xml:space="preserve">, 102, 105474.</w:t>
      </w:r>
    </w:p>
    <w:p>
      <w:pPr>
        <w:pStyle w:val="BodyText"/>
      </w:pPr>
      <w:r>
        <w:t xml:space="preserve">Baumeister, C., &amp; Kilian, L. (2012). Real-Time Forecasts of the Real Price of Oil.</w:t>
      </w:r>
      <w:r>
        <w:t xml:space="preserve"> </w:t>
      </w:r>
      <w:r>
        <w:rPr>
          <w:i/>
          <w:iCs/>
        </w:rPr>
        <w:t xml:space="preserve">Journal of Business &amp; Economic Statistics</w:t>
      </w:r>
      <w:r>
        <w:t xml:space="preserve">, 30(2), 326–336.</w:t>
      </w:r>
    </w:p>
    <w:p>
      <w:pPr>
        <w:pStyle w:val="BodyText"/>
      </w:pPr>
      <w:r>
        <w:t xml:space="preserve">Alquist, R., Kilian, L., &amp; Vigfusson, R. J. (2013). Forecasting the Price of Oil.</w:t>
      </w:r>
      <w:r>
        <w:t xml:space="preserve"> </w:t>
      </w:r>
      <w:r>
        <w:rPr>
          <w:i/>
          <w:iCs/>
        </w:rPr>
        <w:t xml:space="preserve">Handbook of Economic Forecasting</w:t>
      </w:r>
      <w:r>
        <w:t xml:space="preserve">, 2, 427–507.</w:t>
      </w:r>
    </w:p>
    <w:p>
      <w:pPr>
        <w:pStyle w:val="BodyText"/>
      </w:pPr>
      <w:r>
        <w:t xml:space="preserve">U.S. Energy Information Administration. World Oil Transit Chokepoints.</w:t>
      </w:r>
      <w:r>
        <w:t xml:space="preserve"> </w:t>
      </w:r>
      <w:hyperlink r:id="rId126">
        <w:r>
          <w:rPr>
            <w:rStyle w:val="Hyperlink"/>
          </w:rPr>
          <w:t xml:space="preserve">EIA special topic page</w:t>
        </w:r>
      </w:hyperlink>
      <w:r>
        <w:t xml:space="preserve">.</w:t>
      </w:r>
    </w:p>
    <w:p>
      <w:pPr>
        <w:pStyle w:val="BodyText"/>
      </w:pPr>
      <w:r>
        <w:t xml:space="preserve">U.S. Energy Information Administration. Weekly U.S. Ending Stocks of Crude Oil in SPR, Weekly U.S. Ending Stocks excluding SPR of Crude Oil, and Weekly U.S. Field Production of Crude Oil.</w:t>
      </w:r>
      <w:r>
        <w:t xml:space="preserve"> </w:t>
      </w:r>
      <w:hyperlink r:id="rId127">
        <w:r>
          <w:rPr>
            <w:rStyle w:val="Hyperlink"/>
          </w:rPr>
          <w:t xml:space="preserve">EIA petroleum weekly data</w:t>
        </w:r>
      </w:hyperlink>
      <w:r>
        <w:t xml:space="preserve">.</w:t>
      </w:r>
    </w:p>
    <w:p>
      <w:pPr>
        <w:pStyle w:val="BodyText"/>
      </w:pPr>
      <w:r>
        <w:t xml:space="preserve">Caldara-Iacoviello Geopolitical Risk Index. Monthly GPR data.</w:t>
      </w:r>
      <w:r>
        <w:t xml:space="preserve"> </w:t>
      </w:r>
      <w:hyperlink r:id="rId128">
        <w:r>
          <w:rPr>
            <w:rStyle w:val="Hyperlink"/>
          </w:rPr>
          <w:t xml:space="preserve">GPR data page</w:t>
        </w:r>
      </w:hyperlink>
      <w:r>
        <w:t xml:space="preserve">.</w:t>
      </w:r>
    </w:p>
    <w:bookmarkEnd w:id="12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2" Target="media/rId32.png" /><Relationship Type="http://schemas.openxmlformats.org/officeDocument/2006/relationships/image" Id="rId18" Target="media/rId18.png" /><Relationship Type="http://schemas.openxmlformats.org/officeDocument/2006/relationships/image" Id="rId105" Target="media/rId105.png" /><Relationship Type="http://schemas.openxmlformats.org/officeDocument/2006/relationships/image" Id="rId115" Target="media/rId115.png" /><Relationship Type="http://schemas.openxmlformats.org/officeDocument/2006/relationships/image" Id="rId112" Target="media/rId112.png" /><Relationship Type="http://schemas.openxmlformats.org/officeDocument/2006/relationships/image" Id="rId91" Target="media/rId91.png" /><Relationship Type="http://schemas.openxmlformats.org/officeDocument/2006/relationships/image" Id="rId108" Target="media/rId108.png" /><Relationship Type="http://schemas.openxmlformats.org/officeDocument/2006/relationships/image" Id="rId84" Target="media/rId84.png" /><Relationship Type="http://schemas.openxmlformats.org/officeDocument/2006/relationships/image" Id="rId101" Target="media/rId101.png" /><Relationship Type="http://schemas.openxmlformats.org/officeDocument/2006/relationships/image" Id="rId15" Target="media/rId15.png" /><Relationship Type="http://schemas.openxmlformats.org/officeDocument/2006/relationships/image" Id="rId22" Target="media/rId22.png" /><Relationship Type="http://schemas.openxmlformats.org/officeDocument/2006/relationships/image" Id="rId97" Target="media/rId97.png" /><Relationship Type="http://schemas.openxmlformats.org/officeDocument/2006/relationships/image" Id="rId88" Target="media/rId88.png" /><Relationship Type="http://schemas.openxmlformats.org/officeDocument/2006/relationships/image" Id="rId48" Target="media/rId48.png" /><Relationship Type="http://schemas.openxmlformats.org/officeDocument/2006/relationships/image" Id="rId71" Target="media/rId71.png" /><Relationship Type="http://schemas.openxmlformats.org/officeDocument/2006/relationships/image" Id="rId41" Target="media/rId41.png" /><Relationship Type="http://schemas.openxmlformats.org/officeDocument/2006/relationships/image" Id="rId55" Target="media/rId55.png" /><Relationship Type="http://schemas.openxmlformats.org/officeDocument/2006/relationships/image" Id="rId44" Target="media/rId44.png" /><Relationship Type="http://schemas.openxmlformats.org/officeDocument/2006/relationships/image" Id="rId62" Target="media/rId62.png" /><Relationship Type="http://schemas.openxmlformats.org/officeDocument/2006/relationships/image" Id="rId51" Target="media/rId51.png" /><Relationship Type="http://schemas.openxmlformats.org/officeDocument/2006/relationships/image" Id="rId75" Target="media/rId75.png" /><Relationship Type="http://schemas.openxmlformats.org/officeDocument/2006/relationships/image" Id="rId66" Target="media/rId66.png" /><Relationship Type="http://schemas.openxmlformats.org/officeDocument/2006/relationships/image" Id="rId58" Target="media/rId58.png" /><Relationship Type="http://schemas.openxmlformats.org/officeDocument/2006/relationships/image" Id="rId10" Target="media/rId10.png" /><Relationship Type="http://schemas.openxmlformats.org/officeDocument/2006/relationships/hyperlink" Id="rId127" Target="https://www.eia.gov/dnav/pet/pet_sum_sndw_dcus_nus_w.htm" TargetMode="External" /><Relationship Type="http://schemas.openxmlformats.org/officeDocument/2006/relationships/hyperlink" Id="rId126" Target="https://www.eia.gov/international/analysis/special-topics/World_Oil_Transit_Chokepoints" TargetMode="External" /><Relationship Type="http://schemas.openxmlformats.org/officeDocument/2006/relationships/hyperlink" Id="rId128" Target="https://www.matteoiacoviello.com/gpr.htm" TargetMode="External" /></Relationships>
</file>

<file path=word/_rels/footnotes.xml.rels><?xml version="1.0" encoding="UTF-8"?><Relationships xmlns="http://schemas.openxmlformats.org/package/2006/relationships"><Relationship Type="http://schemas.openxmlformats.org/officeDocument/2006/relationships/hyperlink" Id="rId127" Target="https://www.eia.gov/dnav/pet/pet_sum_sndw_dcus_nus_w.htm" TargetMode="External" /><Relationship Type="http://schemas.openxmlformats.org/officeDocument/2006/relationships/hyperlink" Id="rId126" Target="https://www.eia.gov/international/analysis/special-topics/World_Oil_Transit_Chokepoints" TargetMode="External" /><Relationship Type="http://schemas.openxmlformats.org/officeDocument/2006/relationships/hyperlink" Id="rId128" Target="https://www.matteoiacoviello.com/gpr.ht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霍尔木兹海峡封锁对国际原油价格影响的动态建模与情景预测</dc:title>
  <dc:creator>数学建模 A 题项目组</dc:creator>
  <cp:keywords/>
  <dcterms:created xsi:type="dcterms:W3CDTF">2026-05-12T05:05:17Z</dcterms:created>
  <dcterms:modified xsi:type="dcterms:W3CDTF">2026-05-12T05:05:17Z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 年 5 月</vt:lpwstr>
  </property>
</Properties>
</file>